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C4B" w14:textId="77777777" w:rsidR="00DE41FC" w:rsidRDefault="00DE41FC" w:rsidP="00DE41FC">
      <w:pPr>
        <w:tabs>
          <w:tab w:val="left" w:pos="6379"/>
        </w:tabs>
        <w:spacing w:line="276" w:lineRule="auto"/>
        <w:jc w:val="center"/>
        <w:rPr>
          <w:rFonts w:ascii="Open Sans" w:hAnsi="Open Sans" w:cs="Open Sans"/>
          <w:bCs/>
        </w:rPr>
      </w:pPr>
    </w:p>
    <w:p w14:paraId="6D08D79D" w14:textId="74FCE060" w:rsidR="00DE41FC" w:rsidRPr="002D4736" w:rsidRDefault="00DE41FC" w:rsidP="00DE41FC">
      <w:pPr>
        <w:tabs>
          <w:tab w:val="left" w:pos="6379"/>
        </w:tabs>
        <w:spacing w:line="276" w:lineRule="auto"/>
        <w:jc w:val="center"/>
        <w:rPr>
          <w:rFonts w:cs="Open Sans"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Nr </w:t>
      </w:r>
      <w:proofErr w:type="gramStart"/>
      <w:r>
        <w:rPr>
          <w:rFonts w:eastAsia="Calibri" w:cstheme="minorHAnsi"/>
          <w:sz w:val="24"/>
          <w:szCs w:val="24"/>
        </w:rPr>
        <w:t>sprawy:  KG</w:t>
      </w:r>
      <w:proofErr w:type="gramEnd"/>
      <w:r>
        <w:rPr>
          <w:rFonts w:eastAsia="Calibri" w:cstheme="minorHAnsi"/>
          <w:sz w:val="24"/>
          <w:szCs w:val="24"/>
        </w:rPr>
        <w:t>.260/ZP/</w:t>
      </w:r>
      <w:r w:rsidR="00B233D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/2026                                        </w:t>
      </w:r>
      <w:r w:rsidRPr="002D4736">
        <w:rPr>
          <w:rFonts w:cs="Open Sans"/>
          <w:bCs/>
          <w:sz w:val="24"/>
          <w:szCs w:val="24"/>
        </w:rPr>
        <w:t xml:space="preserve">Konin, dnia </w:t>
      </w:r>
      <w:r w:rsidR="00B233DA">
        <w:rPr>
          <w:rFonts w:cs="Open Sans"/>
          <w:bCs/>
          <w:sz w:val="24"/>
          <w:szCs w:val="24"/>
        </w:rPr>
        <w:t>5 sierpnia</w:t>
      </w:r>
      <w:r w:rsidR="006778BC">
        <w:rPr>
          <w:rFonts w:cs="Open Sans"/>
          <w:bCs/>
          <w:sz w:val="24"/>
          <w:szCs w:val="24"/>
        </w:rPr>
        <w:t xml:space="preserve"> </w:t>
      </w:r>
      <w:r w:rsidRPr="002D4736">
        <w:rPr>
          <w:rFonts w:cs="Open Sans"/>
          <w:bCs/>
          <w:sz w:val="24"/>
          <w:szCs w:val="24"/>
        </w:rPr>
        <w:t>2026 r.</w:t>
      </w:r>
    </w:p>
    <w:p w14:paraId="0744913C" w14:textId="77777777" w:rsidR="004C65EB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C844D30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2A921297" w14:textId="77777777" w:rsidR="00DE41FC" w:rsidRPr="00DE41FC" w:rsidRDefault="00DE41FC" w:rsidP="00DE41FC">
      <w:pPr>
        <w:pStyle w:val="Nagwek1"/>
        <w:spacing w:after="160" w:line="276" w:lineRule="auto"/>
        <w:rPr>
          <w:rFonts w:cs="Open Sans"/>
          <w:sz w:val="24"/>
          <w:szCs w:val="24"/>
          <w:lang w:val="pl-PL"/>
        </w:rPr>
      </w:pPr>
      <w:r w:rsidRPr="00DE41FC">
        <w:rPr>
          <w:rFonts w:cs="Open Sans"/>
          <w:sz w:val="24"/>
          <w:szCs w:val="24"/>
          <w:lang w:val="pl-PL"/>
        </w:rPr>
        <w:t xml:space="preserve">Wyjaśnienie </w:t>
      </w:r>
    </w:p>
    <w:p w14:paraId="40DFF0E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  <w:shd w:val="clear" w:color="auto" w:fill="FFFFFF"/>
        </w:rPr>
      </w:pPr>
      <w:r w:rsidRPr="00DE41FC">
        <w:rPr>
          <w:rFonts w:cstheme="minorHAnsi"/>
        </w:rPr>
        <w:t xml:space="preserve">treści specyfikacji warunków zamówienia w postępowaniu na: </w:t>
      </w:r>
      <w:r w:rsidRPr="00DE41FC">
        <w:rPr>
          <w:rFonts w:cstheme="minorHAnsi"/>
          <w:b/>
          <w:shd w:val="clear" w:color="auto" w:fill="FFFFFF"/>
        </w:rPr>
        <w:t xml:space="preserve">Wyposażenie pracowni specjalistycznych ZSGE w Koninie w ramach </w:t>
      </w:r>
      <w:proofErr w:type="gramStart"/>
      <w:r w:rsidRPr="00DE41FC">
        <w:rPr>
          <w:rFonts w:cstheme="minorHAnsi"/>
          <w:b/>
          <w:shd w:val="clear" w:color="auto" w:fill="FFFFFF"/>
        </w:rPr>
        <w:t>projektu  "</w:t>
      </w:r>
      <w:proofErr w:type="gramEnd"/>
      <w:r w:rsidRPr="00DE41FC">
        <w:rPr>
          <w:rFonts w:cstheme="minorHAnsi"/>
          <w:b/>
          <w:shd w:val="clear" w:color="auto" w:fill="FFFFFF"/>
        </w:rPr>
        <w:t xml:space="preserve"> Dostosowanie kształcenia zawodowego                        w Aglomeracji Konińskiej do zmieniającego się rynku pracy"</w:t>
      </w:r>
    </w:p>
    <w:p w14:paraId="6A2A147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</w:rPr>
      </w:pPr>
    </w:p>
    <w:p w14:paraId="6B60737F" w14:textId="77777777" w:rsidR="00DE41FC" w:rsidRPr="00115D2E" w:rsidRDefault="00DE41FC" w:rsidP="00DE41FC">
      <w:pPr>
        <w:spacing w:line="276" w:lineRule="auto"/>
        <w:jc w:val="both"/>
        <w:rPr>
          <w:rFonts w:cstheme="minorHAnsi"/>
          <w:sz w:val="24"/>
          <w:szCs w:val="24"/>
        </w:rPr>
      </w:pPr>
      <w:r w:rsidRPr="00115D2E">
        <w:rPr>
          <w:rFonts w:cstheme="minorHAnsi"/>
          <w:sz w:val="24"/>
          <w:szCs w:val="24"/>
        </w:rPr>
        <w:t xml:space="preserve">Działając na podstawie art. 284 ust. 1, 2 i </w:t>
      </w:r>
      <w:proofErr w:type="gramStart"/>
      <w:r w:rsidRPr="00115D2E">
        <w:rPr>
          <w:rFonts w:cstheme="minorHAnsi"/>
          <w:sz w:val="24"/>
          <w:szCs w:val="24"/>
        </w:rPr>
        <w:t>6  oraz</w:t>
      </w:r>
      <w:proofErr w:type="gramEnd"/>
      <w:r w:rsidRPr="00115D2E">
        <w:rPr>
          <w:rFonts w:cstheme="minorHAnsi"/>
          <w:sz w:val="24"/>
          <w:szCs w:val="24"/>
        </w:rPr>
        <w:t xml:space="preserve">  286 ust. 1, 7 ustawy z dnia 11 września 2019 roku Prawo zamówień publicznych (</w:t>
      </w:r>
      <w:proofErr w:type="spellStart"/>
      <w:r w:rsidRPr="00115D2E">
        <w:rPr>
          <w:rFonts w:cstheme="minorHAnsi"/>
          <w:sz w:val="24"/>
          <w:szCs w:val="24"/>
        </w:rPr>
        <w:t>t.j</w:t>
      </w:r>
      <w:proofErr w:type="spellEnd"/>
      <w:r w:rsidRPr="00115D2E">
        <w:rPr>
          <w:rFonts w:cstheme="minorHAnsi"/>
          <w:sz w:val="24"/>
          <w:szCs w:val="24"/>
        </w:rPr>
        <w:t xml:space="preserve">. Dz.U. 2024 r., poz. 1320 ze zm.), Zamawiający informuje, że </w:t>
      </w:r>
      <w:r>
        <w:rPr>
          <w:rFonts w:cstheme="minorHAnsi"/>
          <w:sz w:val="24"/>
          <w:szCs w:val="24"/>
        </w:rPr>
        <w:t>wpłynął wniosek</w:t>
      </w:r>
      <w:r w:rsidRPr="00115D2E">
        <w:rPr>
          <w:rFonts w:cstheme="minorHAnsi"/>
          <w:sz w:val="24"/>
          <w:szCs w:val="24"/>
        </w:rPr>
        <w:t xml:space="preserve"> od Wykonawc</w:t>
      </w:r>
      <w:r>
        <w:rPr>
          <w:rFonts w:cstheme="minorHAnsi"/>
          <w:sz w:val="24"/>
          <w:szCs w:val="24"/>
        </w:rPr>
        <w:t>y, na który</w:t>
      </w:r>
      <w:r w:rsidRPr="00115D2E">
        <w:rPr>
          <w:rFonts w:cstheme="minorHAnsi"/>
          <w:sz w:val="24"/>
          <w:szCs w:val="24"/>
        </w:rPr>
        <w:t xml:space="preserve"> udziela następujących odpowiedzi:</w:t>
      </w:r>
    </w:p>
    <w:p w14:paraId="6E3BAD8B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027DA89B" w14:textId="77777777" w:rsidR="004C65EB" w:rsidRPr="009F2FB6" w:rsidRDefault="004C65EB" w:rsidP="004C65EB">
      <w:pPr>
        <w:jc w:val="both"/>
        <w:rPr>
          <w:b/>
        </w:rPr>
      </w:pPr>
      <w:r w:rsidRPr="009F2FB6">
        <w:rPr>
          <w:b/>
        </w:rPr>
        <w:t>Pytanie 1</w:t>
      </w:r>
    </w:p>
    <w:p w14:paraId="65AA4F4E" w14:textId="77777777" w:rsid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233DA">
        <w:t>Czy Zamawiający dopuści monitor marketingowo określany jako monitor 98", lecz posiadający przekątną aktywnego obszaru roboczego, wynoszącą 97,5"?</w:t>
      </w:r>
    </w:p>
    <w:p w14:paraId="199B60F8" w14:textId="77777777" w:rsid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609AD4B9" w14:textId="2F04C946" w:rsidR="00DE41FC" w:rsidRPr="004C65EB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1</w:t>
      </w:r>
    </w:p>
    <w:p w14:paraId="55B7B63E" w14:textId="7E0779FF" w:rsidR="004C65EB" w:rsidRPr="009F2FB6" w:rsidRDefault="00B233DA" w:rsidP="004C65EB">
      <w:pPr>
        <w:jc w:val="both"/>
      </w:pPr>
      <w:r w:rsidRPr="00B233DA">
        <w:rPr>
          <w:rFonts w:eastAsia="Times New Roman" w:cstheme="minorHAnsi"/>
          <w:lang w:eastAsia="pl-PL"/>
        </w:rPr>
        <w:t>Zamawiający nie dopuszcza monitora posiadającego obszar roboczy wynoszący 97,5 cala</w:t>
      </w:r>
      <w:r>
        <w:rPr>
          <w:rFonts w:eastAsia="Times New Roman" w:cstheme="minorHAnsi"/>
          <w:lang w:eastAsia="pl-PL"/>
        </w:rPr>
        <w:t>.</w:t>
      </w:r>
    </w:p>
    <w:p w14:paraId="03D745E3" w14:textId="77777777" w:rsidR="004C65EB" w:rsidRPr="009F2FB6" w:rsidRDefault="004C65EB" w:rsidP="004C65EB">
      <w:pPr>
        <w:jc w:val="both"/>
        <w:rPr>
          <w:b/>
        </w:rPr>
      </w:pPr>
      <w:r w:rsidRPr="009F2FB6">
        <w:rPr>
          <w:b/>
        </w:rPr>
        <w:t>Pytanie 2</w:t>
      </w:r>
    </w:p>
    <w:p w14:paraId="53C86267" w14:textId="75553D49" w:rsidR="00B233DA" w:rsidRDefault="00B233DA" w:rsidP="00B23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 w:rsidRPr="00B233DA">
        <w:rPr>
          <w:rFonts w:eastAsia="Times New Roman" w:cstheme="minorHAnsi"/>
          <w:bCs/>
          <w:lang w:eastAsia="pl-PL"/>
        </w:rPr>
        <w:t xml:space="preserve">W nawiązaniu do postępowania KG.260/ZP/7/2026, niniejszym zwracamy się z prośbą o wyjaśnienie wymagań zawartych w Załączniku nr 2 do SWZ, dotyczących pozycji numer 4, to jest Zestaw komputerowy 38 szt. W opisie przedmiotu zamówienia Zamawiający wskazał, że w skład zestawu wchodzi m.in.: „komputer, monitor [...]”. Jednocześnie w sekcji „KOMPUTER” Zamawiający jednoznacznie wymaga urządzenia typu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(jednostki centralnej zintegrowanej z monitorem), po czym zamieszcza odrębną sekcję z wymaganiami dla „MONITORA”, w której znajduje się wymóg: „Maksymalny pobór mocy do 70 W”. Taka konstrukcja opisu budzi wątpliwości co do rzeczywistych potrzeb Zamawiającego. Zastosowanie komputera typu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oznacza, że posiada on już wbudowany ekran. Zestawienie go z odrębnym monitorem sugeruje chęć stworzenia stanowiska pracy dwumonitorowej. Często jednak w praktyce taki zapis wynika z omyłkowego połączenia opisów dla klasycznego komputera stacjonarnego i komputera typu </w:t>
      </w:r>
      <w:proofErr w:type="spellStart"/>
      <w:r w:rsidRPr="00B233DA">
        <w:rPr>
          <w:rFonts w:eastAsia="Times New Roman" w:cstheme="minorHAnsi"/>
          <w:bCs/>
          <w:lang w:eastAsia="pl-PL"/>
        </w:rPr>
        <w:t>AiO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. Co więcej, wymagany w sekcji „KOMPUTER” niezwykle wydajny procesor (klasy Intel </w:t>
      </w:r>
      <w:proofErr w:type="spellStart"/>
      <w:r w:rsidRPr="00B233DA">
        <w:rPr>
          <w:rFonts w:eastAsia="Times New Roman" w:cstheme="minorHAnsi"/>
          <w:bCs/>
          <w:lang w:eastAsia="pl-PL"/>
        </w:rPr>
        <w:t>Core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 Ultra 7 265, min. 20 rdzeni) charakteryzuje się dużym zapotrzebowaniem na energię. Poprawna i stabilna praca komputera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o takich parametrach bezwzględnie wymaga zastosowania zasilacza o wyższej mocy (zazwyczaj ok. 180 W). Zasilacz 70 W nie byłby w stanie obsłużyć tak potężnego układu wraz z wbudowaną w </w:t>
      </w:r>
      <w:proofErr w:type="spellStart"/>
      <w:r w:rsidRPr="00B233DA">
        <w:rPr>
          <w:rFonts w:eastAsia="Times New Roman" w:cstheme="minorHAnsi"/>
          <w:bCs/>
          <w:lang w:eastAsia="pl-PL"/>
        </w:rPr>
        <w:t>AiO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 matrycą. W związku z powyższym, w celu rzetelnej wyceny, Wykonawca zwraca się z poniższymi pytaniami: Czy intencją Zamawiającego jest zakup zestawu składającego się z komputera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oraz dodatkowego, zewnętrznego monitora opisanego w sekcji „MONITOR” (praca na dwóch ekranach)? Czy też ujęcie monitora jako osobnego elementu w składzie zestawu stanowi omyłkę i Zamawiający oczekuje dostawy wyłącznie komputera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(wraz z klawiaturą i myszą)? W przypadku </w:t>
      </w:r>
      <w:r w:rsidRPr="00B233DA">
        <w:rPr>
          <w:rFonts w:eastAsia="Times New Roman" w:cstheme="minorHAnsi"/>
          <w:bCs/>
          <w:lang w:eastAsia="pl-PL"/>
        </w:rPr>
        <w:lastRenderedPageBreak/>
        <w:t xml:space="preserve">odpowiedzi wskazującej, że Zamawiający nie oczekuje dodatkowego monitora, a cały opis dotyczy jednego urządzenia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– Wykonawca wnosi o modyfikację treści SWZ i wykreślenie parametru „Maksymalny pobór mocy do 70 W” bądź wyraźne dopuszczenie zaoferowania komputera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 xml:space="preserve">-in-One wyposażonego w zasilacz o mocy 180 W. Zmiana ta jest niezbędna, ponieważ zaoferowanie wymaganego przez Zamawiającego procesora wielordzeniowego w architekturze </w:t>
      </w:r>
      <w:proofErr w:type="spellStart"/>
      <w:r w:rsidRPr="00B233DA">
        <w:rPr>
          <w:rFonts w:eastAsia="Times New Roman" w:cstheme="minorHAnsi"/>
          <w:bCs/>
          <w:lang w:eastAsia="pl-PL"/>
        </w:rPr>
        <w:t>All</w:t>
      </w:r>
      <w:proofErr w:type="spellEnd"/>
      <w:r w:rsidRPr="00B233DA">
        <w:rPr>
          <w:rFonts w:eastAsia="Times New Roman" w:cstheme="minorHAnsi"/>
          <w:bCs/>
          <w:lang w:eastAsia="pl-PL"/>
        </w:rPr>
        <w:t>-in-One technologicznie wymaga zastosowania mocniejszego zasilacza w celu zagwarantowania prawidłowej pracy sprzętu.</w:t>
      </w:r>
    </w:p>
    <w:p w14:paraId="6DA90E20" w14:textId="77777777" w:rsidR="00B233DA" w:rsidRP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lang w:eastAsia="pl-PL"/>
        </w:rPr>
      </w:pPr>
    </w:p>
    <w:p w14:paraId="3EE3E8F2" w14:textId="7010D12C" w:rsidR="00DE41FC" w:rsidRPr="00B233DA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2</w:t>
      </w:r>
    </w:p>
    <w:p w14:paraId="7907F337" w14:textId="0AE62D5F" w:rsidR="004C65EB" w:rsidRPr="009F2FB6" w:rsidRDefault="00B233DA" w:rsidP="004C6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  <w:r w:rsidRPr="00B233DA">
        <w:rPr>
          <w:rFonts w:eastAsia="Times New Roman" w:cstheme="minorHAnsi"/>
          <w:lang w:eastAsia="pl-PL"/>
        </w:rPr>
        <w:t xml:space="preserve">Intencją Zamawiającego jest zakup zestawu składającego się z komputera </w:t>
      </w:r>
      <w:proofErr w:type="spellStart"/>
      <w:r w:rsidRPr="00B233DA">
        <w:rPr>
          <w:rFonts w:eastAsia="Times New Roman" w:cstheme="minorHAnsi"/>
          <w:lang w:eastAsia="pl-PL"/>
        </w:rPr>
        <w:t>All</w:t>
      </w:r>
      <w:proofErr w:type="spellEnd"/>
      <w:r w:rsidRPr="00B233DA">
        <w:rPr>
          <w:rFonts w:eastAsia="Times New Roman" w:cstheme="minorHAnsi"/>
          <w:lang w:eastAsia="pl-PL"/>
        </w:rPr>
        <w:t>-in-One oraz dodatkowego, zewnętrznego monitora opisanego w sekcji „MONITOR” (praca na dwóch ekranach).</w:t>
      </w:r>
    </w:p>
    <w:p w14:paraId="410A8FF9" w14:textId="77777777" w:rsidR="004C65EB" w:rsidRPr="009F2FB6" w:rsidRDefault="004C65EB" w:rsidP="004C6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pl-PL"/>
        </w:rPr>
      </w:pPr>
    </w:p>
    <w:p w14:paraId="4D421B33" w14:textId="77777777" w:rsidR="00226879" w:rsidRPr="009F2FB6" w:rsidRDefault="00226879" w:rsidP="00226879">
      <w:pPr>
        <w:spacing w:after="0" w:line="240" w:lineRule="auto"/>
        <w:rPr>
          <w:rFonts w:ascii="Open Sans" w:eastAsia="Calibri" w:hAnsi="Open Sans" w:cs="Open Sans"/>
        </w:rPr>
      </w:pPr>
    </w:p>
    <w:p w14:paraId="7C1A41E6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Zamawiający informuje, iż powyższe wyjaśnienia są integralną częścią postępowania oraz są wiążące przy składaniu ofert.</w:t>
      </w:r>
      <w:r w:rsidRPr="009F2FB6">
        <w:rPr>
          <w:rFonts w:eastAsia="Calibri" w:cs="Open Sans"/>
        </w:rPr>
        <w:br/>
        <w:t>Ww. wyjaśnienia podlegają udostępnieniu na Platformie e- zamówienia.</w:t>
      </w:r>
    </w:p>
    <w:p w14:paraId="165F149C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.</w:t>
      </w:r>
    </w:p>
    <w:p w14:paraId="58A6687B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ascii="Open Sans" w:eastAsia="Calibri" w:hAnsi="Open Sans" w:cs="Open Sans"/>
        </w:rPr>
        <w:br/>
      </w:r>
      <w:r w:rsidRPr="009F2FB6">
        <w:rPr>
          <w:rFonts w:eastAsia="Times New Roman" w:cs="Open Sans"/>
          <w:b/>
          <w:lang w:eastAsia="zh-CN"/>
        </w:rPr>
        <w:t>Zatwierdził</w:t>
      </w:r>
    </w:p>
    <w:p w14:paraId="03031F4A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Kierownik Zamawiającego</w:t>
      </w:r>
    </w:p>
    <w:p w14:paraId="29D3FCE0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Dyrektor ZSGE</w:t>
      </w:r>
    </w:p>
    <w:p w14:paraId="4498F08C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 xml:space="preserve">/-/ </w:t>
      </w:r>
      <w:r w:rsidRPr="009F2FB6">
        <w:rPr>
          <w:b/>
        </w:rPr>
        <w:t xml:space="preserve">Karol </w:t>
      </w:r>
      <w:proofErr w:type="spellStart"/>
      <w:r w:rsidRPr="009F2FB6">
        <w:rPr>
          <w:b/>
        </w:rPr>
        <w:t>Niemczynowicz</w:t>
      </w:r>
      <w:proofErr w:type="spellEnd"/>
    </w:p>
    <w:p w14:paraId="3A510D2A" w14:textId="77777777" w:rsidR="00E8419F" w:rsidRPr="009F2FB6" w:rsidRDefault="00E8419F"/>
    <w:sectPr w:rsidR="00E8419F" w:rsidRPr="009F2FB6" w:rsidSect="00DE41FC">
      <w:headerReference w:type="default" r:id="rId6"/>
      <w:headerReference w:type="first" r:id="rId7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A52A" w14:textId="77777777" w:rsidR="00E02790" w:rsidRDefault="00E02790" w:rsidP="00DE41FC">
      <w:pPr>
        <w:spacing w:after="0" w:line="240" w:lineRule="auto"/>
      </w:pPr>
      <w:r>
        <w:separator/>
      </w:r>
    </w:p>
  </w:endnote>
  <w:endnote w:type="continuationSeparator" w:id="0">
    <w:p w14:paraId="11B49211" w14:textId="77777777" w:rsidR="00E02790" w:rsidRDefault="00E02790" w:rsidP="00DE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E78A" w14:textId="77777777" w:rsidR="00E02790" w:rsidRDefault="00E02790" w:rsidP="00DE41FC">
      <w:pPr>
        <w:spacing w:after="0" w:line="240" w:lineRule="auto"/>
      </w:pPr>
      <w:r>
        <w:separator/>
      </w:r>
    </w:p>
  </w:footnote>
  <w:footnote w:type="continuationSeparator" w:id="0">
    <w:p w14:paraId="46BC938F" w14:textId="77777777" w:rsidR="00E02790" w:rsidRDefault="00E02790" w:rsidP="00DE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9298" w14:textId="77777777" w:rsidR="00DE41FC" w:rsidRDefault="00DE41FC">
    <w:pPr>
      <w:pStyle w:val="Nagwek"/>
    </w:pPr>
  </w:p>
  <w:p w14:paraId="438BB938" w14:textId="77777777" w:rsidR="00DE41FC" w:rsidRDefault="00DE4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1BFC" w14:textId="77777777" w:rsidR="00DE41FC" w:rsidRDefault="00DE41FC" w:rsidP="00DE41F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CBEFB90" wp14:editId="65C595A8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3F8137" w14:textId="77777777" w:rsidR="00DE41FC" w:rsidRDefault="00DE41FC" w:rsidP="00DE41FC">
    <w:pPr>
      <w:pStyle w:val="Nagwek"/>
    </w:pPr>
  </w:p>
  <w:p w14:paraId="2D4CFFB0" w14:textId="77777777" w:rsidR="00DE41FC" w:rsidRPr="00927CEC" w:rsidRDefault="00DE41FC" w:rsidP="00DE41F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  <w:r w:rsidRPr="00927CEC">
      <w:rPr>
        <w:rFonts w:ascii="Arial" w:hAnsi="Arial" w:cs="Arial"/>
        <w:b/>
        <w:color w:val="10284D"/>
        <w:shd w:val="clear" w:color="auto" w:fill="FFFFFF"/>
      </w:rPr>
      <w:t xml:space="preserve">Wyposażenie pracowni specjalistycznych ZSGE w Koninie w ramach projektu </w:t>
    </w:r>
    <w:r>
      <w:rPr>
        <w:rFonts w:ascii="Arial" w:hAnsi="Arial" w:cs="Arial"/>
        <w:b/>
        <w:color w:val="10284D"/>
        <w:shd w:val="clear" w:color="auto" w:fill="FFFFFF"/>
      </w:rPr>
      <w:t xml:space="preserve">                                                                                                                  </w:t>
    </w:r>
    <w:r w:rsidRPr="00927CEC">
      <w:rPr>
        <w:rFonts w:ascii="Arial" w:hAnsi="Arial" w:cs="Arial"/>
        <w:b/>
        <w:color w:val="10284D"/>
        <w:shd w:val="clear" w:color="auto" w:fill="FFFFFF"/>
      </w:rPr>
      <w:t>" Dostosowanie kształcenia zawodowego w Aglomeracji Konińskiej do zmieniającego się rynku pracy"</w:t>
    </w:r>
  </w:p>
  <w:p w14:paraId="7DF9BB35" w14:textId="77777777" w:rsidR="00DE41FC" w:rsidRDefault="00DE4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EB"/>
    <w:rsid w:val="00226879"/>
    <w:rsid w:val="00380E90"/>
    <w:rsid w:val="00431FCE"/>
    <w:rsid w:val="004C65EB"/>
    <w:rsid w:val="006778BC"/>
    <w:rsid w:val="008F6CBB"/>
    <w:rsid w:val="009F2FB6"/>
    <w:rsid w:val="00AD776B"/>
    <w:rsid w:val="00B1798B"/>
    <w:rsid w:val="00B233DA"/>
    <w:rsid w:val="00DE41FC"/>
    <w:rsid w:val="00E02790"/>
    <w:rsid w:val="00E32689"/>
    <w:rsid w:val="00E8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C6C81"/>
  <w15:chartTrackingRefBased/>
  <w15:docId w15:val="{BE34ADA3-B776-4752-B998-7D5D8C75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1FC"/>
    <w:pPr>
      <w:keepNext/>
      <w:keepLines/>
      <w:suppressAutoHyphens/>
      <w:spacing w:after="0"/>
      <w:jc w:val="center"/>
      <w:outlineLvl w:val="0"/>
    </w:pPr>
    <w:rPr>
      <w:rFonts w:ascii="Open Sans" w:eastAsiaTheme="majorEastAsia" w:hAnsi="Open Sans" w:cstheme="majorBidi"/>
      <w:b/>
      <w:sz w:val="28"/>
      <w:szCs w:val="32"/>
      <w:lang w:val="ru-RU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C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C65E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E41FC"/>
  </w:style>
  <w:style w:type="paragraph" w:styleId="Stopka">
    <w:name w:val="footer"/>
    <w:basedOn w:val="Normalny"/>
    <w:link w:val="Stopka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1FC"/>
  </w:style>
  <w:style w:type="character" w:customStyle="1" w:styleId="Nagwek1Znak">
    <w:name w:val="Nagłówek 1 Znak"/>
    <w:basedOn w:val="Domylnaczcionkaakapitu"/>
    <w:link w:val="Nagwek1"/>
    <w:uiPriority w:val="9"/>
    <w:rsid w:val="00DE41FC"/>
    <w:rPr>
      <w:rFonts w:ascii="Open Sans" w:eastAsiaTheme="majorEastAsia" w:hAnsi="Open Sans" w:cstheme="majorBidi"/>
      <w:b/>
      <w:sz w:val="28"/>
      <w:szCs w:val="32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Ubych</cp:lastModifiedBy>
  <cp:revision>2</cp:revision>
  <cp:lastPrinted>2026-06-09T09:08:00Z</cp:lastPrinted>
  <dcterms:created xsi:type="dcterms:W3CDTF">2026-08-05T10:38:00Z</dcterms:created>
  <dcterms:modified xsi:type="dcterms:W3CDTF">2026-08-05T10:38:00Z</dcterms:modified>
</cp:coreProperties>
</file>