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09C4B" w14:textId="77777777" w:rsidR="00DE41FC" w:rsidRDefault="00DE41FC" w:rsidP="00DE41FC">
      <w:pPr>
        <w:tabs>
          <w:tab w:val="left" w:pos="6379"/>
        </w:tabs>
        <w:spacing w:line="276" w:lineRule="auto"/>
        <w:jc w:val="center"/>
        <w:rPr>
          <w:rFonts w:ascii="Open Sans" w:hAnsi="Open Sans" w:cs="Open Sans"/>
          <w:bCs/>
        </w:rPr>
      </w:pPr>
    </w:p>
    <w:p w14:paraId="6D08D79D" w14:textId="2017058C" w:rsidR="00DE41FC" w:rsidRPr="002D4736" w:rsidRDefault="00DE41FC" w:rsidP="00EE4247">
      <w:pPr>
        <w:tabs>
          <w:tab w:val="left" w:pos="6379"/>
        </w:tabs>
        <w:spacing w:line="276" w:lineRule="auto"/>
        <w:rPr>
          <w:rFonts w:cs="Open Sans"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Nr </w:t>
      </w:r>
      <w:proofErr w:type="gramStart"/>
      <w:r>
        <w:rPr>
          <w:rFonts w:eastAsia="Calibri" w:cstheme="minorHAnsi"/>
          <w:sz w:val="24"/>
          <w:szCs w:val="24"/>
        </w:rPr>
        <w:t>sprawy:  KG</w:t>
      </w:r>
      <w:proofErr w:type="gramEnd"/>
      <w:r>
        <w:rPr>
          <w:rFonts w:eastAsia="Calibri" w:cstheme="minorHAnsi"/>
          <w:sz w:val="24"/>
          <w:szCs w:val="24"/>
        </w:rPr>
        <w:t>.260/ZP/</w:t>
      </w:r>
      <w:r w:rsidR="00B233DA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/2026                                        </w:t>
      </w:r>
      <w:r w:rsidR="00EE4247">
        <w:rPr>
          <w:rFonts w:eastAsia="Calibri" w:cstheme="minorHAnsi"/>
          <w:sz w:val="24"/>
          <w:szCs w:val="24"/>
        </w:rPr>
        <w:t xml:space="preserve">                   </w:t>
      </w:r>
      <w:r w:rsidRPr="002D4736">
        <w:rPr>
          <w:rFonts w:cs="Open Sans"/>
          <w:bCs/>
          <w:sz w:val="24"/>
          <w:szCs w:val="24"/>
        </w:rPr>
        <w:t xml:space="preserve">Konin, dnia </w:t>
      </w:r>
      <w:r w:rsidR="00EE4247">
        <w:rPr>
          <w:rFonts w:cs="Open Sans"/>
          <w:bCs/>
          <w:sz w:val="24"/>
          <w:szCs w:val="24"/>
        </w:rPr>
        <w:t>6</w:t>
      </w:r>
      <w:r w:rsidR="00B233DA">
        <w:rPr>
          <w:rFonts w:cs="Open Sans"/>
          <w:bCs/>
          <w:sz w:val="24"/>
          <w:szCs w:val="24"/>
        </w:rPr>
        <w:t xml:space="preserve"> sierpnia</w:t>
      </w:r>
      <w:r w:rsidR="006778BC">
        <w:rPr>
          <w:rFonts w:cs="Open Sans"/>
          <w:bCs/>
          <w:sz w:val="24"/>
          <w:szCs w:val="24"/>
        </w:rPr>
        <w:t xml:space="preserve"> </w:t>
      </w:r>
      <w:r w:rsidRPr="002D4736">
        <w:rPr>
          <w:rFonts w:cs="Open Sans"/>
          <w:bCs/>
          <w:sz w:val="24"/>
          <w:szCs w:val="24"/>
        </w:rPr>
        <w:t>2026 r.</w:t>
      </w:r>
    </w:p>
    <w:p w14:paraId="0744913C" w14:textId="77777777" w:rsidR="004C65EB" w:rsidRDefault="00DE41FC" w:rsidP="00DE41FC">
      <w:pPr>
        <w:tabs>
          <w:tab w:val="left" w:pos="5165"/>
        </w:tabs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ab/>
      </w:r>
    </w:p>
    <w:p w14:paraId="6C844D30" w14:textId="77777777" w:rsidR="00DE41FC" w:rsidRDefault="00DE41FC" w:rsidP="00DE41FC">
      <w:pPr>
        <w:tabs>
          <w:tab w:val="left" w:pos="5165"/>
        </w:tabs>
        <w:spacing w:after="0" w:line="240" w:lineRule="auto"/>
        <w:rPr>
          <w:rFonts w:eastAsia="Times New Roman" w:cstheme="minorHAnsi"/>
          <w:lang w:eastAsia="pl-PL"/>
        </w:rPr>
      </w:pPr>
    </w:p>
    <w:p w14:paraId="2A921297" w14:textId="77777777" w:rsidR="00DE41FC" w:rsidRPr="00DE41FC" w:rsidRDefault="00DE41FC" w:rsidP="00DE41FC">
      <w:pPr>
        <w:pStyle w:val="Nagwek1"/>
        <w:spacing w:after="160" w:line="276" w:lineRule="auto"/>
        <w:rPr>
          <w:rFonts w:cs="Open Sans"/>
          <w:sz w:val="24"/>
          <w:szCs w:val="24"/>
          <w:lang w:val="pl-PL"/>
        </w:rPr>
      </w:pPr>
      <w:r w:rsidRPr="00DE41FC">
        <w:rPr>
          <w:rFonts w:cs="Open Sans"/>
          <w:sz w:val="24"/>
          <w:szCs w:val="24"/>
          <w:lang w:val="pl-PL"/>
        </w:rPr>
        <w:t xml:space="preserve">Wyjaśnienie </w:t>
      </w:r>
    </w:p>
    <w:p w14:paraId="40DFF0EA" w14:textId="77777777" w:rsidR="00DE41FC" w:rsidRPr="00DE41FC" w:rsidRDefault="00DE41FC" w:rsidP="00DE41FC">
      <w:pPr>
        <w:pStyle w:val="Nagwek"/>
        <w:tabs>
          <w:tab w:val="clear" w:pos="4536"/>
          <w:tab w:val="clear" w:pos="9072"/>
          <w:tab w:val="left" w:pos="3917"/>
        </w:tabs>
        <w:jc w:val="both"/>
        <w:rPr>
          <w:rFonts w:cstheme="minorHAnsi"/>
          <w:b/>
          <w:shd w:val="clear" w:color="auto" w:fill="FFFFFF"/>
        </w:rPr>
      </w:pPr>
      <w:r w:rsidRPr="00DE41FC">
        <w:rPr>
          <w:rFonts w:cstheme="minorHAnsi"/>
        </w:rPr>
        <w:t xml:space="preserve">treści specyfikacji warunków zamówienia w postępowaniu na: </w:t>
      </w:r>
      <w:r w:rsidRPr="00DE41FC">
        <w:rPr>
          <w:rFonts w:cstheme="minorHAnsi"/>
          <w:b/>
          <w:shd w:val="clear" w:color="auto" w:fill="FFFFFF"/>
        </w:rPr>
        <w:t xml:space="preserve">Wyposażenie pracowni specjalistycznych ZSGE w Koninie w ramach </w:t>
      </w:r>
      <w:proofErr w:type="gramStart"/>
      <w:r w:rsidRPr="00DE41FC">
        <w:rPr>
          <w:rFonts w:cstheme="minorHAnsi"/>
          <w:b/>
          <w:shd w:val="clear" w:color="auto" w:fill="FFFFFF"/>
        </w:rPr>
        <w:t>projektu  "</w:t>
      </w:r>
      <w:proofErr w:type="gramEnd"/>
      <w:r w:rsidRPr="00DE41FC">
        <w:rPr>
          <w:rFonts w:cstheme="minorHAnsi"/>
          <w:b/>
          <w:shd w:val="clear" w:color="auto" w:fill="FFFFFF"/>
        </w:rPr>
        <w:t xml:space="preserve"> Dostosowanie kształcenia zawodowego                        w Aglomeracji Konińskiej do zmieniającego się rynku pracy"</w:t>
      </w:r>
    </w:p>
    <w:p w14:paraId="6A2A147A" w14:textId="77777777" w:rsidR="00DE41FC" w:rsidRPr="00DE41FC" w:rsidRDefault="00DE41FC" w:rsidP="00DE41FC">
      <w:pPr>
        <w:pStyle w:val="Nagwek"/>
        <w:tabs>
          <w:tab w:val="clear" w:pos="4536"/>
          <w:tab w:val="clear" w:pos="9072"/>
          <w:tab w:val="left" w:pos="3917"/>
        </w:tabs>
        <w:jc w:val="both"/>
        <w:rPr>
          <w:rFonts w:cstheme="minorHAnsi"/>
          <w:b/>
        </w:rPr>
      </w:pPr>
    </w:p>
    <w:p w14:paraId="6B60737F" w14:textId="0722161B" w:rsidR="00DE41FC" w:rsidRPr="00115D2E" w:rsidRDefault="00DE41FC" w:rsidP="00DE41FC">
      <w:pPr>
        <w:spacing w:line="276" w:lineRule="auto"/>
        <w:jc w:val="both"/>
        <w:rPr>
          <w:rFonts w:cstheme="minorHAnsi"/>
          <w:sz w:val="24"/>
          <w:szCs w:val="24"/>
        </w:rPr>
      </w:pPr>
      <w:r w:rsidRPr="00115D2E">
        <w:rPr>
          <w:rFonts w:cstheme="minorHAnsi"/>
          <w:sz w:val="24"/>
          <w:szCs w:val="24"/>
        </w:rPr>
        <w:t xml:space="preserve">Działając na podstawie art. 284 ust. 1, 2 i </w:t>
      </w:r>
      <w:proofErr w:type="gramStart"/>
      <w:r w:rsidRPr="00115D2E">
        <w:rPr>
          <w:rFonts w:cstheme="minorHAnsi"/>
          <w:sz w:val="24"/>
          <w:szCs w:val="24"/>
        </w:rPr>
        <w:t>6  oraz</w:t>
      </w:r>
      <w:proofErr w:type="gramEnd"/>
      <w:r w:rsidRPr="00115D2E">
        <w:rPr>
          <w:rFonts w:cstheme="minorHAnsi"/>
          <w:sz w:val="24"/>
          <w:szCs w:val="24"/>
        </w:rPr>
        <w:t xml:space="preserve">  286 ust. 1, 7 ustawy z dnia 11 września 2019 roku Prawo zamówień publicznych (</w:t>
      </w:r>
      <w:proofErr w:type="spellStart"/>
      <w:r w:rsidRPr="00115D2E">
        <w:rPr>
          <w:rFonts w:cstheme="minorHAnsi"/>
          <w:sz w:val="24"/>
          <w:szCs w:val="24"/>
        </w:rPr>
        <w:t>t.j</w:t>
      </w:r>
      <w:proofErr w:type="spellEnd"/>
      <w:r w:rsidRPr="00115D2E">
        <w:rPr>
          <w:rFonts w:cstheme="minorHAnsi"/>
          <w:sz w:val="24"/>
          <w:szCs w:val="24"/>
        </w:rPr>
        <w:t xml:space="preserve">. Dz.U. 2024 r., poz. 1320 ze zm.), Zamawiający informuje, że </w:t>
      </w:r>
      <w:r>
        <w:rPr>
          <w:rFonts w:cstheme="minorHAnsi"/>
          <w:sz w:val="24"/>
          <w:szCs w:val="24"/>
        </w:rPr>
        <w:t>wpły</w:t>
      </w:r>
      <w:r w:rsidR="00EE4247">
        <w:rPr>
          <w:rFonts w:cstheme="minorHAnsi"/>
          <w:sz w:val="24"/>
          <w:szCs w:val="24"/>
        </w:rPr>
        <w:t>nęły</w:t>
      </w:r>
      <w:r>
        <w:rPr>
          <w:rFonts w:cstheme="minorHAnsi"/>
          <w:sz w:val="24"/>
          <w:szCs w:val="24"/>
        </w:rPr>
        <w:t xml:space="preserve"> wniosk</w:t>
      </w:r>
      <w:r w:rsidR="00EE4247">
        <w:rPr>
          <w:rFonts w:cstheme="minorHAnsi"/>
          <w:sz w:val="24"/>
          <w:szCs w:val="24"/>
        </w:rPr>
        <w:t>i</w:t>
      </w:r>
      <w:r w:rsidRPr="00115D2E">
        <w:rPr>
          <w:rFonts w:cstheme="minorHAnsi"/>
          <w:sz w:val="24"/>
          <w:szCs w:val="24"/>
        </w:rPr>
        <w:t xml:space="preserve"> od Wykonawc</w:t>
      </w:r>
      <w:r w:rsidR="00EE4247">
        <w:rPr>
          <w:rFonts w:cstheme="minorHAnsi"/>
          <w:sz w:val="24"/>
          <w:szCs w:val="24"/>
        </w:rPr>
        <w:t>ów</w:t>
      </w:r>
      <w:r>
        <w:rPr>
          <w:rFonts w:cstheme="minorHAnsi"/>
          <w:sz w:val="24"/>
          <w:szCs w:val="24"/>
        </w:rPr>
        <w:t>, na któr</w:t>
      </w:r>
      <w:r w:rsidR="00EE4247">
        <w:rPr>
          <w:rFonts w:cstheme="minorHAnsi"/>
          <w:sz w:val="24"/>
          <w:szCs w:val="24"/>
        </w:rPr>
        <w:t>e</w:t>
      </w:r>
      <w:r w:rsidRPr="00115D2E">
        <w:rPr>
          <w:rFonts w:cstheme="minorHAnsi"/>
          <w:sz w:val="24"/>
          <w:szCs w:val="24"/>
        </w:rPr>
        <w:t xml:space="preserve"> udziela następujących odpowiedzi:</w:t>
      </w:r>
    </w:p>
    <w:p w14:paraId="6E3BAD8B" w14:textId="77777777" w:rsidR="00DE41FC" w:rsidRDefault="00DE41FC" w:rsidP="00DE41FC">
      <w:pPr>
        <w:tabs>
          <w:tab w:val="left" w:pos="5165"/>
        </w:tabs>
        <w:spacing w:after="0" w:line="240" w:lineRule="auto"/>
        <w:rPr>
          <w:rFonts w:eastAsia="Times New Roman" w:cstheme="minorHAnsi"/>
          <w:lang w:eastAsia="pl-PL"/>
        </w:rPr>
      </w:pPr>
    </w:p>
    <w:p w14:paraId="027DA89B" w14:textId="77777777" w:rsidR="004C65EB" w:rsidRDefault="004C65EB" w:rsidP="004C65EB">
      <w:pPr>
        <w:jc w:val="both"/>
        <w:rPr>
          <w:b/>
        </w:rPr>
      </w:pPr>
      <w:r w:rsidRPr="009F2FB6">
        <w:rPr>
          <w:b/>
        </w:rPr>
        <w:t>Pytanie 1</w:t>
      </w:r>
    </w:p>
    <w:p w14:paraId="506A1F3D" w14:textId="7F83F0A2" w:rsidR="00EE4247" w:rsidRPr="009F2FB6" w:rsidRDefault="00EE4247" w:rsidP="004C65EB">
      <w:pPr>
        <w:jc w:val="both"/>
        <w:rPr>
          <w:b/>
        </w:rPr>
      </w:pPr>
      <w:r w:rsidRPr="00EE4247">
        <w:rPr>
          <w:b/>
        </w:rPr>
        <w:t>1. Zamawiający do pozycji oprogramowanie biurowe (poz17) wskazał dokładny model - Office LTSC Standard 2024, jednak z opisu wynika, że jest to wersja Pro która posiada dodatkowo właśnie bazy danych i jest niemal dwa razy droższa. Proszę zatem o wyjaśnienie jakiego oprogramowania wymaga zamawiający</w:t>
      </w:r>
      <w:r>
        <w:rPr>
          <w:b/>
        </w:rPr>
        <w:t>.</w:t>
      </w:r>
    </w:p>
    <w:p w14:paraId="199B60F8" w14:textId="77777777" w:rsidR="00B233DA" w:rsidRDefault="00B233DA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14:paraId="609AD4B9" w14:textId="2F04C946" w:rsidR="00DE41FC" w:rsidRDefault="00DE41FC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  <w:r w:rsidRPr="004C65EB">
        <w:rPr>
          <w:rFonts w:eastAsia="Times New Roman" w:cstheme="minorHAnsi"/>
          <w:b/>
          <w:lang w:eastAsia="pl-PL"/>
        </w:rPr>
        <w:t>Odpowiedź na pytanie 1</w:t>
      </w:r>
    </w:p>
    <w:p w14:paraId="2032E41B" w14:textId="77777777" w:rsidR="00EE4247" w:rsidRPr="00EE4247" w:rsidRDefault="00EE4247" w:rsidP="00EE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Cs/>
          <w:lang w:eastAsia="pl-PL"/>
        </w:rPr>
      </w:pPr>
      <w:r w:rsidRPr="00EE4247">
        <w:rPr>
          <w:rFonts w:eastAsia="Times New Roman" w:cstheme="minorHAnsi"/>
          <w:bCs/>
          <w:lang w:eastAsia="pl-PL"/>
        </w:rPr>
        <w:t>Zamawiający wymaga oprogramowania: Office LTSC Standard 2024</w:t>
      </w:r>
    </w:p>
    <w:p w14:paraId="5B659468" w14:textId="2FA0BF1E" w:rsidR="00EE4247" w:rsidRPr="00EE4247" w:rsidRDefault="00EE4247" w:rsidP="00EE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Cs/>
          <w:lang w:eastAsia="pl-PL"/>
        </w:rPr>
      </w:pPr>
      <w:r w:rsidRPr="00EE4247">
        <w:rPr>
          <w:rFonts w:eastAsia="Times New Roman" w:cstheme="minorHAnsi"/>
          <w:bCs/>
          <w:lang w:eastAsia="pl-PL"/>
        </w:rPr>
        <w:t xml:space="preserve">Zamawiający wykreśla z opisu wymaganie: </w:t>
      </w:r>
      <w:r>
        <w:rPr>
          <w:rFonts w:eastAsia="Times New Roman" w:cstheme="minorHAnsi"/>
          <w:bCs/>
          <w:lang w:eastAsia="pl-PL"/>
        </w:rPr>
        <w:t>„</w:t>
      </w:r>
      <w:r w:rsidRPr="00EE4247">
        <w:rPr>
          <w:rFonts w:eastAsia="Times New Roman" w:cstheme="minorHAnsi"/>
          <w:bCs/>
          <w:lang w:eastAsia="pl-PL"/>
        </w:rPr>
        <w:t>Baza danych: przeznaczona do tworzenia i zarządzania bazami danych.”</w:t>
      </w:r>
    </w:p>
    <w:p w14:paraId="6A3975EF" w14:textId="77777777" w:rsidR="00EE4247" w:rsidRDefault="00EE4247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</w:p>
    <w:p w14:paraId="58508816" w14:textId="77777777" w:rsidR="00EE4247" w:rsidRPr="004C65EB" w:rsidRDefault="00EE4247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</w:p>
    <w:p w14:paraId="03D745E3" w14:textId="77777777" w:rsidR="004C65EB" w:rsidRDefault="004C65EB" w:rsidP="004C65EB">
      <w:pPr>
        <w:jc w:val="both"/>
        <w:rPr>
          <w:b/>
        </w:rPr>
      </w:pPr>
      <w:r w:rsidRPr="009F2FB6">
        <w:rPr>
          <w:b/>
        </w:rPr>
        <w:t>Pytanie 2</w:t>
      </w:r>
    </w:p>
    <w:p w14:paraId="22D71C9D" w14:textId="3E4C259E" w:rsidR="00EE4247" w:rsidRDefault="00EE4247" w:rsidP="004C65EB">
      <w:pPr>
        <w:jc w:val="both"/>
        <w:rPr>
          <w:b/>
        </w:rPr>
      </w:pPr>
      <w:r w:rsidRPr="00EE4247">
        <w:rPr>
          <w:bCs/>
        </w:rPr>
        <w:t xml:space="preserve">Czy Zamawiający dopuści monitor dodatkowy do zestawu </w:t>
      </w:r>
      <w:proofErr w:type="spellStart"/>
      <w:r w:rsidRPr="00EE4247">
        <w:rPr>
          <w:bCs/>
        </w:rPr>
        <w:t>AiO</w:t>
      </w:r>
      <w:proofErr w:type="spellEnd"/>
      <w:r w:rsidRPr="00EE4247">
        <w:rPr>
          <w:bCs/>
        </w:rPr>
        <w:t xml:space="preserve"> bez wbudowanego języka polskiego </w:t>
      </w:r>
      <w:r w:rsidR="008D45FB">
        <w:rPr>
          <w:bCs/>
        </w:rPr>
        <w:t xml:space="preserve">                      </w:t>
      </w:r>
      <w:r w:rsidRPr="00EE4247">
        <w:rPr>
          <w:bCs/>
        </w:rPr>
        <w:t xml:space="preserve">w OSD? Pozwoli to zaproponować większą ilość monitorów co uatrakcyjni oferty oraz pozwoli zaproponować sprzęt jednego producenta dla </w:t>
      </w:r>
      <w:proofErr w:type="spellStart"/>
      <w:r w:rsidRPr="00EE4247">
        <w:rPr>
          <w:bCs/>
        </w:rPr>
        <w:t>Aio</w:t>
      </w:r>
      <w:proofErr w:type="spellEnd"/>
      <w:r w:rsidRPr="00EE4247">
        <w:rPr>
          <w:bCs/>
        </w:rPr>
        <w:t xml:space="preserve"> i dodatkowego monitora</w:t>
      </w:r>
      <w:r w:rsidRPr="00EE4247">
        <w:rPr>
          <w:b/>
        </w:rPr>
        <w:t>.</w:t>
      </w:r>
    </w:p>
    <w:p w14:paraId="2E5C042C" w14:textId="77777777" w:rsidR="00EE4247" w:rsidRDefault="00EE4247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</w:p>
    <w:p w14:paraId="3EE3E8F2" w14:textId="134DE522" w:rsidR="00DE41FC" w:rsidRPr="00B233DA" w:rsidRDefault="00DE41FC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  <w:r w:rsidRPr="004C65EB">
        <w:rPr>
          <w:rFonts w:eastAsia="Times New Roman" w:cstheme="minorHAnsi"/>
          <w:b/>
          <w:lang w:eastAsia="pl-PL"/>
        </w:rPr>
        <w:t>Odpowiedź na pytanie 2</w:t>
      </w:r>
    </w:p>
    <w:p w14:paraId="410A8FF9" w14:textId="767B33AE" w:rsidR="004C65EB" w:rsidRDefault="00EE4247" w:rsidP="004C6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  <w:r w:rsidRPr="00EE4247">
        <w:rPr>
          <w:rFonts w:eastAsia="Times New Roman" w:cstheme="minorHAnsi"/>
          <w:lang w:eastAsia="pl-PL"/>
        </w:rPr>
        <w:t xml:space="preserve">Tak. Zamawiający dopuszcza monitor dodatkowy do zestawu </w:t>
      </w:r>
      <w:proofErr w:type="spellStart"/>
      <w:r w:rsidRPr="00EE4247">
        <w:rPr>
          <w:rFonts w:eastAsia="Times New Roman" w:cstheme="minorHAnsi"/>
          <w:lang w:eastAsia="pl-PL"/>
        </w:rPr>
        <w:t>AiO</w:t>
      </w:r>
      <w:proofErr w:type="spellEnd"/>
      <w:r w:rsidRPr="00EE4247">
        <w:rPr>
          <w:rFonts w:eastAsia="Times New Roman" w:cstheme="minorHAnsi"/>
          <w:lang w:eastAsia="pl-PL"/>
        </w:rPr>
        <w:t xml:space="preserve"> bez wbudowanego języka polskiego w OSD.</w:t>
      </w:r>
    </w:p>
    <w:p w14:paraId="255CBDF0" w14:textId="77777777" w:rsidR="00EE4247" w:rsidRPr="009F2FB6" w:rsidRDefault="00EE4247" w:rsidP="004C6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</w:p>
    <w:p w14:paraId="6208671C" w14:textId="6FE10584" w:rsidR="00976E4C" w:rsidRDefault="00976E4C" w:rsidP="00976E4C">
      <w:pPr>
        <w:jc w:val="both"/>
        <w:rPr>
          <w:b/>
        </w:rPr>
      </w:pPr>
      <w:r w:rsidRPr="009F2FB6">
        <w:rPr>
          <w:b/>
        </w:rPr>
        <w:t xml:space="preserve">Pytanie </w:t>
      </w:r>
      <w:r>
        <w:rPr>
          <w:b/>
        </w:rPr>
        <w:t>3</w:t>
      </w:r>
    </w:p>
    <w:p w14:paraId="14916194" w14:textId="1BCBA220" w:rsidR="00976E4C" w:rsidRPr="00976E4C" w:rsidRDefault="00976E4C" w:rsidP="00976E4C">
      <w:pPr>
        <w:jc w:val="both"/>
        <w:rPr>
          <w:bCs/>
        </w:rPr>
      </w:pPr>
      <w:r w:rsidRPr="00976E4C">
        <w:rPr>
          <w:bCs/>
        </w:rPr>
        <w:t>Z</w:t>
      </w:r>
      <w:r w:rsidRPr="00976E4C">
        <w:rPr>
          <w:bCs/>
        </w:rPr>
        <w:t>wracamy się z prośbą o rozważenie wykreślenia z wymagań zawartych w Załączniku nr 2 do SWZ, dotyczących pozycji nr 4 – „Zestaw komputerowy” (38 szt.), wymagania wyposażenia monitora w wyjście audio 3,5 mm (</w:t>
      </w:r>
      <w:proofErr w:type="spellStart"/>
      <w:r w:rsidRPr="00976E4C">
        <w:rPr>
          <w:bCs/>
        </w:rPr>
        <w:t>jack</w:t>
      </w:r>
      <w:proofErr w:type="spellEnd"/>
      <w:r w:rsidRPr="00976E4C">
        <w:rPr>
          <w:bCs/>
        </w:rPr>
        <w:t xml:space="preserve">). Usunięcie tego wymagania nie wpłynie na funkcjonalność oferowanych </w:t>
      </w:r>
      <w:r w:rsidRPr="00976E4C">
        <w:rPr>
          <w:bCs/>
        </w:rPr>
        <w:lastRenderedPageBreak/>
        <w:t>monitorów, natomiast zwiększy konkurencyjność postępowania i umożliwi zaoferowanie szerszej gamy nowoczesnych modeli biznesowych. W związku z powyższym prosimy o usunięcie wymogu posiadania przez monitor wyjścia audio 3,5 mm (</w:t>
      </w:r>
      <w:proofErr w:type="spellStart"/>
      <w:r w:rsidRPr="00976E4C">
        <w:rPr>
          <w:bCs/>
        </w:rPr>
        <w:t>jack</w:t>
      </w:r>
      <w:proofErr w:type="spellEnd"/>
      <w:r w:rsidRPr="00976E4C">
        <w:rPr>
          <w:bCs/>
        </w:rPr>
        <w:t>).</w:t>
      </w:r>
    </w:p>
    <w:p w14:paraId="11BACC2E" w14:textId="77777777" w:rsidR="00976E4C" w:rsidRDefault="00976E4C" w:rsidP="00226879">
      <w:pPr>
        <w:spacing w:after="0" w:line="240" w:lineRule="auto"/>
        <w:rPr>
          <w:rFonts w:ascii="Open Sans" w:eastAsia="Calibri" w:hAnsi="Open Sans" w:cs="Open Sans"/>
        </w:rPr>
      </w:pPr>
    </w:p>
    <w:p w14:paraId="7D994089" w14:textId="03660F2F" w:rsidR="00976E4C" w:rsidRDefault="00976E4C" w:rsidP="00976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  <w:r w:rsidRPr="004C65EB">
        <w:rPr>
          <w:rFonts w:eastAsia="Times New Roman" w:cstheme="minorHAnsi"/>
          <w:b/>
          <w:lang w:eastAsia="pl-PL"/>
        </w:rPr>
        <w:t xml:space="preserve">Odpowiedź na pytanie </w:t>
      </w:r>
      <w:r>
        <w:rPr>
          <w:rFonts w:eastAsia="Times New Roman" w:cstheme="minorHAnsi"/>
          <w:b/>
          <w:lang w:eastAsia="pl-PL"/>
        </w:rPr>
        <w:t>3</w:t>
      </w:r>
    </w:p>
    <w:p w14:paraId="13AD6A7F" w14:textId="77777777" w:rsidR="00976E4C" w:rsidRDefault="00976E4C" w:rsidP="00976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</w:p>
    <w:p w14:paraId="3C337D92" w14:textId="73A5D8A1" w:rsidR="00976E4C" w:rsidRDefault="00976E4C" w:rsidP="00976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hAnsi="Calibri" w:cs="Calibri"/>
          <w:b/>
          <w:bCs/>
        </w:rPr>
      </w:pPr>
      <w:r w:rsidRPr="00976E4C">
        <w:rPr>
          <w:rFonts w:eastAsia="Times New Roman" w:cstheme="minorHAnsi"/>
          <w:bCs/>
          <w:lang w:eastAsia="pl-PL"/>
        </w:rPr>
        <w:t xml:space="preserve">Zamawiający usuwa zapis </w:t>
      </w:r>
      <w:r>
        <w:rPr>
          <w:rFonts w:eastAsia="Times New Roman" w:cstheme="minorHAnsi"/>
          <w:bCs/>
          <w:lang w:eastAsia="pl-PL"/>
        </w:rPr>
        <w:t xml:space="preserve">w poz. 4 OPZ dot. dodatkowego </w:t>
      </w:r>
      <w:proofErr w:type="gramStart"/>
      <w:r>
        <w:rPr>
          <w:rFonts w:eastAsia="Times New Roman" w:cstheme="minorHAnsi"/>
          <w:bCs/>
          <w:lang w:eastAsia="pl-PL"/>
        </w:rPr>
        <w:t>monitora :</w:t>
      </w:r>
      <w:proofErr w:type="gramEnd"/>
      <w:r>
        <w:rPr>
          <w:rFonts w:eastAsia="Times New Roman" w:cstheme="minorHAnsi"/>
          <w:bCs/>
          <w:lang w:eastAsia="pl-PL"/>
        </w:rPr>
        <w:t xml:space="preserve"> </w:t>
      </w:r>
      <w:r w:rsidRPr="00976E4C">
        <w:rPr>
          <w:rFonts w:ascii="Calibri" w:hAnsi="Calibri" w:cs="Calibri"/>
          <w:b/>
          <w:bCs/>
        </w:rPr>
        <w:t>1 × wyjście audio (</w:t>
      </w:r>
      <w:proofErr w:type="spellStart"/>
      <w:r w:rsidRPr="00976E4C">
        <w:rPr>
          <w:rFonts w:ascii="Calibri" w:hAnsi="Calibri" w:cs="Calibri"/>
          <w:b/>
          <w:bCs/>
        </w:rPr>
        <w:t>jack</w:t>
      </w:r>
      <w:proofErr w:type="spellEnd"/>
      <w:r w:rsidRPr="00976E4C">
        <w:rPr>
          <w:rFonts w:ascii="Calibri" w:hAnsi="Calibri" w:cs="Calibri"/>
          <w:b/>
          <w:bCs/>
        </w:rPr>
        <w:t xml:space="preserve"> 3,5 mm)</w:t>
      </w:r>
    </w:p>
    <w:p w14:paraId="2671114F" w14:textId="77777777" w:rsidR="00976E4C" w:rsidRDefault="00976E4C" w:rsidP="00976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hAnsi="Calibri" w:cs="Calibri"/>
          <w:b/>
          <w:bCs/>
        </w:rPr>
      </w:pPr>
    </w:p>
    <w:p w14:paraId="733F57CE" w14:textId="77777777" w:rsidR="00976E4C" w:rsidRPr="00976E4C" w:rsidRDefault="00976E4C" w:rsidP="00976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Cs/>
          <w:lang w:eastAsia="pl-PL"/>
        </w:rPr>
      </w:pPr>
    </w:p>
    <w:p w14:paraId="6E181A47" w14:textId="77777777" w:rsidR="003D0222" w:rsidRPr="009F2FB6" w:rsidRDefault="003D0222" w:rsidP="00226879">
      <w:pPr>
        <w:spacing w:after="0" w:line="240" w:lineRule="auto"/>
        <w:rPr>
          <w:rFonts w:ascii="Open Sans" w:eastAsia="Calibri" w:hAnsi="Open Sans" w:cs="Open Sans"/>
        </w:rPr>
      </w:pPr>
    </w:p>
    <w:p w14:paraId="7C1A41E6" w14:textId="77777777" w:rsidR="00226879" w:rsidRPr="009F2FB6" w:rsidRDefault="00226879" w:rsidP="00226879">
      <w:pPr>
        <w:spacing w:after="0" w:line="276" w:lineRule="auto"/>
        <w:rPr>
          <w:rFonts w:eastAsia="Calibri" w:cs="Open Sans"/>
        </w:rPr>
      </w:pPr>
      <w:r w:rsidRPr="009F2FB6">
        <w:rPr>
          <w:rFonts w:eastAsia="Calibri" w:cs="Open Sans"/>
        </w:rPr>
        <w:t>Zamawiający informuje, iż powyższe wyjaśnienia są integralną częścią postępowania oraz są wiążące przy składaniu ofert.</w:t>
      </w:r>
      <w:r w:rsidRPr="009F2FB6">
        <w:rPr>
          <w:rFonts w:eastAsia="Calibri" w:cs="Open Sans"/>
        </w:rPr>
        <w:br/>
        <w:t>Ww. wyjaśnienia podlegają udostępnieniu na Platformie e- zamówienia.</w:t>
      </w:r>
    </w:p>
    <w:p w14:paraId="165F149C" w14:textId="77777777" w:rsidR="00226879" w:rsidRPr="009F2FB6" w:rsidRDefault="00226879" w:rsidP="00226879">
      <w:pPr>
        <w:spacing w:after="0" w:line="276" w:lineRule="auto"/>
        <w:rPr>
          <w:rFonts w:eastAsia="Calibri" w:cs="Open Sans"/>
        </w:rPr>
      </w:pPr>
      <w:r w:rsidRPr="009F2FB6">
        <w:rPr>
          <w:rFonts w:eastAsia="Calibri" w:cs="Open Sans"/>
        </w:rPr>
        <w:t>.</w:t>
      </w:r>
    </w:p>
    <w:p w14:paraId="58A6687B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ascii="Open Sans" w:eastAsia="Calibri" w:hAnsi="Open Sans" w:cs="Open Sans"/>
        </w:rPr>
        <w:br/>
      </w:r>
      <w:r w:rsidRPr="009F2FB6">
        <w:rPr>
          <w:rFonts w:eastAsia="Times New Roman" w:cs="Open Sans"/>
          <w:b/>
          <w:lang w:eastAsia="zh-CN"/>
        </w:rPr>
        <w:t>Zatwierdził</w:t>
      </w:r>
    </w:p>
    <w:p w14:paraId="03031F4A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eastAsia="Times New Roman" w:cs="Open Sans"/>
          <w:b/>
          <w:lang w:eastAsia="zh-CN"/>
        </w:rPr>
        <w:t>Kierownik Zamawiającego</w:t>
      </w:r>
    </w:p>
    <w:p w14:paraId="29D3FCE0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eastAsia="Times New Roman" w:cs="Open Sans"/>
          <w:b/>
          <w:lang w:eastAsia="zh-CN"/>
        </w:rPr>
        <w:t>Dyrektor ZSGE</w:t>
      </w:r>
    </w:p>
    <w:p w14:paraId="4498F08C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eastAsia="Times New Roman" w:cs="Open Sans"/>
          <w:b/>
          <w:lang w:eastAsia="zh-CN"/>
        </w:rPr>
        <w:t xml:space="preserve">/-/ </w:t>
      </w:r>
      <w:r w:rsidRPr="009F2FB6">
        <w:rPr>
          <w:b/>
        </w:rPr>
        <w:t xml:space="preserve">Karol </w:t>
      </w:r>
      <w:proofErr w:type="spellStart"/>
      <w:r w:rsidRPr="009F2FB6">
        <w:rPr>
          <w:b/>
        </w:rPr>
        <w:t>Niemczynowicz</w:t>
      </w:r>
      <w:proofErr w:type="spellEnd"/>
    </w:p>
    <w:p w14:paraId="3A510D2A" w14:textId="77777777" w:rsidR="00E8419F" w:rsidRPr="009F2FB6" w:rsidRDefault="00E8419F"/>
    <w:sectPr w:rsidR="00E8419F" w:rsidRPr="009F2FB6" w:rsidSect="00DE41FC">
      <w:headerReference w:type="default" r:id="rId6"/>
      <w:headerReference w:type="first" r:id="rId7"/>
      <w:pgSz w:w="11906" w:h="16838"/>
      <w:pgMar w:top="1417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A71B9" w14:textId="77777777" w:rsidR="000D716F" w:rsidRDefault="000D716F" w:rsidP="00DE41FC">
      <w:pPr>
        <w:spacing w:after="0" w:line="240" w:lineRule="auto"/>
      </w:pPr>
      <w:r>
        <w:separator/>
      </w:r>
    </w:p>
  </w:endnote>
  <w:endnote w:type="continuationSeparator" w:id="0">
    <w:p w14:paraId="5BC00CB7" w14:textId="77777777" w:rsidR="000D716F" w:rsidRDefault="000D716F" w:rsidP="00DE4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AEA94" w14:textId="77777777" w:rsidR="000D716F" w:rsidRDefault="000D716F" w:rsidP="00DE41FC">
      <w:pPr>
        <w:spacing w:after="0" w:line="240" w:lineRule="auto"/>
      </w:pPr>
      <w:r>
        <w:separator/>
      </w:r>
    </w:p>
  </w:footnote>
  <w:footnote w:type="continuationSeparator" w:id="0">
    <w:p w14:paraId="2EEF616C" w14:textId="77777777" w:rsidR="000D716F" w:rsidRDefault="000D716F" w:rsidP="00DE4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39298" w14:textId="77777777" w:rsidR="00DE41FC" w:rsidRDefault="00DE41FC">
    <w:pPr>
      <w:pStyle w:val="Nagwek"/>
    </w:pPr>
  </w:p>
  <w:p w14:paraId="438BB938" w14:textId="77777777" w:rsidR="00DE41FC" w:rsidRDefault="00DE41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51BFC" w14:textId="77777777" w:rsidR="00DE41FC" w:rsidRDefault="00DE41FC" w:rsidP="00DE41F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CBEFB90" wp14:editId="65C595A8">
          <wp:extent cx="5760720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63F8137" w14:textId="77777777" w:rsidR="00DE41FC" w:rsidRDefault="00DE41FC" w:rsidP="00DE41FC">
    <w:pPr>
      <w:pStyle w:val="Nagwek"/>
    </w:pPr>
  </w:p>
  <w:p w14:paraId="2D4CFFB0" w14:textId="77777777" w:rsidR="00DE41FC" w:rsidRPr="00927CEC" w:rsidRDefault="00DE41FC" w:rsidP="00DE41FC">
    <w:pPr>
      <w:pStyle w:val="Nagwek"/>
      <w:tabs>
        <w:tab w:val="clear" w:pos="4536"/>
        <w:tab w:val="clear" w:pos="9072"/>
        <w:tab w:val="left" w:pos="3917"/>
      </w:tabs>
      <w:jc w:val="center"/>
      <w:rPr>
        <w:b/>
      </w:rPr>
    </w:pPr>
    <w:r w:rsidRPr="00927CEC">
      <w:rPr>
        <w:rFonts w:ascii="Arial" w:hAnsi="Arial" w:cs="Arial"/>
        <w:b/>
        <w:color w:val="10284D"/>
        <w:shd w:val="clear" w:color="auto" w:fill="FFFFFF"/>
      </w:rPr>
      <w:t xml:space="preserve">Wyposażenie pracowni specjalistycznych ZSGE w Koninie w ramach projektu </w:t>
    </w:r>
    <w:r>
      <w:rPr>
        <w:rFonts w:ascii="Arial" w:hAnsi="Arial" w:cs="Arial"/>
        <w:b/>
        <w:color w:val="10284D"/>
        <w:shd w:val="clear" w:color="auto" w:fill="FFFFFF"/>
      </w:rPr>
      <w:t xml:space="preserve">                                                                                                                  </w:t>
    </w:r>
    <w:r w:rsidRPr="00927CEC">
      <w:rPr>
        <w:rFonts w:ascii="Arial" w:hAnsi="Arial" w:cs="Arial"/>
        <w:b/>
        <w:color w:val="10284D"/>
        <w:shd w:val="clear" w:color="auto" w:fill="FFFFFF"/>
      </w:rPr>
      <w:t>" Dostosowanie kształcenia zawodowego w Aglomeracji Konińskiej do zmieniającego się rynku pracy"</w:t>
    </w:r>
  </w:p>
  <w:p w14:paraId="7DF9BB35" w14:textId="77777777" w:rsidR="00DE41FC" w:rsidRDefault="00DE41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EB"/>
    <w:rsid w:val="000D716F"/>
    <w:rsid w:val="00226879"/>
    <w:rsid w:val="00380E90"/>
    <w:rsid w:val="003D0222"/>
    <w:rsid w:val="00404C55"/>
    <w:rsid w:val="00431FCE"/>
    <w:rsid w:val="004C65EB"/>
    <w:rsid w:val="006778BC"/>
    <w:rsid w:val="008D45FB"/>
    <w:rsid w:val="008E678B"/>
    <w:rsid w:val="008F6CBB"/>
    <w:rsid w:val="00976E4C"/>
    <w:rsid w:val="009F2FB6"/>
    <w:rsid w:val="00AD776B"/>
    <w:rsid w:val="00B1798B"/>
    <w:rsid w:val="00B233DA"/>
    <w:rsid w:val="00DE41FC"/>
    <w:rsid w:val="00E02790"/>
    <w:rsid w:val="00E32689"/>
    <w:rsid w:val="00E8419F"/>
    <w:rsid w:val="00E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C6C81"/>
  <w15:chartTrackingRefBased/>
  <w15:docId w15:val="{BE34ADA3-B776-4752-B998-7D5D8C75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41FC"/>
    <w:pPr>
      <w:keepNext/>
      <w:keepLines/>
      <w:suppressAutoHyphens/>
      <w:spacing w:after="0"/>
      <w:jc w:val="center"/>
      <w:outlineLvl w:val="0"/>
    </w:pPr>
    <w:rPr>
      <w:rFonts w:ascii="Open Sans" w:eastAsiaTheme="majorEastAsia" w:hAnsi="Open Sans" w:cstheme="majorBidi"/>
      <w:b/>
      <w:sz w:val="28"/>
      <w:szCs w:val="32"/>
      <w:lang w:val="ru-RU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C65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C65E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DE41FC"/>
  </w:style>
  <w:style w:type="paragraph" w:styleId="Stopka">
    <w:name w:val="footer"/>
    <w:basedOn w:val="Normalny"/>
    <w:link w:val="StopkaZnak"/>
    <w:uiPriority w:val="99"/>
    <w:unhideWhenUsed/>
    <w:rsid w:val="00DE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1FC"/>
  </w:style>
  <w:style w:type="character" w:customStyle="1" w:styleId="Nagwek1Znak">
    <w:name w:val="Nagłówek 1 Znak"/>
    <w:basedOn w:val="Domylnaczcionkaakapitu"/>
    <w:link w:val="Nagwek1"/>
    <w:uiPriority w:val="9"/>
    <w:rsid w:val="00DE41FC"/>
    <w:rPr>
      <w:rFonts w:ascii="Open Sans" w:eastAsiaTheme="majorEastAsia" w:hAnsi="Open Sans" w:cstheme="majorBidi"/>
      <w:b/>
      <w:sz w:val="28"/>
      <w:szCs w:val="32"/>
      <w:lang w:val="ru-RU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1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F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6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Renata Ubych</cp:lastModifiedBy>
  <cp:revision>4</cp:revision>
  <cp:lastPrinted>2026-08-06T08:16:00Z</cp:lastPrinted>
  <dcterms:created xsi:type="dcterms:W3CDTF">2026-08-06T07:36:00Z</dcterms:created>
  <dcterms:modified xsi:type="dcterms:W3CDTF">2026-08-06T08:16:00Z</dcterms:modified>
</cp:coreProperties>
</file>