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264276" w14:textId="77777777" w:rsidR="00B05B2D" w:rsidRDefault="00B05B2D" w:rsidP="00530C74">
      <w:pPr>
        <w:spacing w:after="360"/>
        <w:jc w:val="right"/>
        <w:rPr>
          <w:b/>
        </w:rPr>
      </w:pPr>
      <w:r>
        <w:rPr>
          <w:b/>
        </w:rPr>
        <w:t xml:space="preserve">Załącznik nr 13 do SWZ </w:t>
      </w:r>
    </w:p>
    <w:p w14:paraId="342884C8" w14:textId="0F00721C" w:rsidR="00C2470A" w:rsidRPr="00530C74" w:rsidRDefault="00DA2661" w:rsidP="00B05B2D">
      <w:pPr>
        <w:spacing w:after="360"/>
        <w:jc w:val="center"/>
        <w:rPr>
          <w:color w:val="auto"/>
        </w:rPr>
      </w:pPr>
      <w:r>
        <w:rPr>
          <w:b/>
        </w:rPr>
        <w:t>Procedura kontroli jakości, bezpieczeństwa i reklamacji</w:t>
      </w:r>
    </w:p>
    <w:p w14:paraId="2DE16A87" w14:textId="77777777" w:rsidR="00C2470A" w:rsidRPr="00530C74" w:rsidRDefault="00DA2661" w:rsidP="00B05B2D">
      <w:pPr>
        <w:pStyle w:val="Nagwek1"/>
        <w:spacing w:before="0" w:after="80"/>
        <w:jc w:val="center"/>
        <w:rPr>
          <w:color w:val="auto"/>
        </w:rPr>
      </w:pPr>
      <w:r w:rsidRPr="00530C74">
        <w:rPr>
          <w:rFonts w:ascii="Aptos" w:eastAsia="Aptos" w:hAnsi="Aptos"/>
          <w:b w:val="0"/>
          <w:color w:val="auto"/>
        </w:rPr>
        <w:t>1. Cel procedury</w:t>
      </w:r>
    </w:p>
    <w:p w14:paraId="3BC079E3" w14:textId="1147B7F9" w:rsidR="00C2470A" w:rsidRDefault="00DA2661">
      <w:pPr>
        <w:jc w:val="both"/>
        <w:rPr>
          <w:color w:val="auto"/>
        </w:rPr>
      </w:pPr>
      <w:r w:rsidRPr="00530C74">
        <w:rPr>
          <w:color w:val="auto"/>
        </w:rPr>
        <w:t>Procedura określa minimalne zasady kontroli jakości i bezpieczeństwa usług cateringowych, dokumentowania nieprawidłowości oraz postępowania w razie reklamacji, opóźnienia, awarii lub innych zdarzeń nadzwyczajnych.</w:t>
      </w:r>
    </w:p>
    <w:p w14:paraId="07698F6C" w14:textId="77777777" w:rsidR="00B05B2D" w:rsidRPr="00530C74" w:rsidRDefault="00B05B2D">
      <w:pPr>
        <w:jc w:val="both"/>
        <w:rPr>
          <w:color w:val="auto"/>
        </w:rPr>
      </w:pPr>
    </w:p>
    <w:p w14:paraId="6210BFD2" w14:textId="77777777" w:rsidR="00C2470A" w:rsidRPr="00530C74" w:rsidRDefault="00DA2661" w:rsidP="00B05B2D">
      <w:pPr>
        <w:pStyle w:val="Nagwek1"/>
        <w:spacing w:before="0" w:after="80"/>
        <w:jc w:val="center"/>
        <w:rPr>
          <w:color w:val="auto"/>
        </w:rPr>
      </w:pPr>
      <w:r w:rsidRPr="00530C74">
        <w:rPr>
          <w:rFonts w:ascii="Aptos" w:eastAsia="Aptos" w:hAnsi="Aptos"/>
          <w:b w:val="0"/>
          <w:color w:val="auto"/>
        </w:rPr>
        <w:t>2. Kontrola przed rozpoczęciem usługi cateringowej</w:t>
      </w:r>
    </w:p>
    <w:p w14:paraId="379BCAA2" w14:textId="77777777" w:rsidR="00C2470A" w:rsidRPr="00530C74" w:rsidRDefault="00DA2661">
      <w:pPr>
        <w:spacing w:after="120"/>
        <w:jc w:val="both"/>
        <w:rPr>
          <w:color w:val="auto"/>
        </w:rPr>
      </w:pPr>
      <w:r w:rsidRPr="00530C74">
        <w:rPr>
          <w:color w:val="auto"/>
        </w:rPr>
        <w:t>Kontrola może obejmować także sprawdzenie czystości środka transportu żywności, warunków utrzymania wymaganej temperatury, opakowań albo pojemników, dokumentów sanitarnych, stanu higienicznego personelu w zakresie dopuszczalnym przepisami oraz zgodności zaplecza, środka transportu żywności i personelu z wykazami złożonymi Zamawiającemu.</w:t>
      </w:r>
    </w:p>
    <w:p w14:paraId="6EB97F8B" w14:textId="77777777" w:rsidR="00C2470A" w:rsidRPr="00530C74" w:rsidRDefault="00DA2661">
      <w:pPr>
        <w:jc w:val="both"/>
        <w:rPr>
          <w:color w:val="auto"/>
        </w:rPr>
      </w:pPr>
      <w:r w:rsidRPr="00530C74">
        <w:rPr>
          <w:color w:val="auto"/>
        </w:rPr>
        <w:t>Zamawiający może żądać numeru rejestracyjnego środka transportu żywności, danych osoby przekazującej posiłki, informacji o dostawie, dokumentu sanitarnego albo dopuszczenia, potwierdzenia badania technicznego, polisy OC oraz innych dokumentów potwierdzających dopuszczenie zaplecza i środka transportu żywności do wykonywania usługi cateringowej.</w:t>
      </w:r>
    </w:p>
    <w:p w14:paraId="5D5ED767" w14:textId="04E8802B" w:rsidR="00C2470A" w:rsidRDefault="00DA2661">
      <w:pPr>
        <w:jc w:val="both"/>
        <w:rPr>
          <w:color w:val="auto"/>
        </w:rPr>
      </w:pPr>
      <w:r w:rsidRPr="00530C74">
        <w:rPr>
          <w:color w:val="auto"/>
        </w:rPr>
        <w:t>Zamawiający może odmówić przyjęcia posiłków albo rozpoczęcia dostawy, jeżeli zaplecze, środek transportu żywności, personel albo sposób organizacji usługi cateringowej stwarza zagrożenie dla uczestników lub nie spełnia wymagań SWZ, OPZ albo umowy.</w:t>
      </w:r>
    </w:p>
    <w:p w14:paraId="6689ACD0" w14:textId="77777777" w:rsidR="00B05B2D" w:rsidRPr="00530C74" w:rsidRDefault="00B05B2D">
      <w:pPr>
        <w:jc w:val="both"/>
        <w:rPr>
          <w:color w:val="auto"/>
        </w:rPr>
      </w:pPr>
    </w:p>
    <w:p w14:paraId="1A7A7771" w14:textId="77777777" w:rsidR="00C2470A" w:rsidRPr="00530C74" w:rsidRDefault="00DA2661" w:rsidP="00B05B2D">
      <w:pPr>
        <w:pStyle w:val="Nagwek1"/>
        <w:spacing w:before="0" w:after="80"/>
        <w:jc w:val="center"/>
        <w:rPr>
          <w:color w:val="auto"/>
        </w:rPr>
      </w:pPr>
      <w:r w:rsidRPr="00530C74">
        <w:rPr>
          <w:rFonts w:ascii="Aptos" w:eastAsia="Aptos" w:hAnsi="Aptos"/>
          <w:b w:val="0"/>
          <w:color w:val="auto"/>
        </w:rPr>
        <w:t>3. Kontrola w trakcie realizacji</w:t>
      </w:r>
    </w:p>
    <w:p w14:paraId="6744E88A" w14:textId="77777777" w:rsidR="00C2470A" w:rsidRPr="00530C74" w:rsidRDefault="00DA2661">
      <w:pPr>
        <w:spacing w:after="120"/>
        <w:jc w:val="both"/>
        <w:rPr>
          <w:color w:val="auto"/>
        </w:rPr>
      </w:pPr>
      <w:r w:rsidRPr="00530C74">
        <w:rPr>
          <w:color w:val="auto"/>
        </w:rPr>
        <w:t>Osoba kontrolująca może sporządzić notatkę służbową, dokumentację fotograficzną posiłków, opakowań, środka transportu żywności lub dokumentów oraz żądać pisemnych wyjaśnień Wykonawcy. Kontrola powinna być prowadzona w sposób proporcjonalny i nie może powodować nieuzasadnionego ryzyka dla jakości posiłków.</w:t>
      </w:r>
    </w:p>
    <w:p w14:paraId="5999E2B4" w14:textId="77777777" w:rsidR="00C2470A" w:rsidRPr="00530C74" w:rsidRDefault="00DA2661">
      <w:pPr>
        <w:spacing w:after="120"/>
        <w:jc w:val="both"/>
        <w:rPr>
          <w:color w:val="auto"/>
        </w:rPr>
      </w:pPr>
      <w:r w:rsidRPr="00530C74">
        <w:rPr>
          <w:color w:val="auto"/>
        </w:rPr>
        <w:t>Nieprawidłowości dzieli się na: krytyczne - zagrażające bezpieczeństwu lub legalności usługi cateringowej; istotne - wpływające na jakość, punktualność lub rozliczenie; drobne - o charakterze formalnym, niewpływające bezpośrednio na bezpieczeństwo.</w:t>
      </w:r>
    </w:p>
    <w:p w14:paraId="7F9AF4CB" w14:textId="77777777" w:rsidR="00C2470A" w:rsidRPr="00530C74" w:rsidRDefault="00DA2661">
      <w:pPr>
        <w:jc w:val="both"/>
        <w:rPr>
          <w:color w:val="auto"/>
        </w:rPr>
      </w:pPr>
      <w:r w:rsidRPr="00530C74">
        <w:rPr>
          <w:color w:val="auto"/>
        </w:rPr>
        <w:t>Kontrola może obejmować punktualność, kulturę obsługi, zgodność dostawy z harmonogramem, liczbę posiłków, temperaturę, gramaturę, świeżość, zgodność z jadłospisem, czystość środka transportu żywności oraz prawidłowość prowadzenia ewidencji.</w:t>
      </w:r>
    </w:p>
    <w:p w14:paraId="76AE150A" w14:textId="0990412C" w:rsidR="00C2470A" w:rsidRDefault="00DA2661">
      <w:pPr>
        <w:jc w:val="both"/>
        <w:rPr>
          <w:color w:val="auto"/>
        </w:rPr>
      </w:pPr>
      <w:r w:rsidRPr="00530C74">
        <w:rPr>
          <w:color w:val="auto"/>
        </w:rPr>
        <w:lastRenderedPageBreak/>
        <w:t>Wykonawca ma obowiązek współdziałać z Zamawiającym w toku kontroli i udzielać wyjaśnień.</w:t>
      </w:r>
    </w:p>
    <w:p w14:paraId="7E20EBC1" w14:textId="77777777" w:rsidR="00B05B2D" w:rsidRPr="00530C74" w:rsidRDefault="00B05B2D">
      <w:pPr>
        <w:jc w:val="both"/>
        <w:rPr>
          <w:color w:val="auto"/>
        </w:rPr>
      </w:pPr>
    </w:p>
    <w:p w14:paraId="0F6A263C" w14:textId="77777777" w:rsidR="00C2470A" w:rsidRPr="00530C74" w:rsidRDefault="00DA2661" w:rsidP="00B05B2D">
      <w:pPr>
        <w:pStyle w:val="Nagwek1"/>
        <w:spacing w:before="0" w:after="80"/>
        <w:jc w:val="center"/>
        <w:rPr>
          <w:color w:val="auto"/>
        </w:rPr>
      </w:pPr>
      <w:r w:rsidRPr="00530C74">
        <w:rPr>
          <w:rFonts w:ascii="Aptos" w:eastAsia="Aptos" w:hAnsi="Aptos"/>
          <w:b w:val="0"/>
          <w:color w:val="auto"/>
        </w:rPr>
        <w:t>4. Awarie i posiłek zastępczy</w:t>
      </w:r>
    </w:p>
    <w:p w14:paraId="76497A2D" w14:textId="77777777" w:rsidR="00C2470A" w:rsidRPr="00530C74" w:rsidRDefault="00DA2661">
      <w:pPr>
        <w:spacing w:after="120"/>
        <w:jc w:val="both"/>
        <w:rPr>
          <w:color w:val="auto"/>
        </w:rPr>
      </w:pPr>
      <w:r w:rsidRPr="00530C74">
        <w:rPr>
          <w:color w:val="auto"/>
        </w:rPr>
        <w:t>W przypadku zdarzenia krytycznego usługa cateringowa może zostać wstrzymana do czasu usunięcia zagrożenia. Wykonawca nie może kontynuować usługi cateringowej z wykorzystaniem zaplecza, środka transportu żywności albo personelu niespełniającego wymagań.</w:t>
      </w:r>
    </w:p>
    <w:p w14:paraId="7BE0FAE4" w14:textId="77777777" w:rsidR="00C2470A" w:rsidRPr="00530C74" w:rsidRDefault="00DA2661">
      <w:pPr>
        <w:spacing w:after="120"/>
        <w:jc w:val="both"/>
        <w:rPr>
          <w:color w:val="auto"/>
        </w:rPr>
      </w:pPr>
      <w:r>
        <w:t>Wykonawca sporządza raport reklamacyjny obejmujący datę, godzinę, miejsce, opis zdarzenia, liczbę posiłków, rodzaj nieprawidłowości, czas opóźnienia, sposób zabezpieczenia posiłków i czas dostarczenia posiłku zastępczego.</w:t>
      </w:r>
    </w:p>
    <w:p w14:paraId="0106086C" w14:textId="77777777" w:rsidR="00C2470A" w:rsidRPr="00530C74" w:rsidRDefault="00DA2661">
      <w:pPr>
        <w:jc w:val="both"/>
        <w:rPr>
          <w:color w:val="auto"/>
        </w:rPr>
      </w:pPr>
      <w:r w:rsidRPr="00530C74">
        <w:rPr>
          <w:color w:val="auto"/>
        </w:rPr>
        <w:t>W razie reklamacji Wykonawca niezwłocznie informuje Zamawiającego, zabezpiecza jakość i bezpieczeństwo usługi oraz dostarcza posiłek zastępczy w czasie zadeklarowanym w ofercie, nie dłuższym niż 60 minut.</w:t>
      </w:r>
    </w:p>
    <w:p w14:paraId="5F7DD9FE" w14:textId="67294F70" w:rsidR="00C2470A" w:rsidRDefault="00DA2661">
      <w:pPr>
        <w:jc w:val="both"/>
      </w:pPr>
      <w:r>
        <w:t>Posiłek zastępczy, środek transportu żywności oraz personel realizujący dostawę muszą spełniać wymagania określone dla usługi podstawowej.</w:t>
      </w:r>
    </w:p>
    <w:p w14:paraId="36D96AA8" w14:textId="77777777" w:rsidR="00B05B2D" w:rsidRPr="00530C74" w:rsidRDefault="00B05B2D">
      <w:pPr>
        <w:jc w:val="both"/>
        <w:rPr>
          <w:color w:val="auto"/>
        </w:rPr>
      </w:pPr>
    </w:p>
    <w:p w14:paraId="7A20DF68" w14:textId="77777777" w:rsidR="00C2470A" w:rsidRPr="00530C74" w:rsidRDefault="00DA2661" w:rsidP="00B05B2D">
      <w:pPr>
        <w:pStyle w:val="Nagwek1"/>
        <w:spacing w:before="0" w:after="80"/>
        <w:jc w:val="center"/>
        <w:rPr>
          <w:color w:val="auto"/>
        </w:rPr>
      </w:pPr>
      <w:r w:rsidRPr="00530C74">
        <w:rPr>
          <w:rFonts w:ascii="Aptos" w:eastAsia="Aptos" w:hAnsi="Aptos"/>
          <w:b w:val="0"/>
          <w:color w:val="auto"/>
        </w:rPr>
        <w:t>5. Awaria, opóźnienie lub zagrożenie bezpieczeństwa żywności</w:t>
      </w:r>
    </w:p>
    <w:p w14:paraId="5A2780EE" w14:textId="77777777" w:rsidR="00C2470A" w:rsidRPr="00530C74" w:rsidRDefault="00DA2661">
      <w:pPr>
        <w:jc w:val="both"/>
        <w:rPr>
          <w:color w:val="auto"/>
        </w:rPr>
      </w:pPr>
      <w:r w:rsidRPr="00530C74">
        <w:rPr>
          <w:color w:val="auto"/>
        </w:rPr>
        <w:t>W razie awarii, opóźnienia, naruszenia wymagań sanitarnych, zagrożenia bezpieczeństwa żywności albo innego zagrożenia Wykonawca w pierwszej kolejności podejmuje działania zapewniające bezpieczeństwo posiłków i uczestników, w tym w razie potrzeby zawiadamia właściwe służby lub organy.</w:t>
      </w:r>
    </w:p>
    <w:p w14:paraId="388A16E2" w14:textId="10E3716F" w:rsidR="00C2470A" w:rsidRDefault="00DA2661">
      <w:pPr>
        <w:jc w:val="both"/>
        <w:rPr>
          <w:color w:val="auto"/>
        </w:rPr>
      </w:pPr>
      <w:r w:rsidRPr="00530C74">
        <w:rPr>
          <w:color w:val="auto"/>
        </w:rPr>
        <w:t>Wykonawca niezwłocznie zawiadamia Zamawiającego o zdarzeniu i przekazuje informacje o podjętych działaniach.</w:t>
      </w:r>
    </w:p>
    <w:p w14:paraId="0083717D" w14:textId="77777777" w:rsidR="00B05B2D" w:rsidRPr="00530C74" w:rsidRDefault="00B05B2D">
      <w:pPr>
        <w:jc w:val="both"/>
        <w:rPr>
          <w:color w:val="auto"/>
        </w:rPr>
      </w:pPr>
    </w:p>
    <w:p w14:paraId="249CAF93" w14:textId="77777777" w:rsidR="00C2470A" w:rsidRPr="00530C74" w:rsidRDefault="00DA2661" w:rsidP="00B05B2D">
      <w:pPr>
        <w:pStyle w:val="Nagwek1"/>
        <w:spacing w:before="0" w:after="80"/>
        <w:jc w:val="center"/>
        <w:rPr>
          <w:color w:val="auto"/>
        </w:rPr>
      </w:pPr>
      <w:r w:rsidRPr="00530C74">
        <w:rPr>
          <w:rFonts w:ascii="Aptos" w:eastAsia="Aptos" w:hAnsi="Aptos"/>
          <w:b w:val="0"/>
          <w:color w:val="auto"/>
        </w:rPr>
        <w:t>6. Dokumentowanie nieprawidłowości</w:t>
      </w:r>
    </w:p>
    <w:p w14:paraId="2A085B38" w14:textId="77777777" w:rsidR="00C2470A" w:rsidRPr="00530C74" w:rsidRDefault="00DA2661">
      <w:pPr>
        <w:jc w:val="both"/>
        <w:rPr>
          <w:color w:val="auto"/>
        </w:rPr>
      </w:pPr>
      <w:r w:rsidRPr="00530C74">
        <w:rPr>
          <w:color w:val="auto"/>
        </w:rPr>
        <w:t>Nieprawidłowości dokumentuje się notatką służbową, protokołem kontroli, wpisem w protokole miesięcznym, dokumentacją fotograficzną albo innymi dowodami adekwatnymi do charakteru zdarzenia.</w:t>
      </w:r>
    </w:p>
    <w:p w14:paraId="1DA02B64" w14:textId="3F9E34BF" w:rsidR="00C2470A" w:rsidRDefault="00DA2661">
      <w:pPr>
        <w:jc w:val="both"/>
        <w:rPr>
          <w:color w:val="auto"/>
        </w:rPr>
      </w:pPr>
      <w:r w:rsidRPr="00530C74">
        <w:rPr>
          <w:color w:val="auto"/>
        </w:rPr>
        <w:t>Wykonawca składa wyjaśnienia i przedstawia działania naprawcze w terminie wskazanym przez Zamawiającego.</w:t>
      </w:r>
    </w:p>
    <w:p w14:paraId="335A6AA4" w14:textId="77777777" w:rsidR="00B05B2D" w:rsidRPr="00530C74" w:rsidRDefault="00B05B2D">
      <w:pPr>
        <w:jc w:val="both"/>
        <w:rPr>
          <w:color w:val="auto"/>
        </w:rPr>
      </w:pPr>
    </w:p>
    <w:p w14:paraId="24AD7013" w14:textId="77777777" w:rsidR="00C2470A" w:rsidRPr="00530C74" w:rsidRDefault="00DA2661" w:rsidP="00B05B2D">
      <w:pPr>
        <w:pStyle w:val="Nagwek1"/>
        <w:spacing w:before="0" w:after="80"/>
        <w:jc w:val="center"/>
        <w:rPr>
          <w:color w:val="auto"/>
        </w:rPr>
      </w:pPr>
      <w:r w:rsidRPr="00530C74">
        <w:rPr>
          <w:rFonts w:ascii="Aptos" w:eastAsia="Aptos" w:hAnsi="Aptos"/>
          <w:b w:val="0"/>
          <w:color w:val="auto"/>
        </w:rPr>
        <w:t>7. Działania naprawcze</w:t>
      </w:r>
    </w:p>
    <w:p w14:paraId="2CB14D17" w14:textId="77777777" w:rsidR="00C2470A" w:rsidRPr="00530C74" w:rsidRDefault="00DA2661">
      <w:pPr>
        <w:jc w:val="both"/>
        <w:rPr>
          <w:color w:val="auto"/>
        </w:rPr>
      </w:pPr>
      <w:r w:rsidRPr="00530C74">
        <w:rPr>
          <w:color w:val="auto"/>
        </w:rPr>
        <w:t>Zamawiający może zobowiązać Wykonawcę do wymiany środka transportu żywności, zmiany personelu realizującego usługę, korekty sposobu dokumentowania, zmiany organizacji dostawy lub podjęcia innych działań niezbędnych do zapewnienia prawidłowej realizacji umowy.</w:t>
      </w:r>
    </w:p>
    <w:p w14:paraId="28E72A12" w14:textId="77777777" w:rsidR="00C2470A" w:rsidRPr="00530C74" w:rsidRDefault="00DA2661">
      <w:pPr>
        <w:jc w:val="both"/>
        <w:rPr>
          <w:color w:val="auto"/>
        </w:rPr>
      </w:pPr>
      <w:r w:rsidRPr="00530C74">
        <w:rPr>
          <w:color w:val="auto"/>
        </w:rPr>
        <w:t>Powtarzające się lub rażące naruszenia mogą stanowić podstawę naliczenia kar umownych, odmowy zapłaty za nienależycie wykonaną część usługi albo rozwiązania umowy zgodnie z jej postanowieniami.</w:t>
      </w:r>
    </w:p>
    <w:p w14:paraId="4745CFA7" w14:textId="31F29878" w:rsidR="00C2470A" w:rsidRDefault="00530C74">
      <w:pPr>
        <w:spacing w:after="240"/>
        <w:jc w:val="both"/>
        <w:rPr>
          <w:color w:val="auto"/>
        </w:rPr>
      </w:pPr>
      <w:r w:rsidRPr="00530C74">
        <w:rPr>
          <w:color w:val="auto"/>
        </w:rPr>
        <w:lastRenderedPageBreak/>
        <w:t>Powtarzające się nieprawidłowości, brak reakcji na zalecenia kontrolne, zatajenie zdarzenia albo nierzetelne prowadzenie ewidencji mogą stanowić podstawę naliczenia kar umownych, żądania zmiany osób lub środków transportu żywności, a w przypadkach istotnych - rozwiązania umowy na zasadach określonych w umowie.</w:t>
      </w:r>
    </w:p>
    <w:p w14:paraId="03FC6467" w14:textId="73820CC0" w:rsidR="00BD658C" w:rsidRPr="00BD658C" w:rsidRDefault="00BD658C" w:rsidP="00BD658C">
      <w:pPr>
        <w:spacing w:after="240"/>
        <w:jc w:val="both"/>
        <w:rPr>
          <w:color w:val="auto"/>
        </w:rPr>
      </w:pPr>
      <w:r w:rsidRPr="00BD658C">
        <w:rPr>
          <w:color w:val="auto"/>
        </w:rPr>
        <w:t>W przypadku reklamacji dotyczącej środka transportu żywności, jakości, temperatury, gramatury albo punktualności dostawy Wykonawca w pierwszej kolejności zabezpiecza posiłki, informuje Zamawiającego i dostarcza posiłek zastępczy w czasie zadeklarowanym w ofercie albo wynikającym z umowy.</w:t>
      </w:r>
    </w:p>
    <w:p w14:paraId="04A475B3" w14:textId="58ED142E" w:rsidR="00BD658C" w:rsidRPr="00BD658C" w:rsidRDefault="00BD658C" w:rsidP="00BD658C">
      <w:pPr>
        <w:spacing w:after="240"/>
        <w:jc w:val="both"/>
        <w:rPr>
          <w:color w:val="auto"/>
        </w:rPr>
      </w:pPr>
      <w:r w:rsidRPr="00BD658C">
        <w:rPr>
          <w:color w:val="auto"/>
        </w:rPr>
        <w:t>Każde zdarzenie awaryjne, znaczące opóźnienie, reklamacja jakościowa albo odmowa wykonania usługi cateringowej wymaga krótkiej notatki obejmującej datę, godzinę, dostawę, przyczynę, podjęte działania, czas dostarczenia posiłku zastępczego i wpływ na uczestników.</w:t>
      </w:r>
    </w:p>
    <w:p w14:paraId="29839725" w14:textId="07BCF7F1" w:rsidR="00BD658C" w:rsidRPr="00501FEF" w:rsidRDefault="00BD658C" w:rsidP="00BD658C">
      <w:pPr>
        <w:spacing w:after="240"/>
        <w:jc w:val="both"/>
        <w:rPr>
          <w:color w:val="auto"/>
        </w:rPr>
      </w:pPr>
      <w:r w:rsidRPr="00BD658C">
        <w:rPr>
          <w:color w:val="auto"/>
        </w:rPr>
        <w:t>Zamawiający może kwalifikować niepra</w:t>
      </w:r>
      <w:r w:rsidRPr="00501FEF">
        <w:rPr>
          <w:color w:val="auto"/>
        </w:rPr>
        <w:t>widłowości jako krytyczne, istotne albo drobne. Nieprawidłowość krytyczna uprawnia do natychmiastowego żądania działań naprawczych i może stanowić podstawę odmowy wykonania usługi cateringowej do czasu usunięcia zagrożenia.</w:t>
      </w:r>
    </w:p>
    <w:p w14:paraId="41A6183F" w14:textId="0FE54F03" w:rsidR="00530C74" w:rsidRDefault="00530C74">
      <w:pPr>
        <w:spacing w:after="240"/>
        <w:jc w:val="both"/>
        <w:rPr>
          <w:color w:val="auto"/>
        </w:rPr>
      </w:pPr>
    </w:p>
    <w:p w14:paraId="6B14E0C2" w14:textId="77777777" w:rsidR="00B05B2D" w:rsidRPr="00501FEF" w:rsidRDefault="00B05B2D">
      <w:pPr>
        <w:spacing w:after="240"/>
        <w:jc w:val="both"/>
        <w:rPr>
          <w:color w:val="auto"/>
        </w:rPr>
      </w:pPr>
    </w:p>
    <w:p w14:paraId="5C3C0EB6" w14:textId="6E4DBE37" w:rsidR="00C2470A" w:rsidRPr="00501FEF" w:rsidRDefault="00DA2661">
      <w:pPr>
        <w:jc w:val="both"/>
        <w:rPr>
          <w:color w:val="auto"/>
        </w:rPr>
      </w:pPr>
      <w:r w:rsidRPr="00501FEF">
        <w:rPr>
          <w:color w:val="auto"/>
        </w:rPr>
        <w:t xml:space="preserve">...............................................        </w:t>
      </w:r>
      <w:r w:rsidR="00530C74" w:rsidRPr="00501FEF">
        <w:rPr>
          <w:color w:val="auto"/>
        </w:rPr>
        <w:tab/>
      </w:r>
      <w:r w:rsidR="00530C74" w:rsidRPr="00501FEF">
        <w:rPr>
          <w:color w:val="auto"/>
        </w:rPr>
        <w:tab/>
      </w:r>
      <w:r w:rsidR="00530C74" w:rsidRPr="00501FEF">
        <w:rPr>
          <w:color w:val="auto"/>
        </w:rPr>
        <w:tab/>
      </w:r>
      <w:r w:rsidRPr="00501FEF">
        <w:rPr>
          <w:color w:val="auto"/>
        </w:rPr>
        <w:t>...............................................</w:t>
      </w:r>
    </w:p>
    <w:p w14:paraId="6BA92029" w14:textId="27358B89" w:rsidR="00C2470A" w:rsidRPr="00530C74" w:rsidRDefault="00DA2661" w:rsidP="00B05B2D">
      <w:pPr>
        <w:jc w:val="right"/>
        <w:rPr>
          <w:color w:val="auto"/>
        </w:rPr>
      </w:pPr>
      <w:r w:rsidRPr="00501FEF">
        <w:rPr>
          <w:color w:val="auto"/>
        </w:rPr>
        <w:t xml:space="preserve">(miejscowość i data)                              </w:t>
      </w:r>
      <w:r w:rsidR="00530C74" w:rsidRPr="00501FEF">
        <w:rPr>
          <w:color w:val="auto"/>
        </w:rPr>
        <w:tab/>
      </w:r>
      <w:r w:rsidR="00530C74" w:rsidRPr="00501FEF">
        <w:rPr>
          <w:color w:val="auto"/>
        </w:rPr>
        <w:tab/>
      </w:r>
      <w:bookmarkStart w:id="0" w:name="_GoBack"/>
      <w:bookmarkEnd w:id="0"/>
      <w:r w:rsidRPr="00501FEF">
        <w:rPr>
          <w:color w:val="auto"/>
        </w:rPr>
        <w:t xml:space="preserve"> (podpis osoby przyjmującej procedurę)</w:t>
      </w:r>
    </w:p>
    <w:sectPr w:rsidR="00C2470A" w:rsidRPr="00530C74" w:rsidSect="00034616">
      <w:headerReference w:type="even" r:id="rId8"/>
      <w:headerReference w:type="default" r:id="rId9"/>
      <w:footerReference w:type="default" r:id="rId10"/>
      <w:headerReference w:type="first" r:id="rId11"/>
      <w:pgSz w:w="12240" w:h="15840"/>
      <w:pgMar w:top="964" w:right="1134" w:bottom="964" w:left="1134" w:header="454" w:footer="39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65A410" w14:textId="77777777" w:rsidR="00FD4174" w:rsidRDefault="00FD4174">
      <w:pPr>
        <w:spacing w:after="0" w:line="240" w:lineRule="auto"/>
      </w:pPr>
      <w:r>
        <w:separator/>
      </w:r>
    </w:p>
  </w:endnote>
  <w:endnote w:type="continuationSeparator" w:id="0">
    <w:p w14:paraId="4DD52E6A" w14:textId="77777777" w:rsidR="00FD4174" w:rsidRDefault="00FD41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altName w:val="Arial"/>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6E905" w14:textId="77777777" w:rsidR="00324E06" w:rsidRDefault="00324E06" w:rsidP="0000542F">
    <w:pPr>
      <w:pStyle w:val="Stopka"/>
      <w:rPr>
        <w:rFonts w:ascii="Cambria" w:hAnsi="Cambria"/>
        <w:sz w:val="20"/>
        <w:bdr w:val="single" w:sz="4" w:space="0" w:color="auto"/>
      </w:rPr>
    </w:pPr>
  </w:p>
  <w:p w14:paraId="55160975" w14:textId="7656AA7B" w:rsidR="00324E06" w:rsidRPr="00BA303A" w:rsidRDefault="00B05B2D" w:rsidP="0000542F">
    <w:pPr>
      <w:pStyle w:val="Stopka"/>
      <w:rPr>
        <w:rFonts w:ascii="Cambria" w:hAnsi="Cambria"/>
        <w:b/>
        <w:sz w:val="20"/>
        <w:bdr w:val="single" w:sz="4" w:space="0" w:color="auto"/>
      </w:rPr>
    </w:pPr>
    <w:r>
      <w:rPr>
        <w:sz w:val="20"/>
        <w:bdr w:val="single" w:sz="4" w:space="0" w:color="auto"/>
      </w:rPr>
      <w:t>Or.SO.2714.7.2026</w:t>
    </w:r>
    <w:r w:rsidR="00BA11A5" w:rsidRPr="00BA303A">
      <w:rPr>
        <w:sz w:val="20"/>
        <w:bdr w:val="single" w:sz="4" w:space="0" w:color="auto"/>
      </w:rPr>
      <w:tab/>
    </w:r>
    <w:r w:rsidR="00632924">
      <w:rPr>
        <w:sz w:val="20"/>
        <w:bdr w:val="single" w:sz="4" w:space="0" w:color="auto"/>
      </w:rPr>
      <w:t xml:space="preserve">Załącznik nr 13 - </w:t>
    </w:r>
    <w:r w:rsidR="00BA11A5">
      <w:rPr>
        <w:sz w:val="20"/>
        <w:bdr w:val="single" w:sz="4" w:space="0" w:color="auto"/>
      </w:rPr>
      <w:t xml:space="preserve">Specyfikacja </w:t>
    </w:r>
    <w:r w:rsidR="00BA11A5" w:rsidRPr="00BA303A">
      <w:rPr>
        <w:sz w:val="20"/>
        <w:bdr w:val="single" w:sz="4" w:space="0" w:color="auto"/>
      </w:rPr>
      <w:t>Warunków Zamówienia (</w:t>
    </w:r>
    <w:r w:rsidR="00BA11A5">
      <w:rPr>
        <w:sz w:val="20"/>
        <w:bdr w:val="single" w:sz="4" w:space="0" w:color="auto"/>
      </w:rPr>
      <w:t>SWZ</w:t>
    </w:r>
    <w:r w:rsidR="00BA11A5" w:rsidRPr="00BA303A">
      <w:rPr>
        <w:sz w:val="20"/>
        <w:bdr w:val="single" w:sz="4" w:space="0" w:color="auto"/>
      </w:rPr>
      <w:t>)</w:t>
    </w:r>
    <w:r w:rsidR="00BA11A5" w:rsidRPr="00BA303A">
      <w:rPr>
        <w:sz w:val="20"/>
        <w:bdr w:val="single" w:sz="4" w:space="0" w:color="auto"/>
      </w:rPr>
      <w:tab/>
      <w:t xml:space="preserve">Strona </w:t>
    </w:r>
    <w:r w:rsidR="00BA11A5" w:rsidRPr="00BA303A">
      <w:rPr>
        <w:b/>
        <w:sz w:val="20"/>
        <w:bdr w:val="single" w:sz="4" w:space="0" w:color="auto"/>
      </w:rPr>
      <w:fldChar w:fldCharType="begin"/>
    </w:r>
    <w:r w:rsidR="00BA11A5" w:rsidRPr="00BA303A">
      <w:rPr>
        <w:b/>
        <w:sz w:val="20"/>
        <w:bdr w:val="single" w:sz="4" w:space="0" w:color="auto"/>
      </w:rPr>
      <w:instrText>PAGE</w:instrText>
    </w:r>
    <w:r w:rsidR="00BA11A5" w:rsidRPr="00BA303A">
      <w:rPr>
        <w:b/>
        <w:sz w:val="20"/>
        <w:bdr w:val="single" w:sz="4" w:space="0" w:color="auto"/>
      </w:rPr>
      <w:fldChar w:fldCharType="separate"/>
    </w:r>
    <w:r>
      <w:rPr>
        <w:b/>
        <w:noProof/>
        <w:sz w:val="20"/>
        <w:bdr w:val="single" w:sz="4" w:space="0" w:color="auto"/>
      </w:rPr>
      <w:t>2</w:t>
    </w:r>
    <w:r w:rsidR="00BA11A5" w:rsidRPr="00BA303A">
      <w:rPr>
        <w:b/>
        <w:sz w:val="20"/>
        <w:bdr w:val="single" w:sz="4" w:space="0" w:color="auto"/>
      </w:rPr>
      <w:fldChar w:fldCharType="end"/>
    </w:r>
    <w:r w:rsidR="00BA11A5" w:rsidRPr="00BA303A">
      <w:rPr>
        <w:sz w:val="20"/>
        <w:bdr w:val="single" w:sz="4" w:space="0" w:color="auto"/>
      </w:rPr>
      <w:t xml:space="preserve"> z </w:t>
    </w:r>
    <w:r w:rsidR="00BA11A5" w:rsidRPr="00BA303A">
      <w:rPr>
        <w:b/>
        <w:sz w:val="20"/>
        <w:bdr w:val="single" w:sz="4" w:space="0" w:color="auto"/>
      </w:rPr>
      <w:fldChar w:fldCharType="begin"/>
    </w:r>
    <w:r w:rsidR="00BA11A5" w:rsidRPr="00BA303A">
      <w:rPr>
        <w:b/>
        <w:sz w:val="20"/>
        <w:bdr w:val="single" w:sz="4" w:space="0" w:color="auto"/>
      </w:rPr>
      <w:instrText>NUMPAGES</w:instrText>
    </w:r>
    <w:r w:rsidR="00BA11A5" w:rsidRPr="00BA303A">
      <w:rPr>
        <w:b/>
        <w:sz w:val="20"/>
        <w:bdr w:val="single" w:sz="4" w:space="0" w:color="auto"/>
      </w:rPr>
      <w:fldChar w:fldCharType="separate"/>
    </w:r>
    <w:r>
      <w:rPr>
        <w:b/>
        <w:noProof/>
        <w:sz w:val="20"/>
        <w:bdr w:val="single" w:sz="4" w:space="0" w:color="auto"/>
      </w:rPr>
      <w:t>3</w:t>
    </w:r>
    <w:r w:rsidR="00BA11A5" w:rsidRPr="00BA303A">
      <w:rPr>
        <w:b/>
        <w:sz w:val="20"/>
        <w:bdr w:val="single" w:sz="4" w:space="0" w:color="auto"/>
      </w:rPr>
      <w:fldChar w:fldCharType="end"/>
    </w:r>
  </w:p>
  <w:p w14:paraId="4975A086" w14:textId="77777777" w:rsidR="00324E06" w:rsidRDefault="00324E06" w:rsidP="00C51DF4">
    <w:pPr>
      <w:pStyle w:val="Stopka"/>
      <w:tabs>
        <w:tab w:val="left" w:pos="6735"/>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901AEA" w14:textId="77777777" w:rsidR="00FD4174" w:rsidRDefault="00FD4174">
      <w:pPr>
        <w:spacing w:after="0" w:line="240" w:lineRule="auto"/>
      </w:pPr>
      <w:r>
        <w:separator/>
      </w:r>
    </w:p>
  </w:footnote>
  <w:footnote w:type="continuationSeparator" w:id="0">
    <w:p w14:paraId="3A8DB829" w14:textId="77777777" w:rsidR="00FD4174" w:rsidRDefault="00FD41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754ACA" w14:textId="77777777" w:rsidR="004A56A6" w:rsidRDefault="00DA2661">
    <w:pPr>
      <w:jc w:val="center"/>
    </w:pPr>
    <w:r>
      <w:rPr>
        <w:noProof/>
        <w:lang w:bidi="ar-SA"/>
      </w:rPr>
      <w:drawing>
        <wp:inline distT="0" distB="0" distL="0" distR="0" wp14:anchorId="44AB777E" wp14:editId="0113FD0F">
          <wp:extent cx="5760000" cy="880941"/>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
                  <a:stretch>
                    <a:fillRect/>
                  </a:stretch>
                </pic:blipFill>
                <pic:spPr>
                  <a:xfrm>
                    <a:off x="0" y="0"/>
                    <a:ext cx="5760000" cy="8809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1F94F1" w14:textId="77777777" w:rsidR="00324E06" w:rsidRDefault="001B46F1">
    <w:pPr>
      <w:jc w:val="center"/>
    </w:pPr>
    <w:r>
      <w:rPr>
        <w:noProof/>
        <w:lang w:bidi="ar-SA"/>
      </w:rPr>
      <w:drawing>
        <wp:inline distT="0" distB="0" distL="0" distR="0" wp14:anchorId="76DFEB95" wp14:editId="075DA9BF">
          <wp:extent cx="5687695" cy="596900"/>
          <wp:effectExtent l="0" t="0" r="8255" b="0"/>
          <wp:docPr id="7946585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658547" name="Picture 1"/>
                  <pic:cNvPicPr>
                    <a:picLocks noChangeAspect="1"/>
                  </pic:cNvPicPr>
                </pic:nvPicPr>
                <pic:blipFill>
                  <a:blip r:embed="rId1"/>
                  <a:stretch>
                    <a:fillRect/>
                  </a:stretch>
                </pic:blipFill>
                <pic:spPr>
                  <a:xfrm>
                    <a:off x="0" y="0"/>
                    <a:ext cx="568769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144EB" w14:textId="77777777" w:rsidR="004A56A6" w:rsidRDefault="00DA2661">
    <w:pPr>
      <w:jc w:val="center"/>
    </w:pPr>
    <w:r>
      <w:rPr>
        <w:noProof/>
        <w:lang w:bidi="ar-SA"/>
      </w:rPr>
      <w:drawing>
        <wp:inline distT="0" distB="0" distL="0" distR="0" wp14:anchorId="2F45B1B8" wp14:editId="1FBFB590">
          <wp:extent cx="5760000" cy="880941"/>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
                  <a:stretch>
                    <a:fillRect/>
                  </a:stretch>
                </pic:blipFill>
                <pic:spPr>
                  <a:xfrm>
                    <a:off x="0" y="0"/>
                    <a:ext cx="5760000" cy="88094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11F08"/>
    <w:rsid w:val="00034616"/>
    <w:rsid w:val="0006063C"/>
    <w:rsid w:val="000F4DD4"/>
    <w:rsid w:val="00105982"/>
    <w:rsid w:val="0012651F"/>
    <w:rsid w:val="0015074B"/>
    <w:rsid w:val="00151E5D"/>
    <w:rsid w:val="001B46F1"/>
    <w:rsid w:val="001D7365"/>
    <w:rsid w:val="00231A49"/>
    <w:rsid w:val="002722CE"/>
    <w:rsid w:val="0029639D"/>
    <w:rsid w:val="002B296B"/>
    <w:rsid w:val="002F3009"/>
    <w:rsid w:val="002F48F3"/>
    <w:rsid w:val="003018E2"/>
    <w:rsid w:val="0030335A"/>
    <w:rsid w:val="003134DD"/>
    <w:rsid w:val="00324E06"/>
    <w:rsid w:val="00326F90"/>
    <w:rsid w:val="00346B22"/>
    <w:rsid w:val="00360986"/>
    <w:rsid w:val="00385A8E"/>
    <w:rsid w:val="003F3C46"/>
    <w:rsid w:val="0044702C"/>
    <w:rsid w:val="00456867"/>
    <w:rsid w:val="00464A90"/>
    <w:rsid w:val="0047396B"/>
    <w:rsid w:val="004A56A6"/>
    <w:rsid w:val="004F3185"/>
    <w:rsid w:val="00501C79"/>
    <w:rsid w:val="00501FEF"/>
    <w:rsid w:val="00530C74"/>
    <w:rsid w:val="00552475"/>
    <w:rsid w:val="005A5B0C"/>
    <w:rsid w:val="00632924"/>
    <w:rsid w:val="006A229D"/>
    <w:rsid w:val="006B25CF"/>
    <w:rsid w:val="00750EBC"/>
    <w:rsid w:val="00761B40"/>
    <w:rsid w:val="007A71E1"/>
    <w:rsid w:val="007C69AF"/>
    <w:rsid w:val="00803901"/>
    <w:rsid w:val="008A6A89"/>
    <w:rsid w:val="008E1765"/>
    <w:rsid w:val="008E68CC"/>
    <w:rsid w:val="00906791"/>
    <w:rsid w:val="00933D1C"/>
    <w:rsid w:val="009A6AB1"/>
    <w:rsid w:val="009E74CD"/>
    <w:rsid w:val="00A15AC1"/>
    <w:rsid w:val="00A524F0"/>
    <w:rsid w:val="00A52EAD"/>
    <w:rsid w:val="00A54325"/>
    <w:rsid w:val="00AA1D8D"/>
    <w:rsid w:val="00AB72D7"/>
    <w:rsid w:val="00AE4107"/>
    <w:rsid w:val="00AE4F7E"/>
    <w:rsid w:val="00B05B2D"/>
    <w:rsid w:val="00B2338D"/>
    <w:rsid w:val="00B23805"/>
    <w:rsid w:val="00B47730"/>
    <w:rsid w:val="00B73CD7"/>
    <w:rsid w:val="00BA11A5"/>
    <w:rsid w:val="00BD658C"/>
    <w:rsid w:val="00C06535"/>
    <w:rsid w:val="00C2470A"/>
    <w:rsid w:val="00C543A1"/>
    <w:rsid w:val="00C73AC9"/>
    <w:rsid w:val="00CB0664"/>
    <w:rsid w:val="00CB567B"/>
    <w:rsid w:val="00CC0766"/>
    <w:rsid w:val="00CC4F55"/>
    <w:rsid w:val="00CF4386"/>
    <w:rsid w:val="00D5236C"/>
    <w:rsid w:val="00DA1A9A"/>
    <w:rsid w:val="00DA2661"/>
    <w:rsid w:val="00DA6B4B"/>
    <w:rsid w:val="00DA6DBF"/>
    <w:rsid w:val="00E26C3F"/>
    <w:rsid w:val="00E27033"/>
    <w:rsid w:val="00E61887"/>
    <w:rsid w:val="00EB7DD7"/>
    <w:rsid w:val="00EC66A3"/>
    <w:rsid w:val="00ED1EDE"/>
    <w:rsid w:val="00EE67A2"/>
    <w:rsid w:val="00EF1B16"/>
    <w:rsid w:val="00F0025B"/>
    <w:rsid w:val="00F116F1"/>
    <w:rsid w:val="00F37879"/>
    <w:rsid w:val="00F50FA7"/>
    <w:rsid w:val="00F57676"/>
    <w:rsid w:val="00F7313F"/>
    <w:rsid w:val="00FA6A77"/>
    <w:rsid w:val="00FC693F"/>
    <w:rsid w:val="00FD4174"/>
    <w:rsid w:val="00FE1109"/>
    <w:rsid w:val="00FE273C"/>
  </w:rsids>
  <m:mathPr>
    <m:mathFont m:val="Cambria Math"/>
    <m:brkBin m:val="before"/>
    <m:brkBinSub m:val="--"/>
    <m:smallFrac m:val="0"/>
    <m:dispDef/>
    <m:lMargin m:val="0"/>
    <m:rMargin m:val="0"/>
    <m:defJc m:val="centerGroup"/>
    <m:wrapIndent m:val="1440"/>
    <m:intLim m:val="subSup"/>
    <m:naryLim m:val="undOvr"/>
  </m:mathPr>
  <w:themeFontLang w:val="pl-PL" w:eastAsia="pl-PL" w:bidi="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2E3CA4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pl-P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C693F"/>
    <w:pPr>
      <w:spacing w:after="80"/>
    </w:pPr>
    <w:rPr>
      <w:rFonts w:ascii="Aptos" w:eastAsia="Aptos" w:hAnsi="Aptos" w:cs="Times New Roman"/>
      <w:color w:val="000000"/>
      <w:sz w:val="24"/>
    </w:rPr>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sz w:val="22"/>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rPr>
      <w:rFonts w:ascii="Aptos" w:eastAsia="Aptos" w:hAnsi="Aptos"/>
      <w:color w:val="000000"/>
      <w:lang w:val="pl-PL" w:eastAsia="pl-PL" w:bidi="pl-PL"/>
    </w:rPr>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rPr>
      <w:rFonts w:ascii="Aptos" w:eastAsia="Aptos" w:hAnsi="Aptos"/>
      <w:color w:val="000000"/>
      <w:lang w:val="pl-PL" w:eastAsia="pl-PL" w:bidi="pl-PL"/>
    </w:rPr>
  </w:style>
  <w:style w:type="paragraph" w:styleId="Bezodstpw">
    <w:name w:val="No Spacing"/>
    <w:uiPriority w:val="1"/>
    <w:qFormat/>
    <w:rsid w:val="00FC693F"/>
    <w:pPr>
      <w:spacing w:after="0" w:line="240" w:lineRule="auto"/>
    </w:pPr>
    <w:rPr>
      <w:rFonts w:ascii="Aptos" w:eastAsia="Aptos" w:hAnsi="Aptos"/>
      <w:color w:val="000000"/>
    </w:r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000000"/>
      <w:sz w:val="28"/>
      <w:szCs w:val="28"/>
      <w:lang w:val="pl-PL" w:eastAsia="pl-PL" w:bidi="pl-PL"/>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000000"/>
      <w:sz w:val="26"/>
      <w:szCs w:val="26"/>
      <w:lang w:val="pl-PL" w:eastAsia="pl-PL" w:bidi="pl-PL"/>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000000"/>
      <w:lang w:val="pl-PL" w:eastAsia="pl-PL" w:bidi="pl-PL"/>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spacing w:val="5"/>
      <w:kern w:val="28"/>
      <w:sz w:val="28"/>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000000"/>
      <w:spacing w:val="5"/>
      <w:kern w:val="28"/>
      <w:sz w:val="52"/>
      <w:szCs w:val="52"/>
      <w:lang w:val="pl-PL" w:eastAsia="pl-PL" w:bidi="pl-PL"/>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spacing w:val="15"/>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000000"/>
      <w:spacing w:val="15"/>
      <w:sz w:val="24"/>
      <w:szCs w:val="24"/>
      <w:lang w:val="pl-PL" w:eastAsia="pl-PL" w:bidi="pl-PL"/>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style>
  <w:style w:type="character" w:customStyle="1" w:styleId="TekstpodstawowyZnak">
    <w:name w:val="Tekst podstawowy Znak"/>
    <w:basedOn w:val="Domylnaczcionkaakapitu"/>
    <w:link w:val="Tekstpodstawowy"/>
    <w:uiPriority w:val="99"/>
    <w:rsid w:val="00AA1D8D"/>
    <w:rPr>
      <w:rFonts w:ascii="Aptos" w:eastAsia="Aptos" w:hAnsi="Aptos"/>
      <w:color w:val="000000"/>
      <w:lang w:val="pl-PL" w:eastAsia="pl-PL" w:bidi="pl-PL"/>
    </w:rPr>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rPr>
      <w:rFonts w:ascii="Aptos" w:eastAsia="Aptos" w:hAnsi="Aptos"/>
      <w:color w:val="000000"/>
      <w:lang w:val="pl-PL" w:eastAsia="pl-PL" w:bidi="pl-PL"/>
    </w:rPr>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rFonts w:ascii="Aptos" w:eastAsia="Aptos" w:hAnsi="Aptos"/>
      <w:color w:val="000000"/>
      <w:sz w:val="16"/>
      <w:szCs w:val="16"/>
      <w:lang w:val="pl-PL" w:eastAsia="pl-PL" w:bidi="pl-PL"/>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Aptos" w:eastAsia="Aptos" w:hAnsi="Aptos"/>
      <w:color w:val="000000"/>
      <w:sz w:val="20"/>
      <w:szCs w:val="20"/>
    </w:rPr>
  </w:style>
  <w:style w:type="character" w:customStyle="1" w:styleId="TekstmakraZnak">
    <w:name w:val="Tekst makra Znak"/>
    <w:basedOn w:val="Domylnaczcionkaakapitu"/>
    <w:link w:val="Tekstmakra"/>
    <w:uiPriority w:val="99"/>
    <w:rsid w:val="0029639D"/>
    <w:rPr>
      <w:rFonts w:ascii="Aptos" w:eastAsia="Aptos" w:hAnsi="Aptos"/>
      <w:color w:val="000000"/>
      <w:sz w:val="20"/>
      <w:szCs w:val="20"/>
      <w:lang w:val="pl-PL" w:eastAsia="pl-PL" w:bidi="pl-PL"/>
    </w:rPr>
  </w:style>
  <w:style w:type="paragraph" w:styleId="Cytat">
    <w:name w:val="Quote"/>
    <w:basedOn w:val="Normalny"/>
    <w:next w:val="Normalny"/>
    <w:link w:val="CytatZnak"/>
    <w:uiPriority w:val="29"/>
    <w:qFormat/>
    <w:rsid w:val="00FC693F"/>
    <w:rPr>
      <w:i/>
      <w:iCs/>
    </w:rPr>
  </w:style>
  <w:style w:type="character" w:customStyle="1" w:styleId="CytatZnak">
    <w:name w:val="Cytat Znak"/>
    <w:basedOn w:val="Domylnaczcionkaakapitu"/>
    <w:link w:val="Cytat"/>
    <w:uiPriority w:val="29"/>
    <w:rsid w:val="00FC693F"/>
    <w:rPr>
      <w:rFonts w:ascii="Aptos" w:eastAsia="Aptos" w:hAnsi="Aptos"/>
      <w:i/>
      <w:iCs/>
      <w:color w:val="000000"/>
      <w:lang w:val="pl-PL" w:eastAsia="pl-PL" w:bidi="pl-PL"/>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000000"/>
      <w:lang w:val="pl-PL" w:eastAsia="pl-PL" w:bidi="pl-PL"/>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000000"/>
      <w:lang w:val="pl-PL" w:eastAsia="pl-PL" w:bidi="pl-PL"/>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000000"/>
      <w:lang w:val="pl-PL" w:eastAsia="pl-PL" w:bidi="pl-PL"/>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000000"/>
      <w:lang w:val="pl-PL" w:eastAsia="pl-PL" w:bidi="pl-PL"/>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000000"/>
      <w:sz w:val="20"/>
      <w:szCs w:val="20"/>
      <w:lang w:val="pl-PL" w:eastAsia="pl-PL" w:bidi="pl-PL"/>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000000"/>
      <w:sz w:val="20"/>
      <w:szCs w:val="20"/>
      <w:lang w:val="pl-PL" w:eastAsia="pl-PL" w:bidi="pl-PL"/>
    </w:rPr>
  </w:style>
  <w:style w:type="paragraph" w:styleId="Legenda">
    <w:name w:val="caption"/>
    <w:basedOn w:val="Normalny"/>
    <w:next w:val="Normalny"/>
    <w:uiPriority w:val="35"/>
    <w:semiHidden/>
    <w:unhideWhenUsed/>
    <w:qFormat/>
    <w:rsid w:val="00FC693F"/>
    <w:pPr>
      <w:spacing w:line="240" w:lineRule="auto"/>
    </w:pPr>
    <w:rPr>
      <w:b/>
      <w:bCs/>
      <w:sz w:val="18"/>
      <w:szCs w:val="18"/>
    </w:rPr>
  </w:style>
  <w:style w:type="character" w:styleId="Pogrubienie">
    <w:name w:val="Strong"/>
    <w:basedOn w:val="Domylnaczcionkaakapitu"/>
    <w:uiPriority w:val="22"/>
    <w:qFormat/>
    <w:rsid w:val="00FC693F"/>
    <w:rPr>
      <w:rFonts w:ascii="Aptos" w:eastAsia="Aptos" w:hAnsi="Aptos"/>
      <w:b/>
      <w:bCs/>
      <w:color w:val="000000"/>
      <w:lang w:val="pl-PL" w:eastAsia="pl-PL" w:bidi="pl-PL"/>
    </w:rPr>
  </w:style>
  <w:style w:type="character" w:styleId="Uwydatnienie">
    <w:name w:val="Emphasis"/>
    <w:basedOn w:val="Domylnaczcionkaakapitu"/>
    <w:uiPriority w:val="20"/>
    <w:qFormat/>
    <w:rsid w:val="00FC693F"/>
    <w:rPr>
      <w:rFonts w:ascii="Aptos" w:eastAsia="Aptos" w:hAnsi="Aptos"/>
      <w:i/>
      <w:iCs/>
      <w:color w:val="000000"/>
      <w:lang w:val="pl-PL" w:eastAsia="pl-PL" w:bidi="pl-PL"/>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rPr>
  </w:style>
  <w:style w:type="character" w:customStyle="1" w:styleId="CytatintensywnyZnak">
    <w:name w:val="Cytat intensywny Znak"/>
    <w:basedOn w:val="Domylnaczcionkaakapitu"/>
    <w:link w:val="Cytatintensywny"/>
    <w:uiPriority w:val="30"/>
    <w:rsid w:val="00FC693F"/>
    <w:rPr>
      <w:rFonts w:ascii="Aptos" w:eastAsia="Aptos" w:hAnsi="Aptos"/>
      <w:b/>
      <w:bCs/>
      <w:i/>
      <w:iCs/>
      <w:color w:val="000000"/>
      <w:lang w:val="pl-PL" w:eastAsia="pl-PL" w:bidi="pl-PL"/>
    </w:rPr>
  </w:style>
  <w:style w:type="character" w:styleId="Wyrnieniedelikatne">
    <w:name w:val="Subtle Emphasis"/>
    <w:basedOn w:val="Domylnaczcionkaakapitu"/>
    <w:uiPriority w:val="19"/>
    <w:qFormat/>
    <w:rsid w:val="00FC693F"/>
    <w:rPr>
      <w:rFonts w:ascii="Aptos" w:eastAsia="Aptos" w:hAnsi="Aptos"/>
      <w:i/>
      <w:iCs/>
      <w:color w:val="000000"/>
      <w:lang w:val="pl-PL" w:eastAsia="pl-PL" w:bidi="pl-PL"/>
    </w:rPr>
  </w:style>
  <w:style w:type="character" w:styleId="Wyrnienieintensywne">
    <w:name w:val="Intense Emphasis"/>
    <w:basedOn w:val="Domylnaczcionkaakapitu"/>
    <w:uiPriority w:val="21"/>
    <w:qFormat/>
    <w:rsid w:val="00FC693F"/>
    <w:rPr>
      <w:rFonts w:ascii="Aptos" w:eastAsia="Aptos" w:hAnsi="Aptos"/>
      <w:b/>
      <w:bCs/>
      <w:i/>
      <w:iCs/>
      <w:color w:val="000000"/>
      <w:lang w:val="pl-PL" w:eastAsia="pl-PL" w:bidi="pl-PL"/>
    </w:rPr>
  </w:style>
  <w:style w:type="character" w:styleId="Odwoaniedelikatne">
    <w:name w:val="Subtle Reference"/>
    <w:basedOn w:val="Domylnaczcionkaakapitu"/>
    <w:uiPriority w:val="31"/>
    <w:qFormat/>
    <w:rsid w:val="00FC693F"/>
    <w:rPr>
      <w:rFonts w:ascii="Aptos" w:eastAsia="Aptos" w:hAnsi="Aptos"/>
      <w:smallCaps/>
      <w:color w:val="000000"/>
      <w:u w:val="single"/>
      <w:lang w:val="pl-PL" w:eastAsia="pl-PL" w:bidi="pl-PL"/>
    </w:rPr>
  </w:style>
  <w:style w:type="character" w:styleId="Odwoanieintensywne">
    <w:name w:val="Intense Reference"/>
    <w:basedOn w:val="Domylnaczcionkaakapitu"/>
    <w:uiPriority w:val="32"/>
    <w:qFormat/>
    <w:rsid w:val="00FC693F"/>
    <w:rPr>
      <w:rFonts w:ascii="Aptos" w:eastAsia="Aptos" w:hAnsi="Aptos"/>
      <w:b/>
      <w:bCs/>
      <w:smallCaps/>
      <w:color w:val="000000"/>
      <w:spacing w:val="5"/>
      <w:u w:val="single"/>
      <w:lang w:val="pl-PL" w:eastAsia="pl-PL" w:bidi="pl-PL"/>
    </w:rPr>
  </w:style>
  <w:style w:type="character" w:styleId="Tytuksiki">
    <w:name w:val="Book Title"/>
    <w:basedOn w:val="Domylnaczcionkaakapitu"/>
    <w:uiPriority w:val="33"/>
    <w:qFormat/>
    <w:rsid w:val="00FC693F"/>
    <w:rPr>
      <w:rFonts w:ascii="Aptos" w:eastAsia="Aptos" w:hAnsi="Aptos"/>
      <w:b/>
      <w:bCs/>
      <w:smallCaps/>
      <w:color w:val="000000"/>
      <w:spacing w:val="5"/>
      <w:lang w:val="pl-PL" w:eastAsia="pl-PL" w:bidi="pl-PL"/>
    </w:rPr>
  </w:style>
  <w:style w:type="paragraph" w:styleId="Nagwekspisutreci">
    <w:name w:val="TOC Heading"/>
    <w:basedOn w:val="Nagwek1"/>
    <w:next w:val="Normalny"/>
    <w:uiPriority w:val="39"/>
    <w:semiHidden/>
    <w:unhideWhenUsed/>
    <w:qFormat/>
    <w:rsid w:val="00FC693F"/>
    <w:pPr>
      <w:outlineLvl w:val="9"/>
    </w:pPr>
    <w:rPr>
      <w:rFonts w:ascii="Aptos" w:eastAsia="Aptos" w:hAnsi="Aptos"/>
    </w:rPr>
  </w:style>
  <w:style w:type="table" w:styleId="Tabela-Siatka">
    <w:name w:val="Table Grid"/>
    <w:basedOn w:val="Standardowy"/>
    <w:uiPriority w:val="59"/>
    <w:rsid w:val="00FC693F"/>
    <w:pPr>
      <w:spacing w:after="0" w:line="240" w:lineRule="auto"/>
    </w:pPr>
    <w:rPr>
      <w:rFonts w:ascii="Aptos" w:eastAsia="Aptos" w:hAnsi="Aptos"/>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rFonts w:ascii="Aptos" w:eastAsia="Aptos" w:hAnsi="Aptos"/>
      <w:color w:val="00000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rFonts w:ascii="Aptos" w:eastAsia="Aptos" w:hAnsi="Aptos"/>
      <w:color w:val="000000"/>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rFonts w:ascii="Aptos" w:eastAsia="Aptos" w:hAnsi="Aptos"/>
      <w:color w:val="000000"/>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rFonts w:ascii="Aptos" w:eastAsia="Aptos" w:hAnsi="Aptos"/>
      <w:color w:val="000000"/>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rFonts w:ascii="Aptos" w:eastAsia="Aptos" w:hAnsi="Aptos"/>
      <w:color w:val="000000"/>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rFonts w:ascii="Aptos" w:eastAsia="Aptos" w:hAnsi="Aptos"/>
      <w:color w:val="000000"/>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rFonts w:ascii="Aptos" w:eastAsia="Aptos" w:hAnsi="Aptos"/>
      <w:color w:val="000000"/>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rPr>
      <w:rFonts w:ascii="Aptos" w:eastAsia="Aptos" w:hAnsi="Aptos"/>
      <w:color w:val="00000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rPr>
      <w:rFonts w:ascii="Aptos" w:eastAsia="Aptos" w:hAnsi="Aptos"/>
      <w:color w:val="00000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rPr>
      <w:rFonts w:ascii="Aptos" w:eastAsia="Aptos" w:hAnsi="Aptos"/>
      <w:color w:val="00000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rPr>
      <w:rFonts w:ascii="Aptos" w:eastAsia="Aptos" w:hAnsi="Aptos"/>
      <w:color w:val="000000"/>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rPr>
      <w:rFonts w:ascii="Aptos" w:eastAsia="Aptos" w:hAnsi="Aptos"/>
      <w:color w:val="00000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rPr>
      <w:rFonts w:ascii="Aptos" w:eastAsia="Aptos" w:hAnsi="Aptos"/>
      <w:color w:val="00000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rPr>
      <w:rFonts w:ascii="Aptos" w:eastAsia="Aptos" w:hAnsi="Aptos"/>
      <w:color w:val="000000"/>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rPr>
      <w:rFonts w:ascii="Aptos" w:eastAsia="Aptos" w:hAnsi="Aptos"/>
      <w:color w:val="00000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rPr>
      <w:rFonts w:ascii="Aptos" w:eastAsia="Aptos" w:hAnsi="Aptos"/>
      <w:color w:val="00000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rPr>
      <w:rFonts w:ascii="Aptos" w:eastAsia="Aptos" w:hAnsi="Aptos"/>
      <w:color w:val="00000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rPr>
      <w:rFonts w:ascii="Aptos" w:eastAsia="Aptos" w:hAnsi="Aptos"/>
      <w:color w:val="000000"/>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rPr>
      <w:rFonts w:ascii="Aptos" w:eastAsia="Aptos" w:hAnsi="Aptos"/>
      <w:color w:val="00000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rPr>
      <w:rFonts w:ascii="Aptos" w:eastAsia="Aptos" w:hAnsi="Aptos"/>
      <w:color w:val="00000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rPr>
      <w:rFonts w:ascii="Aptos" w:eastAsia="Aptos" w:hAnsi="Aptos"/>
      <w:color w:val="000000"/>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rPr>
      <w:rFonts w:ascii="Aptos" w:eastAsia="Aptos" w:hAnsi="Aptos"/>
      <w:color w:val="000000"/>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rPr>
      <w:rFonts w:ascii="Aptos" w:eastAsia="Aptos" w:hAnsi="Aptos"/>
      <w:color w:val="000000"/>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rPr>
      <w:rFonts w:ascii="Aptos" w:eastAsia="Aptos" w:hAnsi="Aptos"/>
      <w:color w:val="000000"/>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rPr>
      <w:rFonts w:ascii="Aptos" w:eastAsia="Aptos" w:hAnsi="Aptos"/>
      <w:color w:val="000000"/>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rPr>
      <w:rFonts w:ascii="Aptos" w:eastAsia="Aptos" w:hAnsi="Aptos"/>
      <w:color w:val="00000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rPr>
      <w:rFonts w:ascii="Aptos" w:eastAsia="Aptos" w:hAnsi="Aptos"/>
      <w:color w:val="000000"/>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rPr>
      <w:rFonts w:ascii="Aptos" w:eastAsia="Aptos" w:hAnsi="Aptos"/>
      <w:color w:val="000000"/>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rPr>
      <w:rFonts w:ascii="Aptos" w:eastAsia="Aptos" w:hAnsi="Aptos"/>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rPr>
      <w:rFonts w:ascii="Aptos" w:eastAsia="Aptos" w:hAnsi="Aptos"/>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rPr>
      <w:rFonts w:ascii="Aptos" w:eastAsia="Aptos" w:hAnsi="Aptos"/>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rPr>
      <w:rFonts w:ascii="Aptos" w:eastAsia="Aptos" w:hAnsi="Aptos"/>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rPr>
      <w:rFonts w:ascii="Aptos" w:eastAsia="Aptos" w:hAnsi="Aptos"/>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rPr>
      <w:rFonts w:ascii="Aptos" w:eastAsia="Aptos" w:hAnsi="Aptos"/>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rPr>
      <w:rFonts w:ascii="Aptos" w:eastAsia="Aptos" w:hAnsi="Aptos"/>
      <w:color w:val="00000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rFonts w:ascii="Aptos" w:eastAsia="Aptos" w:hAnsi="Aptos"/>
      <w:color w:val="00000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rFonts w:ascii="Aptos" w:eastAsia="Aptos" w:hAnsi="Aptos"/>
      <w:color w:val="000000"/>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rFonts w:ascii="Aptos" w:eastAsia="Aptos" w:hAnsi="Aptos"/>
      <w:color w:val="000000"/>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rFonts w:ascii="Aptos" w:eastAsia="Aptos" w:hAnsi="Aptos"/>
      <w:color w:val="000000"/>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rFonts w:ascii="Aptos" w:eastAsia="Aptos" w:hAnsi="Aptos"/>
      <w:color w:val="000000"/>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rFonts w:ascii="Aptos" w:eastAsia="Aptos" w:hAnsi="Aptos"/>
      <w:color w:val="000000"/>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rFonts w:ascii="Aptos" w:eastAsia="Aptos" w:hAnsi="Aptos"/>
      <w:color w:val="000000"/>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rPr>
      <w:rFonts w:ascii="Aptos" w:eastAsia="Aptos" w:hAnsi="Aptos"/>
      <w:color w:val="000000"/>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rPr>
      <w:rFonts w:ascii="Aptos" w:eastAsia="Aptos" w:hAnsi="Aptos"/>
      <w:color w:val="000000"/>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rPr>
      <w:rFonts w:ascii="Aptos" w:eastAsia="Aptos" w:hAnsi="Aptos"/>
      <w:color w:val="000000"/>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rPr>
      <w:rFonts w:ascii="Aptos" w:eastAsia="Aptos" w:hAnsi="Aptos"/>
      <w:color w:val="000000"/>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rPr>
      <w:rFonts w:ascii="Aptos" w:eastAsia="Aptos" w:hAnsi="Aptos"/>
      <w:color w:val="00000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rPr>
      <w:rFonts w:ascii="Aptos" w:eastAsia="Aptos" w:hAnsi="Aptos"/>
      <w:color w:val="000000"/>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rPr>
      <w:rFonts w:ascii="Aptos" w:eastAsia="Aptos" w:hAnsi="Aptos"/>
      <w:color w:val="000000"/>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rPr>
      <w:rFonts w:ascii="Aptos" w:eastAsia="Aptos" w:hAnsi="Aptos"/>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rPr>
      <w:rFonts w:ascii="Aptos" w:eastAsia="Aptos" w:hAnsi="Aptos"/>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rPr>
      <w:rFonts w:ascii="Aptos" w:eastAsia="Aptos" w:hAnsi="Aptos"/>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rPr>
      <w:rFonts w:ascii="Aptos" w:eastAsia="Aptos" w:hAnsi="Aptos"/>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rPr>
      <w:rFonts w:ascii="Aptos" w:eastAsia="Aptos" w:hAnsi="Aptos"/>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rPr>
      <w:rFonts w:ascii="Aptos" w:eastAsia="Aptos" w:hAnsi="Aptos"/>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rPr>
      <w:rFonts w:ascii="Aptos" w:eastAsia="Aptos" w:hAnsi="Aptos"/>
      <w:color w:val="00000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rFonts w:ascii="Aptos" w:eastAsia="Aptos" w:hAnsi="Aptos"/>
      <w:color w:val="000000"/>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rFonts w:ascii="Aptos" w:eastAsia="Aptos" w:hAnsi="Aptos"/>
      <w:color w:val="000000"/>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rFonts w:ascii="Aptos" w:eastAsia="Aptos" w:hAnsi="Aptos"/>
      <w:color w:val="000000"/>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rFonts w:ascii="Aptos" w:eastAsia="Aptos" w:hAnsi="Aptos"/>
      <w:color w:val="000000"/>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rFonts w:ascii="Aptos" w:eastAsia="Aptos" w:hAnsi="Aptos"/>
      <w:color w:val="000000"/>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rFonts w:ascii="Aptos" w:eastAsia="Aptos" w:hAnsi="Aptos"/>
      <w:color w:val="000000"/>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rFonts w:ascii="Aptos" w:eastAsia="Aptos" w:hAnsi="Aptos"/>
      <w:color w:val="000000"/>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rFonts w:ascii="Aptos" w:eastAsia="Aptos" w:hAnsi="Aptos"/>
      <w:color w:val="000000"/>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rFonts w:ascii="Aptos" w:eastAsia="Aptos" w:hAnsi="Aptos"/>
      <w:color w:val="000000"/>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rFonts w:ascii="Aptos" w:eastAsia="Aptos" w:hAnsi="Aptos"/>
      <w:color w:val="000000"/>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rFonts w:ascii="Aptos" w:eastAsia="Aptos" w:hAnsi="Aptos"/>
      <w:color w:val="000000"/>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rFonts w:ascii="Aptos" w:eastAsia="Aptos" w:hAnsi="Aptos"/>
      <w:color w:val="000000"/>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rFonts w:ascii="Aptos" w:eastAsia="Aptos" w:hAnsi="Aptos"/>
      <w:color w:val="000000"/>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rFonts w:ascii="Aptos" w:eastAsia="Aptos" w:hAnsi="Aptos"/>
      <w:color w:val="000000"/>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rFonts w:ascii="Aptos" w:eastAsia="Aptos" w:hAnsi="Aptos"/>
      <w:color w:val="000000"/>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rFonts w:ascii="Aptos" w:eastAsia="Aptos" w:hAnsi="Aptos"/>
      <w:color w:val="000000"/>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rFonts w:ascii="Aptos" w:eastAsia="Aptos" w:hAnsi="Aptos"/>
      <w:color w:val="000000"/>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rFonts w:ascii="Aptos" w:eastAsia="Aptos" w:hAnsi="Aptos"/>
      <w:color w:val="000000"/>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rFonts w:ascii="Aptos" w:eastAsia="Aptos" w:hAnsi="Aptos"/>
      <w:color w:val="000000"/>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rFonts w:ascii="Aptos" w:eastAsia="Aptos" w:hAnsi="Aptos"/>
      <w:color w:val="000000"/>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rFonts w:ascii="Aptos" w:eastAsia="Aptos" w:hAnsi="Aptos"/>
      <w:color w:val="000000"/>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rFonts w:ascii="Aptos" w:eastAsia="Aptos" w:hAnsi="Aptos"/>
      <w:color w:val="000000"/>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rFonts w:ascii="Aptos" w:eastAsia="Aptos" w:hAnsi="Aptos"/>
      <w:color w:val="000000"/>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rFonts w:ascii="Aptos" w:eastAsia="Aptos" w:hAnsi="Aptos"/>
      <w:color w:val="000000"/>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rFonts w:ascii="Aptos" w:eastAsia="Aptos" w:hAnsi="Aptos"/>
      <w:color w:val="000000"/>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rFonts w:ascii="Aptos" w:eastAsia="Aptos" w:hAnsi="Aptos"/>
      <w:color w:val="000000"/>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rFonts w:ascii="Aptos" w:eastAsia="Aptos" w:hAnsi="Aptos"/>
      <w:color w:val="000000"/>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rFonts w:ascii="Aptos" w:eastAsia="Aptos" w:hAnsi="Aptos"/>
      <w:color w:val="000000"/>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agwekSWZ">
    <w:name w:val="Nagłówek SWZ"/>
    <w:basedOn w:val="Normalny"/>
    <w:pPr>
      <w:keepNext/>
      <w:spacing w:before="200"/>
    </w:pPr>
    <w:rPr>
      <w:b/>
    </w:rPr>
  </w:style>
  <w:style w:type="paragraph" w:customStyle="1" w:styleId="TytuSWZ">
    <w:name w:val="Tytuł SWZ"/>
    <w:basedOn w:val="Normalny"/>
    <w:pPr>
      <w:keepNext/>
      <w:spacing w:after="160"/>
    </w:pPr>
    <w:rPr>
      <w:b/>
      <w:sz w:val="30"/>
    </w:rPr>
  </w:style>
  <w:style w:type="paragraph" w:customStyle="1" w:styleId="PodnagwekSWZ">
    <w:name w:val="Podnagłówek SWZ"/>
    <w:basedOn w:val="Normalny"/>
    <w:pPr>
      <w:spacing w:before="120" w:after="60"/>
    </w:pPr>
    <w:rPr>
      <w:b/>
      <w:sz w:val="21"/>
    </w:rPr>
  </w:style>
  <w:style w:type="character" w:styleId="Hipercze">
    <w:name w:val="Hyperlink"/>
    <w:basedOn w:val="Domylnaczcionkaakapitu"/>
    <w:uiPriority w:val="99"/>
    <w:unhideWhenUsed/>
    <w:rsid w:val="003018E2"/>
    <w:rPr>
      <w:rFonts w:ascii="Aptos" w:eastAsia="Aptos" w:hAnsi="Aptos"/>
      <w:color w:val="000000"/>
      <w:u w:val="single"/>
      <w:lang w:val="pl-PL" w:eastAsia="pl-PL" w:bidi="pl-PL"/>
    </w:rPr>
  </w:style>
  <w:style w:type="character" w:customStyle="1" w:styleId="UnresolvedMention">
    <w:name w:val="Unresolved Mention"/>
    <w:basedOn w:val="Domylnaczcionkaakapitu"/>
    <w:uiPriority w:val="99"/>
    <w:semiHidden/>
    <w:unhideWhenUsed/>
    <w:rsid w:val="003018E2"/>
    <w:rPr>
      <w:rFonts w:ascii="Aptos" w:eastAsia="Aptos" w:hAnsi="Aptos"/>
      <w:color w:val="000000"/>
      <w:shd w:val="clear" w:color="auto" w:fill="E1DFDD"/>
      <w:lang w:val="pl-PL"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A225AE-58BF-4E40-93FB-91B3F4166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807</Words>
  <Characters>4847</Characters>
  <Application>Microsoft Office Word</Application>
  <DocSecurity>4</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Manager/>
  <Company/>
  <LinksUpToDate>false</LinksUpToDate>
  <CharactersWithSpaces>5643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2026-07-31T10:52:00Z</dcterms:created>
  <dcterms:modified xsi:type="dcterms:W3CDTF">2026-07-31T10:52:00Z</dcterms:modified>
  <cp:category/>
  <dc:language>pl-PL</dc:language>
</cp:coreProperties>
</file>