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BE856" w14:textId="7F448AA2" w:rsidR="00D201A1" w:rsidRDefault="00000000">
      <w:pPr>
        <w:tabs>
          <w:tab w:val="right" w:pos="9026"/>
        </w:tabs>
        <w:spacing w:after="60"/>
      </w:pPr>
      <w:r>
        <w:rPr>
          <w:b/>
          <w:bCs/>
          <w:color w:val="000000"/>
        </w:rPr>
        <w:t>Znak sprawy: IZP.272.PZP.11.2026</w:t>
      </w:r>
      <w:r>
        <w:tab/>
        <w:t xml:space="preserve">Myślenice, </w:t>
      </w:r>
      <w:r>
        <w:rPr>
          <w:color w:val="000000"/>
        </w:rPr>
        <w:t>1</w:t>
      </w:r>
      <w:r w:rsidR="0007596A">
        <w:rPr>
          <w:color w:val="000000"/>
        </w:rPr>
        <w:t>7</w:t>
      </w:r>
      <w:r>
        <w:rPr>
          <w:color w:val="000000"/>
        </w:rPr>
        <w:t xml:space="preserve">.08.2026 </w:t>
      </w:r>
      <w:r>
        <w:t>r.</w:t>
      </w:r>
    </w:p>
    <w:p w14:paraId="227CE2C4" w14:textId="77777777" w:rsidR="00D201A1" w:rsidRDefault="00D201A1">
      <w:pPr>
        <w:spacing w:after="60" w:line="264" w:lineRule="auto"/>
        <w:jc w:val="both"/>
      </w:pPr>
    </w:p>
    <w:p w14:paraId="2C144389" w14:textId="77777777" w:rsidR="00D201A1" w:rsidRDefault="00000000">
      <w:pPr>
        <w:spacing w:line="264" w:lineRule="auto"/>
        <w:jc w:val="both"/>
      </w:pPr>
      <w:r>
        <w:rPr>
          <w:b/>
          <w:bCs/>
          <w:color w:val="000000"/>
        </w:rPr>
        <w:t>Do Wykonawców</w:t>
      </w:r>
    </w:p>
    <w:p w14:paraId="206F9971" w14:textId="77777777" w:rsidR="00D201A1" w:rsidRDefault="00000000">
      <w:pPr>
        <w:spacing w:after="200" w:line="264" w:lineRule="auto"/>
        <w:jc w:val="both"/>
      </w:pPr>
      <w:r>
        <w:rPr>
          <w:color w:val="000000"/>
        </w:rPr>
        <w:t xml:space="preserve">zainteresowanych postępowaniem o udzielenie zamówienia publicznego prowadzonym w trybie podstawowym bez negocjacji (art. 275 pkt 1 ustawy Pzp) na dostawę pn.: </w:t>
      </w:r>
      <w:r>
        <w:rPr>
          <w:b/>
          <w:bCs/>
          <w:color w:val="000000"/>
        </w:rPr>
        <w:t>„Zakup Zintegrowanego Systemu Zarządzania dla Starostwa Powiatowego w Myślenicach i budżetu Powiatu Myślenickiego”</w:t>
      </w:r>
      <w:r>
        <w:rPr>
          <w:color w:val="000000"/>
        </w:rPr>
        <w:t xml:space="preserve"> (ogłoszenie o zamówieniu nr 2026/BZP 00375323/01; ID postępowania: ocds-148610-32313d88-619e-450b-984f-080b858ddd6c)</w:t>
      </w:r>
    </w:p>
    <w:p w14:paraId="745E4024" w14:textId="77777777" w:rsidR="00D201A1" w:rsidRDefault="00000000">
      <w:pPr>
        <w:spacing w:before="240" w:after="240"/>
        <w:jc w:val="center"/>
      </w:pPr>
      <w:r>
        <w:rPr>
          <w:b/>
          <w:bCs/>
          <w:color w:val="000000"/>
          <w:sz w:val="24"/>
          <w:szCs w:val="24"/>
        </w:rPr>
        <w:t>WYJAŚNIENIA I ZMIANA TREŚCI SPECYFIKACJI WARUNKÓW ZAMÓWIENIA</w:t>
      </w:r>
    </w:p>
    <w:p w14:paraId="5ECF98D7" w14:textId="77777777" w:rsidR="00D201A1" w:rsidRDefault="00000000">
      <w:pPr>
        <w:spacing w:after="200" w:line="264" w:lineRule="auto"/>
        <w:jc w:val="both"/>
      </w:pPr>
      <w:r>
        <w:rPr>
          <w:b/>
          <w:bCs/>
          <w:color w:val="000000"/>
        </w:rPr>
        <w:t xml:space="preserve">I. </w:t>
      </w:r>
      <w:r>
        <w:rPr>
          <w:color w:val="000000"/>
        </w:rPr>
        <w:t>Działając na podstawie art. 284 ust. 2 i 6 ustawy z dnia 11 września 2019 r. – Prawo zamówień publicznych (t.j. Dz. U. z 2026 r. poz. 793), zwanej dalej „ustawą Pzp”, Zamawiający przekazuje treść zapytań do SWZ, które wpłynęły do Zamawiającego w dniu 07.08.2026 r. (tj. z zachowaniem terminu, o którym mowa w art. 284 ust. 2 ustawy Pzp), wraz z udzielonymi wyjaśnieniami. Jednocześnie, działając na podstawie art. 286 ust. 1 ustawy Pzp, Zamawiający dokonuje zmiany treści SWZ w zakresie wskazanym w niniejszym piśmie. Nowe brzmienie zmienianych postanowień przytoczono w treści odpowiedzi na poszczególne pytania oraz zestawiono w części II niniejszego pisma.</w:t>
      </w:r>
    </w:p>
    <w:p w14:paraId="5D27625F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1 – Załącznik nr 9 do SWZ – Projektowane postanowienia umowy</w:t>
      </w:r>
    </w:p>
    <w:p w14:paraId="4AF5B06D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„W ramach realizacji zamówienia Wykonawca wdraża oprogramowanie, którego konstrukcja, zastosowane w nim algorytmy oraz rozwiązania techniczne stanowią najistotniejszą tajemnicę przedsiębiorstwa chronioną przez Wykonawcę. Prosimy o potwierdzenie, że w celu realizacji umowy w zakresie §4 ust. 20 Zamawiający przed dopuszczeniem do realizacji działań w ramach ww. uprawnień innych zaproszonych osób zobowiąże się do zawarcia z ww. osobami stosownej umowy o zachowaniu poufności, a jednocześnie nie będzie korzystał z podmiotów trzecich oraz innych osób prowadzących działalność konkurencyjną do działalności Wykonawcy.”</w:t>
      </w:r>
    </w:p>
    <w:p w14:paraId="4E7E1E3D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575ADF6D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wyjaśnia, że narady koordynacyjne, o których mowa w § 4 ust. 20 projektowanych postanowień umowy (dalej: „PPU”), służą wyłącznie bieżącej koordynacji realizacji Umowy. Zamawiający potwierdza, że osoby niebędące pracownikami Zamawiającego, przed dopuszczeniem do udziału w naradach, zostaną zobowiązane do zachowania w poufności informacji stanowiących tajemnicę przedsiębiorstwa Wykonawcy. Zamawiający nie może natomiast zobowiązać się do niekorzystania z podmiotów trzecich – w naradach mogą uczestniczyć w szczególności osoby wykonujące na rzecz lub wobec Zamawiającego czynności nadzoru, kontroli lub audytu, w tym na podstawie przepisów prawa. Zamawiający nie będzie natomiast udostępniał informacji stanowiących tajemnicę przedsiębiorstwa Wykonawcy podmiotom prowadzącym działalność konkurencyjną wobec Wykonawcy.</w:t>
      </w:r>
    </w:p>
    <w:p w14:paraId="543A4D8F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W związku z powyższym w § 4 ust. 20 PPU po zdaniu drugim dodaje się zdania: „Osoby niebędące pracownikami Zamawiającego, przed dopuszczeniem do udziału w naradach koordynacyjnych, zostaną zobowiązane przez Zamawiającego do zachowania w poufności informacji stanowiących tajemnicę przedsiębiorstwa Wykonawcy, na zasadach określonych w § 9. Powyższe nie dotyczy osób wykonujących czynności kontrolne lub audytowe na podstawie przepisów prawa.”</w:t>
      </w:r>
    </w:p>
    <w:p w14:paraId="5BBE558B" w14:textId="77777777" w:rsidR="00D201A1" w:rsidRDefault="00D201A1">
      <w:pPr>
        <w:spacing w:after="60" w:line="264" w:lineRule="auto"/>
        <w:jc w:val="both"/>
      </w:pPr>
    </w:p>
    <w:p w14:paraId="2FE4933C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2 – Załącznik nr 9 do SWZ – Projektowane postanowienia umowy</w:t>
      </w:r>
    </w:p>
    <w:p w14:paraId="6EF12130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 xml:space="preserve">„Zwracamy się z prośbą o rozważenie przez Zamawiającego wydłużenia terminu dopuszczalnej zwłoki w stosunku do terminu wykonania umowy (§14 ust. 1 pkt. 2), po której Zamawiający może odstąpić od umowy do 30 dni. Posiadając duże doświadczenie w realizacji projektów informatycznych zwracamy uwagę, iż termin określony w umowie może być niewystarczający w przypadku wystąpienia nieprzewidzianych okoliczności niezależnych od Wykonawcy (np. po stronie ewentualnych podwykonawców). Wydłużenie </w:t>
      </w:r>
      <w:r>
        <w:rPr>
          <w:i/>
          <w:iCs/>
          <w:color w:val="000000"/>
        </w:rPr>
        <w:lastRenderedPageBreak/>
        <w:t>wskazanego terminu pozwoli zminimalizować ryzyko nieuzasadnionego odstąpienia od umowy, w sytuacji nie wpływającej na interes Zamawiającego czy zagrażającego jego prawom.”</w:t>
      </w:r>
    </w:p>
    <w:p w14:paraId="339317B6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2D0182E6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 xml:space="preserve">Zamawiający uwzględnia wniosek. </w:t>
      </w:r>
    </w:p>
    <w:p w14:paraId="2E078CF8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§ 14 ust. 1 pkt 2 PPU otrzymuje brzmienie: „gdy zwłoka Wykonawcy w stosunku do terminu wykonania Umowy, o którym mowa w § 2 ust. 1 Umowy, przekroczy 30 dni;”</w:t>
      </w:r>
    </w:p>
    <w:p w14:paraId="72B7D0A5" w14:textId="77777777" w:rsidR="00D201A1" w:rsidRDefault="00D201A1">
      <w:pPr>
        <w:spacing w:after="60" w:line="264" w:lineRule="auto"/>
        <w:jc w:val="both"/>
      </w:pPr>
    </w:p>
    <w:p w14:paraId="10CC3FE2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3 – Załącznik nr 9 do SWZ – Projektowane postanowienia umowy</w:t>
      </w:r>
    </w:p>
    <w:p w14:paraId="06BB70D6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„W ramach §12 projektu umowy Zamawiający przewidział wygórowane kary umowne dotyczące określonych sytuacji, w których może nastąpić ich naliczenie. Zamawiający jako podmiot silniejszy stosunku cywilnoprawnego nawiązanego w wyniku udzielenia zamówienia publicznego, ma możliwość jednostronnego ukształtowania zapisów umowy, zwracamy jednak uwagę, iż obniżenie kar umownych do poziomu wskazanego poniżej, w dalszym ciągu zapewni skuteczny instrument dyscyplinujący Wykonawcę, a jednocześnie pozwoli zachować proporcjonalność i równe traktowanie stron umowy. Uwzględniając zatem specyfikę oraz dobre praktyki prowadzenia projektów informatycznych w dużej mierze zależnych od wzajemnej współpracy pomiędzy Wykonawcą a Zamawiającym prosimy o obniżenie poniższych kar umownych:</w:t>
      </w:r>
    </w:p>
    <w:p w14:paraId="5FE469E7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§12 ust. 2 pkt. 1) obniżenie kary umownej za nieterminowe wykonanie przedmiotu do wysokości 0,1% wynagrodzenia umownego brutto określonego w §11 ust. 1 umowy za każdy dzień zwłoki;</w:t>
      </w:r>
    </w:p>
    <w:p w14:paraId="58BFAA8B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§12 ust. 2 pkt. 2) obniżenie kary umownej za nieterminowe usunięcie wad stwierdzonych przy odbiorze lub w okresie gwarancji do wysokości 0,1% wartości wynagrodzenia umownego brutto określonego w §11 ust. 1 umowy za każdy dzień zwłoki liczony od dnia wyznaczonego na usunięcie wad;</w:t>
      </w:r>
    </w:p>
    <w:p w14:paraId="4BFE785A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§12 ust. 2 pkt. 3) obniżenie kary umownej za niezgodne z Umową świadczenie usługi serwisowej świadczone w okresie gwarancji i rękojmi do wysokości 0,1% wartości wynagrodzenia umownego brutto określonego w §11 ust. 1 umowy za każdą nieprawidłową reakcję w stosunku do terminów określonych w §7 ust. 3;</w:t>
      </w:r>
    </w:p>
    <w:p w14:paraId="7C5BF713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§12 ust. 2 pkt. 5) obniżenie kary umownej za nieterminowe wykonanie obowiązku, o którym mowa w §3 ust. 4 do wysokości 0,1% wartości wynagrodzenia umownego brutto określonego w §11 ust. 1 umowy za każdy dzień zwłoki;</w:t>
      </w:r>
    </w:p>
    <w:p w14:paraId="6F2280B2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Jednocześnie uwzględniając przewidzianą w §12 projektu umowy znaczną dysproporcję pomiędzy maksymalną wysokością kar umownych możliwych do naliczenia przez Zamawiającego, ukształtowaną na poziomie 60% wynagrodzenia umownego brutto, a wysokością kary umownej naliczanej w przypadku odstąpienia od umowy z przyczyn występujących po stronie Wykonawcy, w tym w szczególności z powodu nieusunięcia wad stwierdzonych przy odbiorze, tj. 10% wynagrodzenia umownego brutto wnosimy o obniżenie maksymalnego poziomu kar umownych możliwych do naliczenia do poziomu maksymalnie 20%, które zgodnie z zapisem §14 ust.1 pkt. 3 daje już Zamawiającemu prawo do odstąpienia od umowy. Fundamentalną wartością przy kształtowaniu postanowień umowy powinno być zachowanie równowagi stron umowy i proporcjonalność zapisów. Zastosowanie tak wysokiego poziomu maksymalnego kar umownych naraża wykonawców na nieproporcjonalne do wysokości zamówienia szkody, w tym w szczególności poprzez to, że kary umowne mogą zostać wykorzystane w sposób sprzeczny z funkcją naprawienia powstałej szkody, jaką powinny pełnić kary umowne. Pogląd powyższy znajduje również uzasadnienie w orzecznictwie, w tym Sądu Najwyższego, który w wyroku z dnia 29 listopada 2013 r., sygn. akt. I CSK 124/13 orzekł, iż: „Wykładnia art. 484 § 2 k.c. uzasadnia stwierdzenie, że ocena wystąpienia przesłanki miarkowania kary umownej w postaci jej rażącego wygórowania powinna uwzględniać relację między wysokością kary zastrzeżonej z tytułu uchybienia terminowi spełnienia świadczenia niepieniężnego, a wysokością kary umownej zastrzeżonej w tej samej umowie na wypadek odstąpienia od umowy.”</w:t>
      </w:r>
    </w:p>
    <w:p w14:paraId="19B022FA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 xml:space="preserve">W celu zachowania równowagi w zakresie odpowiedzialności stron umowy i nienarażania Wykonawcy na konieczność uwzględnienia w ofercie dodatkowych kosztów potencjalnego ryzyka, wnosimy o modyfikację </w:t>
      </w:r>
      <w:r>
        <w:rPr>
          <w:i/>
          <w:iCs/>
          <w:color w:val="000000"/>
        </w:rPr>
        <w:lastRenderedPageBreak/>
        <w:t>zapisów §12 ust. 4 projektu umowy i ograniczenie łącznej wysokości kar umownych do kwoty 20% wartości Umowy brutto określonej w §11 ust. 1”</w:t>
      </w:r>
    </w:p>
    <w:p w14:paraId="153AA378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059DF37C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uwzględnia wniosek częściowo. Mając na uwadze zasadę proporcjonalności oraz dążenie do wyeliminowania konieczności wkalkulowania w cenę oferty nadmiernego ryzyka kontraktowego, Zamawiający obniża stawki kar umownych za zwłokę i nieprawidłową reakcję serwisową z 0,5% do 0,2% wynagrodzenia umownego brutto, a limit łącznej wysokości kar umownych z 60% do 30% wynagrodzenia umownego brutto. Dalej idące obniżenie (0,1% / 20%) pozbawiłoby kary umowne realnej funkcji dyscyplinującej przy krótkim, nieprzekraczalnym terminie realizacji zamówienia. Kara z tytułu odstąpienia (§ 12 ust. 2 pkt 4 – 10%) pozostaje bez zmian; limit 30% pozostaje skorelowany z uprawnieniem Zamawiającego do odstąpienia od Umowy po przekroczeniu przez sumę kar 20% wynagrodzenia (§ 14 ust. 1 pkt 3 PPU).</w:t>
      </w:r>
    </w:p>
    <w:p w14:paraId="17929B10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W § 12 ust. 2 pkt 1, 2, 3 i 5 PPU wysokość kary umownej „0,5%” zastępuje się wysokością „0,2%” wynagrodzenia umownego brutto określonego w § 11 ust. 1 (odpowiednio: za każdy dzień zwłoki / za każdą nieprawidłową reakcję).</w:t>
      </w:r>
    </w:p>
    <w:p w14:paraId="6E53856F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§ 12 ust. 4 PPU otrzymuje brzmienie: „Łączna wysokość kar umownych, o których mowa w ust. 2, nie przekroczy kwoty stanowiącej 30% wynagrodzenia umownego brutto określonego w § 11 ust. 1.”</w:t>
      </w:r>
    </w:p>
    <w:p w14:paraId="1532DE40" w14:textId="77777777" w:rsidR="00D201A1" w:rsidRDefault="00D201A1">
      <w:pPr>
        <w:spacing w:after="60" w:line="264" w:lineRule="auto"/>
        <w:jc w:val="both"/>
      </w:pPr>
    </w:p>
    <w:p w14:paraId="5B84F884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4 – Załącznik nr 9 do SWZ – Projektowane postanowienia umowy</w:t>
      </w:r>
    </w:p>
    <w:p w14:paraId="173ED3CC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„W ramach gwarancji zostanie udzielony serwis gwarancyjny obejmujący dostosowanie dostarczonych rozwiązań do zmieniających się wymagań ustawowych, zmiany funkcjonalności w celu skutecznego świadczenia elektronicznych usług publicznych oraz wszelkie usługi zapewniające prawidłowe działanie systemu informatycznego, tj. usuwanie błędów, instalowanie poprawek (patch), instalowanie nowych wersji oprogramowania, jeżeli jest to niezbędne w celu usunięcia błędów, zapewnienia bezpieczeństwa danych, usunięcia błędów w działaniu wdrożonych rozwiązań, udzielanie konsultacji telefonicznych oraz odpowiedzi na zapytania przesłane za pomocą portalu zgłoszeniowego udostępnionego przez producenta”.</w:t>
      </w:r>
    </w:p>
    <w:p w14:paraId="604FE58A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1. Prosimy o potwierdzenie, że umożliwienie świadczenia elektronicznych usług publicznych nie stanowi przedmiotu zamówienia na „Zakup zintegrowanego Systemu Zarządzania dla Starostwa Powiatowego w Myślenicach i budżetu Powiatu Myślenickiego” określonego w dokumencie OPZ;</w:t>
      </w:r>
    </w:p>
    <w:p w14:paraId="7425D451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2. W związku z faktem, że administratorem baz danych oraz użytkownikiem systemu jest Zamawiający, a Wykonawca bez udziału administratora nie może dokonywać zmian w oprogramowaniu funkcjonującym u Zamawiającego wnosimy o korektę powyższego wymagania w następujący sposób: „tj. usuwanie błędów, dostarczanie aktualizacji, poprawek (patch), oraz nowych wersji oprogramowania”.</w:t>
      </w:r>
    </w:p>
    <w:p w14:paraId="6A4F2AEC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7A2E978B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Ad 1) Zamawiający potwierdza – świadczenie (umożliwienie świadczenia) elektronicznych usług publicznych nie stanowi przedmiotu zamówienia opisanego w OPZ. Fraza dotycząca elektronicznych usług publicznych została zamieszczona w § 7 ust. 2 PPU omyłkowo i zostaje wykreślona (patrz również odpowiedź na pytanie 10).</w:t>
      </w:r>
    </w:p>
    <w:p w14:paraId="68789A57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Ad 2) Zamawiający uwzględnia wniosek częściowo. Instalacja poprawek i nowych wersji będzie odbywać się w uzgodnieniu z Zamawiającym i przy udziale administratora Zamawiającego; Zamawiający nie przejmuje jednak na siebie obowiązku samodzielnego instalowania dostarczanych aktualizacji.</w:t>
      </w:r>
    </w:p>
    <w:p w14:paraId="75C5FC8E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 xml:space="preserve">Ad 3) Jednocześnie – w związku z odpowiedzią na pytanie 11 – Zamawiający dokonuje zmiany zakresu serwisu gwarancyjnego w ten sposób, że aktualizacje dostosowujące System do zmian powszechnie obowiązujących przepisów prawa są objęte wynagrodzeniem umownym w okresie pierwszych 12 miesięcy gwarancji, tj. w okresie odpowiadającym okresowi stacjonarnej obsługi powdrożeniowej (§ 7 ust. 4 PPU). § 7 ust. 2 PPU otrzymuje brzmienie: „W ramach gwarancji zostanie udzielony serwis gwarancyjny obejmujący </w:t>
      </w:r>
      <w:r>
        <w:rPr>
          <w:color w:val="000000"/>
        </w:rPr>
        <w:lastRenderedPageBreak/>
        <w:t>wszelkie usługi zapewniające prawidłowe działanie systemu informatycznego, tj. usuwanie błędów, dostarczanie i instalowanie – w uzgodnieniu z Zamawiającym i przy udziale administratora Zamawiającego – aktualizacji, poprawek (patch) oraz nowych wersji oprogramowania, jeżeli jest to niezbędne w celu usunięcia błędów, zapewnienia bezpieczeństwa danych, usunięcia błędów w działaniu wdrożonych rozwiązań, udzielanie konsultacji telefonicznych oraz odpowiedzi na zapytania przesłane za pomocą portalu zgłoszeniowego udostępnionego przez producenta. Ponadto w okresie pierwszych 12 miesięcy gwarancji, licząc od daty podpisania protokołu odbioru przedmiotu Umowy, serwis gwarancyjny obejmuje dostarczanie i instalowanie – w uzgodnieniu z Zamawiającym i przy udziale administratora Zamawiającego – aktualizacji dostosowujących System do zmian powszechnie obowiązujących przepisów prawa w zakresie funkcjonalności objętych Opisem Przedmiotu Zamówienia.”</w:t>
      </w:r>
    </w:p>
    <w:p w14:paraId="4776C494" w14:textId="77777777" w:rsidR="00D201A1" w:rsidRDefault="00D201A1">
      <w:pPr>
        <w:spacing w:after="60" w:line="264" w:lineRule="auto"/>
        <w:jc w:val="both"/>
      </w:pPr>
    </w:p>
    <w:p w14:paraId="3260384F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5 – Załącznik nr 9 do SWZ – Projektowane postanowienia umowy</w:t>
      </w:r>
    </w:p>
    <w:p w14:paraId="305D00AC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„Wykonawca zobowiązuje się do przekazania Zamawiającemu po wykonaniu przedmiotu Umowy dokumentacji powdrożeniowej niezbędnej do dalszego utrzymania, rozwoju systemu oraz audytów”</w:t>
      </w:r>
    </w:p>
    <w:p w14:paraId="7AEF9561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Ponieważ przedmiotem zamówienia jest udzielenie licencji niewyłącznej, a nie przeniesienie autorskich praw majątkowych czy Zamawiający potwierdza, że przez „dalszy rozwój” o którym mowa w § 1 ust. 6, rozumie wyłącznie prace realizowane przez Wykonawcę na zlecenie Zamawiającego, a przekazana dokumentacja nie może być udostępniana podmiotom trzecim bez pisemnej zgody Wykonawcy pod rygorem naruszenia praw autorskich i utraty gwarancji?</w:t>
      </w:r>
    </w:p>
    <w:p w14:paraId="5442B4B4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1E1B5102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potwierdza, że dokumentacja powdrożeniowa nie obejmuje kodów źródłowych oprogramowania, a „dalszy rozwój” systemu należy rozumieć jako rozwój realizowany w ramach uprawnień licencyjnych przysługujących Zamawiającemu na podstawie Umowy. Zamawiający nie potwierdza natomiast zakazu udostępniania dokumentacji podmiotom trzecim bez zgody Wykonawcy „pod rygorem naruszenia praw autorskich i utraty gwarancji” – dokumentacja powdrożeniowa musi móc być udostępniana w zakresie niezbędnym do utrzymania systemu oraz audytów i kontroli działalności Zamawiającego (w tym organom kontroli państwowej), z zachowaniem zasad poufności określonych w § 9 PPU; takie udostępnienie nie może powodować utraty gwarancji.</w:t>
      </w:r>
    </w:p>
    <w:p w14:paraId="18FF779F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W § 1 ust. 6 PPU dodaje się zdania: „Dokumentacja powdrożeniowa nie obejmuje kodów źródłowych oprogramowania. Przez dalszy rozwój systemu rozumie się rozwój realizowany w ramach uprawnień licencyjnych przysługujących Zamawiającemu. Zamawiający może udostępnić dokumentację powdrożeniową podmiotom trzecim wyłącznie w zakresie niezbędnym do utrzymania systemu oraz przeprowadzenia audytów lub kontroli wykonywanych na podstawie przepisów prawa lub na zlecenie Zamawiającego, z zachowaniem zasad poufności określonych w § 9.”</w:t>
      </w:r>
    </w:p>
    <w:p w14:paraId="1B9CC397" w14:textId="77777777" w:rsidR="00D201A1" w:rsidRDefault="00D201A1">
      <w:pPr>
        <w:spacing w:after="60" w:line="264" w:lineRule="auto"/>
        <w:jc w:val="both"/>
      </w:pPr>
    </w:p>
    <w:p w14:paraId="68082D81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6 – Załącznik nr 9 do SWZ – Projektowane postanowienia umowy</w:t>
      </w:r>
    </w:p>
    <w:p w14:paraId="1CC689CE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„Wykonawca wnioskuje o skrócenie terminu na rozpoczęcie czynności odbioru przez Zamawiającego, o którym mowa w §5 ust. 2 do 5 dni roboczych od daty prawidłowego zgłoszenia gotowości do odbioru przez Wykonawcę. Jeżeli w toku czynności odbioru zostaną stwierdzone wady, Zamawiający ma prawo odmówić podpisania protokołu odbioru i wyznaczyć Wykonawcy termin na ich usunięcie, nie dłuższy niż 7 dni od dnia ich stwierdzenia. Czas ten wlicza się do czasu realizacji i nie zwalnia Wykonawcy z odpowiedzialności za zwłokę, pod rygorem naliczenia kar umownych.”</w:t>
      </w:r>
    </w:p>
    <w:p w14:paraId="07A15272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52E49224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uwzględnia wniosek – skrócenie terminu sprzyja również dochowaniu nieprzekraczalnego terminu wykonania zamówienia (15.12.2026 r.). Pozostałe zasady odbioru pozostają bez zmian (w tym termin poprawy przedmiotu Umowy do 7 dni – § 5 ust. 6 PPU – oraz wliczanie czasu kontroli i poprawy do terminu realizacji – § 5 ust. 7 PPU).</w:t>
      </w:r>
    </w:p>
    <w:p w14:paraId="25C747CC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lastRenderedPageBreak/>
        <w:t>§ 5 ust. 2 PPU otrzymuje brzmienie: „Zamawiający po otrzymaniu zgłoszenia gotowości odbioru wyznacza termin odbioru prac nie później niż w ciągu 5 dni roboczych.”</w:t>
      </w:r>
    </w:p>
    <w:p w14:paraId="691A12FB" w14:textId="77777777" w:rsidR="00D201A1" w:rsidRDefault="00D201A1">
      <w:pPr>
        <w:spacing w:after="60" w:line="264" w:lineRule="auto"/>
        <w:jc w:val="both"/>
      </w:pPr>
    </w:p>
    <w:p w14:paraId="28571807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7 – Załącznik nr 10 do SWZ – OPZ, str. 72</w:t>
      </w:r>
    </w:p>
    <w:p w14:paraId="30418D26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„Zamawiający określił, że w ramach odbioru przedmiotu umowy (sprawdzenia ilościowego i jakościowego, o którym mowa w projektowanych postanowieniach umowy – załącznik nr 9 do SWZ) zweryfikuje na wdrożonym Systemie, na danych testowych lub zmigrowanych, prawidłowość realizacji scenariuszy, obejmujących cztery obszary. Zamawiający podkreśla, że pozytywna weryfikacja scenariuszy nie ogranicza jego prawa do sprawdzenia zgodności Systemu z pozostałymi wymaganiami OPZ.</w:t>
      </w:r>
    </w:p>
    <w:p w14:paraId="5DD0C504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Czy w związku z tym Zamawiający na etapie oceny złożonych ofert będzie także weryfikował oferowany przez Wykonawców przedmiot umowy (system) z wykorzystaniem tych scenariuszy? Jeżeli tak, to czy w konsekwencji Zamawiający będzie wymagał próbki jako przedmiotowego środka dowodowego, w celu możliwości weryfikacji funkcjonalności oferowanego oprogramowania wyszczególnionego w OPZ pod kątem spełnienia minimalnych, wymagań określonych w scenariuszach?”</w:t>
      </w:r>
    </w:p>
    <w:p w14:paraId="2D231EF8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3767D4E1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Nie. Scenariusze, o których mowa w OPZ, służą wyłącznie procedurze odbioru przedmiotu umowy (sprawdzeniu ilościowemu i jakościowemu wdrożonego Systemu). Zamawiający nie przewiduje badania próbki ani prezentacji systemu na etapie badania i oceny ofert oraz nie wymaga w tym postępowaniu przedmiotowych środków dowodowych. Ocena zgodności oferowanego świadczenia z warunkami zamówienia zostanie dokonana na podstawie treści oferty, w tym oświadczeń zawartych w pkt 3.4 Formularza Oferty. Treść SWZ w tym zakresie nie ulega zmianie.</w:t>
      </w:r>
    </w:p>
    <w:p w14:paraId="255E8BD7" w14:textId="77777777" w:rsidR="00D201A1" w:rsidRDefault="00D201A1">
      <w:pPr>
        <w:spacing w:after="60" w:line="264" w:lineRule="auto"/>
        <w:jc w:val="both"/>
      </w:pPr>
    </w:p>
    <w:p w14:paraId="37277140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8 – Załącznik nr 9 do SWZ – str. 34, § 7 ust. 3</w:t>
      </w:r>
    </w:p>
    <w:p w14:paraId="7F307C4A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„Zwracamy się z prośbą o wyjaśnienie zapisów §7 projektu umowy dotyczących obowiązku usuwania błędów przez Wykonawcę.</w:t>
      </w:r>
    </w:p>
    <w:p w14:paraId="021D0D23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Prosimy o potwierdzenie, że terminy usuwania błędów w par. 7 ust. 3 odnoszą się do wyłącznie błędów powstałych z przyczyn leżących po stronie Wykonawcy.</w:t>
      </w:r>
    </w:p>
    <w:p w14:paraId="2F8D9A8F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W przypadku gdy obowiązek usuwania błędów ma obejmować również sytuacje niezawinione przez Wykonawcę, wnosimy o modyfikację §7 umowy poprzez doprecyzowanie, że realizacja takich prac będzie odbywać się na dodatkowych zasadach w ramach odrębnego rozliczenia.”</w:t>
      </w:r>
    </w:p>
    <w:p w14:paraId="666F252F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50F2669F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potwierdza, że terminy określone w § 7 ust. 3 PPU dotyczą błędów wynikających z przyczyn leżących po stronie Wykonawcy lub tkwiących w dostarczonym oprogramowaniu (w tym ujawnionych w toku eksploatacji), zgodnie z zakresem odpowiedzialności gwarancyjnej opisanym w § 7 ust. 7–9 PPU. Nie obejmują one błędów spowodowanych wyłącznie przyczynami leżącymi po stronie Zamawiającego (por. § 7 ust. 9 oraz § 8 ust. 7 PPU).</w:t>
      </w:r>
    </w:p>
    <w:p w14:paraId="7E57C6D6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W § 7 ust. 3 PPU po zdaniu dotyczącym dni roboczych dodaje się zdanie: „Terminy określone w lit. a) i b) dotyczą błędów wynikających z przyczyn leżących po stronie Wykonawcy lub tkwiących w dostarczonym oprogramowaniu; nie obejmują błędów spowodowanych wyłącznie przyczynami leżącymi po stronie Zamawiającego, w szczególności modyfikacjami oprogramowania dokonanymi przez Zamawiającego bez zgody Wykonawcy lub awarią infrastruktury Zamawiającego.”</w:t>
      </w:r>
    </w:p>
    <w:p w14:paraId="08740139" w14:textId="77777777" w:rsidR="00D201A1" w:rsidRDefault="00D201A1">
      <w:pPr>
        <w:spacing w:after="60" w:line="264" w:lineRule="auto"/>
        <w:jc w:val="both"/>
      </w:pPr>
    </w:p>
    <w:p w14:paraId="655F9663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9 – Załącznik nr 1 do SWZ – Formularz Oferty, str. 17</w:t>
      </w:r>
    </w:p>
    <w:p w14:paraId="1F193406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„W Załączniku nr 1 do SWZ – Formularzu Oferty, w tabeli wyceny w pkt 3.1, Zamawiający wskazał jako odrębne elementy rozliczeniowe:</w:t>
      </w:r>
    </w:p>
    <w:p w14:paraId="24ED9EC7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– poz. 1: „Licencje – podatki lokalne oraz systemy współpracujące wraz z udostępnianiem danych”,</w:t>
      </w:r>
    </w:p>
    <w:p w14:paraId="4AF0EE8A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lastRenderedPageBreak/>
        <w:t>– poz. 2: „Licencje – opłaty lokalne oraz ewidencje wraz z udostępnieniem danych”.</w:t>
      </w:r>
    </w:p>
    <w:p w14:paraId="17FC1175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Analogiczny podział na obszar „podatków lokalnych” oraz „opłat lokalnych” został zamieszczony w pkt 3.4 Formularza Oferty. Ponadto w obu tabelach przy każdym elemencie rozliczeniowym pojawią się zapis „wraz z udostępnieniem danych”.</w:t>
      </w:r>
    </w:p>
    <w:p w14:paraId="3C366981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Jednocześnie w pkt 3.2 SWZ jako zakres funkcjonalny Systemu wskazano „opłaty lokalne, systemy ewidencyjne i systemy współpracujące”, bez wyodrębnienia obszaru podatków lokalnych, a także nie ma mowy nt. udostępniania danych. Również w OPZ nie określono odrębnych wymagań funkcjonalnych, licencyjnych, wdrożeniowych ani migracyjnych dla systemu obsługującego podatki lokalne. Opisane wymagania dotyczą przede wszystkim opłat wynikających m.in. z dzierżaw, użytkowania wieczystego, przekształcenia użytkowania wieczystego oraz księgowości analitycznej dochodów niepodatkowych.</w:t>
      </w:r>
    </w:p>
    <w:p w14:paraId="0E7A55F4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Dodatkowo Zamawiającym jest Powiat Myślenicki, co powoduje wątpliwość, jakie konkretnie podatki lokalne miałyby być obsługiwane w ramach pozycji nr 1 Formularza Oferty.</w:t>
      </w:r>
    </w:p>
    <w:p w14:paraId="06402E30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W związku z powyższym prosimy o wyjaśnienie czy pozycja nr 1 tabeli wyceny oraz pozycja nr 1 tabeli w pkt 3.4 Formularza Oferty, dotyczące „podatków lokalnych” oraz zapisy mówiące o udostepnieniu danych zostały zamieszczone omyłkowo.</w:t>
      </w:r>
    </w:p>
    <w:p w14:paraId="673891EB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W przypadku potwierdzenia omyłki prosimy o usunięcie wskazanych pozycji i zapisów oraz opublikowanie poprawionego Formularza Oferty.”</w:t>
      </w:r>
    </w:p>
    <w:p w14:paraId="0042E434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21394DB9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potwierdza omyłkę. Zakres funkcjonalny Systemu określony w pkt 3.2 SWZ oraz w OPZ nie obejmuje odrębnego obszaru „podatków lokalnych” ani odrębnego świadczenia „udostępniania danych” jako samodzielnych elementów rozliczeniowych (wymagania dotyczące wymiany i udostępniania danych wynikają wyłącznie z wymagań integracyjnych OPZ i nie podlegają odrębnej wycenie).</w:t>
      </w:r>
    </w:p>
    <w:p w14:paraId="2E6779D7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W tabeli wyceny (pkt 3.1 Formularza Oferty) pozycje nr 1 i nr 2 zastępuje się jedną pozycją o nazwie: „Licencje – opłaty lokalne, systemy ewidencyjne i systemy współpracujące”, a w pozostałych pozycjach wykreśla się słowa „wraz z udostępnieniem danych”. Po zmianie tabela wyceny obejmuje pozycje: 1) Licencje – opłaty lokalne, systemy ewidencyjne i systemy współpracujące; 2) Licencje – system elektronicznego zarządzania dokumentami w zakresie dokumentów finansowych oraz integracje z platformami zewnętrznymi; 3) Licencje – systemy księgowości budżetowej oraz wymiana informacji budżetowo-finansowych między jednostkami organizacyjnymi a Powiatem; 4) Prace wdrożeniowo-instalacyjne; 5) Prace szkoleniowe. Nazwy pozycji licencyjnych zostały ujednolicone z zakresem funkcjonalnym Systemu określonym w pkt 3.2 SWZ. Analogicznej zmianie ulega tabela w pkt 3.4 Formularza Oferty (wiersze 1–4, przy zachowaniu wiersza „Pozostałe oferowane oprogramowanie…”). Zamawiający udostępnia na stronie internetowej prowadzonego postępowania SWZ w wersji ujednoliconej, obejmującej poprawiony Formularz Oferty.</w:t>
      </w:r>
    </w:p>
    <w:p w14:paraId="52BA07D8" w14:textId="77777777" w:rsidR="00D201A1" w:rsidRDefault="00D201A1">
      <w:pPr>
        <w:spacing w:after="60" w:line="264" w:lineRule="auto"/>
        <w:jc w:val="both"/>
      </w:pPr>
    </w:p>
    <w:p w14:paraId="45CBC209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10 – Załącznik nr 9 do SWZ – umowy, str. 34, § 7 ust. 2</w:t>
      </w:r>
    </w:p>
    <w:p w14:paraId="34DFA192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„Zamawiający wskazał, że serwis gwarancyjny ma obejmować m.in. zmiany funkcjonalności w celu skutecznego świadczenia elektronicznych usług publicznych. Zwracamy uwagę, że w OPZ nie są wskazane żadne elektroniczne usługi publiczne, które miałyby być rezultatem wdrożenia systemu. Prosimy o wskazanie o jakie usługi chodzi lub usunięcie tego zapisu, jeśli został zamieszczony omyłkowo.”</w:t>
      </w:r>
    </w:p>
    <w:p w14:paraId="024630C4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59C970B2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Zamawiający potwierdza, że zapis został zamieszczony omyłkowo. Z § 7 ust. 2 PPU wykreśla się słowa „zmiany funkcjonalności w celu skutecznego świadczenia elektronicznych usług publicznych”. Nowe brzmienie § 7 ust. 2 PPU przytoczono w odpowiedzi na pytanie 4.</w:t>
      </w:r>
    </w:p>
    <w:p w14:paraId="1FF53DED" w14:textId="77777777" w:rsidR="00D201A1" w:rsidRDefault="00D201A1">
      <w:pPr>
        <w:spacing w:after="60" w:line="264" w:lineRule="auto"/>
        <w:jc w:val="both"/>
      </w:pPr>
    </w:p>
    <w:p w14:paraId="1E556EBD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11 – Załącznik nr 9 do SWZ – umowy, str. 34, § 7 ust. 3</w:t>
      </w:r>
    </w:p>
    <w:p w14:paraId="4E8600A2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lastRenderedPageBreak/>
        <w:t>„Zamawiający w pkt 3.4 i 18.2 SWZ, pkt 3.3 Formularza Oferty, § 7 ust. 1, 2, 6 i 10 projektowanych postanowień umowy oraz pkt 1.5 i części „Gwarancja” OPZ wskazał 60-miesięczny okres gwarancji i rękojmi. Zakres ten obejmuje nie tylko usuwanie wad oprogramowania, lecz również dostosowywanie rozwiązań do zmian przepisów prawa, zmiany funkcjonalności, dostarczanie i instalowanie nowych wersji, poprawki bezpieczeństwa oraz konsultacje.</w:t>
      </w:r>
    </w:p>
    <w:p w14:paraId="05D314A2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Jednocześnie w kryterium „Liczba godzin obsługi powdrożeniowej” oraz w § 7 ust. 4 projektowanych postanowień umowy Zamawiający przewidział obsługę powdrożeniową w siedzibie Zamawiającego wyłącznie w okresie pierwszych 12 miesięcy funkcjonowania Systemu.</w:t>
      </w:r>
    </w:p>
    <w:p w14:paraId="0DCB2CCC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Prosimy zatem o potwierdzenie, czy wskazanie 60-miesięcznego okresu gwarancji i rękojmi jest świadomą decyzją Zamawiającego, czy też okres ten został omyłkowo wskazany zamiast okresu 12 miesięcy.</w:t>
      </w:r>
    </w:p>
    <w:p w14:paraId="46824C73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W przypadku omyłki prosimy o zmianę okresu gwarancji i rękojmi na 12 miesięcy we wszystkich dokumentach zamówienia, w szczególności w pkt 3.4 i 18.2 SWZ, Formularzu Oferty, § 7 i § 15 projektowanych postanowień umowy oraz w OPZ.</w:t>
      </w:r>
    </w:p>
    <w:p w14:paraId="0FBBB66A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Ewentualnie prosimy o zmianę modelu świadczenia w ten sposób, że:</w:t>
      </w:r>
    </w:p>
    <w:p w14:paraId="2F51C3CB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1. pełna gwarancja, aktualizacja prawna, opieka serwisowa i obsługa powdrożeniowa będą świadczone przez 12 miesięcy od odbioru;</w:t>
      </w:r>
    </w:p>
    <w:p w14:paraId="6ED120EE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2. świadczenie opieki serwisowej w kolejnych czterech okresach 12-miesięcznych będzie objęte prawem opcji, uruchamianym odrębnie dla każdego roku, zależnie od potrzeb i możliwości finansowych Zamawiającego;</w:t>
      </w:r>
    </w:p>
    <w:p w14:paraId="67E930A9" w14:textId="77777777" w:rsidR="00D201A1" w:rsidRDefault="00000000">
      <w:pPr>
        <w:spacing w:after="60" w:line="264" w:lineRule="auto"/>
        <w:ind w:left="454"/>
        <w:jc w:val="both"/>
      </w:pPr>
      <w:r>
        <w:rPr>
          <w:i/>
          <w:iCs/>
          <w:color w:val="000000"/>
        </w:rPr>
        <w:t>3. Formularz Oferty będzie zawierał odrębną cenę za każdy opcjonalny rok opieki serwisowej.</w:t>
      </w:r>
    </w:p>
    <w:p w14:paraId="77FCBA4D" w14:textId="77777777" w:rsidR="00D201A1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Proponowany model pozwoli na jednoznaczne skalkulowanie oferty, ograniczy konieczność wkalkulowania do ceny trudnego do oszacowania ryzyka zmian prawnych, technologicznych i integracyjnych w okresie pięciu lat oraz umożliwi Zamawiającemu dostosowanie zakresu opieki do rzeczywistych potrzeb i posiadanych środków.”</w:t>
      </w:r>
    </w:p>
    <w:p w14:paraId="3584264B" w14:textId="77777777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29BDCA90" w14:textId="77777777" w:rsidR="00681121" w:rsidRPr="00DA62E4" w:rsidRDefault="00000000">
      <w:pPr>
        <w:spacing w:after="120" w:line="264" w:lineRule="auto"/>
        <w:jc w:val="both"/>
        <w:rPr>
          <w:i/>
          <w:iCs/>
          <w:color w:val="000000"/>
        </w:rPr>
      </w:pPr>
      <w:r>
        <w:rPr>
          <w:color w:val="000000"/>
        </w:rPr>
        <w:t>Zamawiający potwierdza, że 60-miesięczny okres gwarancji i rękojmi jest świadomą decyzją Zamawiającego, a nie omyłką. Przedmiotem zamówienia są systemy obsługujące dochody, księgowość budżetową i dokumenty finansowe, które muszą pozostawać zgodne ze zmieniającymi się przepisami prawa przez cały okres eksploatacji; objęcie tych świadczeń gwarancją w okresie 60 miesięcy jest niezbędne dla zachowania ciągłości działania Starostwa i jednostek organizacyjnych Powiatu.  Zamawiający uwzględnia natomiast wniosek w części dotyczącej zakresu świadczeń serwisowych. W okresie gwarancji zakres świadczeń Wykonawcy określa § 7 ust. 2 i 3 PPU (w brzmieniu nadanym niniejszym pismem – odpowiedzi na pytania 4, 8 i 10): przez cały 60-miesięczny okres gwarancji serwis gwarancyjny obejmuje usuwanie błędów, dostarczanie i instalowanie aktualizacji, poprawek (patch) oraz nowych wersji oprogramowania niezbędnych do usunięcia błędów i zapewnienia bezpieczeństwa danych, a także konsultacje – bez dodatkowego wynagrodzenia (§ 7 ust. 10 PPU). Aktualizacje dostosowujące System do zmian powszechnie obowiązujących przepisów prawa są objęte wynagrodzeniem umownym w okresie pierwszych 12 miesięcy gwarancji, tj. w okresie odpowiadającym okresowi stacjonarnej obsługi powdrożeniowej (§ 7 ust. 4 PPU); powyższe usuwa wskazaną w pytaniu niespójność i ogranicza ryzyko, które Wykonawca musiałby wkalkulować w cenę oferty. Gwarancja nie obejmuje natomiast świadczeń wykraczających poza tak określony zakres serwisu gwarancyjnego, w szczególności rozbudowy lub zmiany funkcjonalności Systemu realizowanych na odrębne zlecenie Zamawiającego; do takich świadczeń stosuje się zasady opisane w odpowiedzi na pytanie 12 oraz w nowym § 7 ust. 11 PPU.</w:t>
      </w:r>
      <w:r>
        <w:rPr>
          <w:i/>
          <w:iCs/>
          <w:color w:val="000000"/>
        </w:rPr>
        <w:t xml:space="preserve"> </w:t>
      </w:r>
    </w:p>
    <w:p w14:paraId="7110BC71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 xml:space="preserve">Zamawiający nie wprowadza proponowanego modelu prawa opcji. Wynagrodzenie za przedmiot zamówienia jest ryczałtowe i płatne jednorazowo, nie później niż do 31.12.2026 r. (§ 11 ust. 2 PPU), co wynika z zasad finansowania zamówienia w bieżącym roku budżetowym; coroczne uruchamianie opcji wymagałoby przebudowy modelu finansowania zamówienia i nie gwarantowałoby Zamawiającemu ciągłości serwisu. Jednocześnie Zamawiający zwraca uwagę, że dokonane niniejszym pismem zmiany i wyjaśnienia (wykreślenie elektronicznych usług publicznych – odpowiedzi na pytania 4 i 10; doprecyzowanie </w:t>
      </w:r>
      <w:r>
        <w:rPr>
          <w:color w:val="000000"/>
        </w:rPr>
        <w:lastRenderedPageBreak/>
        <w:t>zakresu odpowiedzialności serwisowej – odpowiedź na pytanie 8; tryb instalacji aktualizacji – odpowiedź na pytanie 4; obniżenie kar umownych – odpowiedź na pytanie 3; ograniczenie obowiązku dostarczania aktualizacji dostosowujących System do zmian przepisów prawa do okresu pierwszych 12 miesięcy gwarancji – odpowiedź na niniejsze pytanie) istotnie ograniczają ryzyka, które musiałyby zostać wkalkulowane w cenę oferty, i umożliwiają rzetelną kalkulację kosztów serwisu gwarancyjnego w całym okresie 60 miesięcy. Okres gwarancji i rękojmi pozostaje bez zmian i wynosi 60 miesięcy; zmianie ulega natomiast zakres serwisu gwarancyjnego w sposób opisany powyżej – odpowiednim zmianom ulegają pkt 3.4 SWZ, § 7 ust. 2 PPU oraz część „Gwarancja” OPZ (załącznik nr 10 do SWZ).</w:t>
      </w:r>
    </w:p>
    <w:p w14:paraId="2A1A3BDB" w14:textId="77777777" w:rsidR="008D710B" w:rsidRDefault="00000000">
      <w:pPr>
        <w:spacing w:after="120" w:line="264" w:lineRule="auto"/>
        <w:jc w:val="both"/>
      </w:pPr>
      <w:r>
        <w:rPr>
          <w:color w:val="000000"/>
        </w:rPr>
        <w:t>Jednocześnie – kierując się art. 44 ust. 3 ustawy z dnia 27 sierpnia 2009 r. o finansach publicznych, zgodnie z którym wydatki publiczne powinny być dokonywane w sposób celowy i oszczędny, z zachowaniem zasady uzyskiwania najlepszych efektów z danych nakładów, oraz w celu wyeliminowania ryzyka uzależnienia Zamawiającego od jednego wykonawcy w kolejnych latach – Zamawiający wprowadza do PPU nowy § 7 ust. 11, który: (1) ogranicza maksymalne wynagrodzenie Wykonawcy za ewentualne przyszłe usługi wsparcia, opieki serwisowej, nadzoru autorskiego lub aktualizacji Systemu, nieobjęte serwisem gwarancyjnym lub świadczone po upływie okresu gwarancji, do 20% kosztów licencji za każdy rozpoczęty 12-miesięczny okres świadczenia usług, z coroczną waloryzacją o wskaźnik inflacji, oraz (2) przesądza, że zawarcie takiej umowy jest każdorazowo prawem, a nie obowiązkiem Zamawiającego, uzależnionym od jego rzeczywistych potrzeb i możliwości finansowych w danym roku budżetowym. Treść nowego § 7 ust. 11 PPU oraz szczegółowe zasady przytoczono w odpowiedzi na pytanie 12.</w:t>
      </w:r>
    </w:p>
    <w:p w14:paraId="4B76FD53" w14:textId="77777777" w:rsidR="00D201A1" w:rsidRDefault="00D201A1">
      <w:pPr>
        <w:spacing w:after="60" w:line="264" w:lineRule="auto"/>
        <w:jc w:val="both"/>
      </w:pPr>
    </w:p>
    <w:p w14:paraId="2EE13EE8" w14:textId="77777777" w:rsidR="00D201A1" w:rsidRPr="00BC4ED4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Pytanie 12 – Załącznik nr 9 do SWZ – umowy, str. 34, § 7 ust. 4</w:t>
      </w:r>
    </w:p>
    <w:p w14:paraId="12371763" w14:textId="77777777" w:rsidR="00D201A1" w:rsidRPr="00BC4ED4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„Zwracamy się z prośbą o wyjaśnienie zapisów § 7 Projektowanych Postanowień Umowy dotyczących świadczenia stacjonarnej obsługi powdrożeniowej przez okres pierwszych 12 miesięcy od dnia podpisania protokołu odbioru końcowego.</w:t>
      </w:r>
    </w:p>
    <w:p w14:paraId="6688E0EB" w14:textId="77777777" w:rsidR="00D201A1" w:rsidRPr="00BC4ED4" w:rsidRDefault="00000000">
      <w:pPr>
        <w:spacing w:after="60" w:line="264" w:lineRule="auto"/>
        <w:jc w:val="both"/>
      </w:pPr>
      <w:r>
        <w:rPr>
          <w:i/>
          <w:iCs/>
          <w:color w:val="000000"/>
        </w:rPr>
        <w:t>Czy Zamawiający przewiduje lub oczekuje, że po upływie 12-miesięcznego okresu świadczenia stacjonarnej obsługi powdrożeniowej, usługi wsparcia w tym zakresie będą dalej świadczone na podstawie odrębnej umowy, czy też po 12 miesiącach obsługa i wsparcie Systemu realizowane będą wyłącznie w ramach serwisu gwarancyjnego, o którym mowa w § 7 Umowy?”</w:t>
      </w:r>
    </w:p>
    <w:p w14:paraId="2C297ACD" w14:textId="77777777" w:rsidR="00D201A1" w:rsidRPr="00BC4ED4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Odpowiedź:</w:t>
      </w:r>
    </w:p>
    <w:p w14:paraId="4E58E5BC" w14:textId="77777777" w:rsidR="00D201A1" w:rsidRDefault="00000000">
      <w:pPr>
        <w:spacing w:after="120" w:line="264" w:lineRule="auto"/>
        <w:jc w:val="both"/>
        <w:rPr>
          <w:color w:val="000000"/>
        </w:rPr>
      </w:pPr>
      <w:r>
        <w:rPr>
          <w:color w:val="000000"/>
        </w:rPr>
        <w:t xml:space="preserve">Zamawiający wyjaśnia, że po upływie 12-miesięcznego okresu stacjonarnej obsługi powdrożeniowej obsługa i wsparcie Systemu realizowane będą wyłącznie w ramach serwisu gwarancyjnego, o którym mowa w § 7 ust. 2 i 3 PPU, przy czym aktualizacje dostosowujące System do zmian powszechnie obowiązujących przepisów prawa są objęte serwisem gwarancyjnym w okresie pierwszych 12 miesięcy gwarancji (§ 7 ust. 2 zdanie drugie PPU) – bez dodatkowego wynagrodzenia (§ 7 ust. 10 PPU). Zamawiający zastrzega sobie możliwość zawarcia odrębnej/ odrębnych umów wsparcia i/lub aktualizacji systemu po upływie pierwszych 12 miesięcy funkcjonowania Systemu – w zakresie usług nieobjętych serwisem gwarancyjnym lub świadczonych po upływie okresu gwarancji –, z zastrzeżeniem n.w. wytycznych: </w:t>
      </w:r>
    </w:p>
    <w:p w14:paraId="43724047" w14:textId="77777777" w:rsidR="008D710B" w:rsidRDefault="00000000">
      <w:pPr>
        <w:spacing w:after="120" w:line="264" w:lineRule="auto"/>
        <w:ind w:left="340" w:hanging="340"/>
        <w:jc w:val="both"/>
      </w:pPr>
      <w:r>
        <w:rPr>
          <w:color w:val="000000"/>
        </w:rPr>
        <w:t>– wynagrodzenie Wykonawcy z tytułu takiej umowy nie przekroczy – za każdy rozpoczęty 12-miesięczny okres świadczenia usług – 20% kosztów licencji, przez które rozumie się sumę wartości brutto pozycji obejmujących licencje, wskazanych w tabeli wyceny zawartej w pkt 3.1 Formularza Oferty Wykonawcy, przy czym tak ustalony limit podlega waloryzacji naliczanej corocznie, począwszy od 2028 r., o średnioroczny wskaźnik cen towarów i usług konsumpcyjnych ogółem za rok poprzedni, ogłaszany przez Prezesa Głównego Urzędu Statystycznego;</w:t>
      </w:r>
    </w:p>
    <w:p w14:paraId="1118BB9D" w14:textId="77777777" w:rsidR="008D710B" w:rsidRDefault="00000000">
      <w:pPr>
        <w:spacing w:after="120" w:line="264" w:lineRule="auto"/>
        <w:ind w:left="340" w:hanging="340"/>
        <w:jc w:val="both"/>
      </w:pPr>
      <w:r>
        <w:rPr>
          <w:color w:val="000000"/>
        </w:rPr>
        <w:t>– zawarcie takiej umowy jest każdorazowo prawem, a nie obowiązkiem Zamawiającego; stosownie do art. 44 ust. 3 ustawy z dnia 27 sierpnia 2009 r. o finansach publicznych decyzja o jej zawarciu będzie zależała od rzeczywistych potrzeb oraz możliwości finansowych Zamawiającego w danym roku budżetowym – w przypadku braku akceptacji przez Zamawiającego proponowanego wynagrodzenia umowa nie zostanie zawarta, a Wykonawcy nie będą przysługiwały z tego tytułu żadne roszczenia;</w:t>
      </w:r>
    </w:p>
    <w:p w14:paraId="7CE22503" w14:textId="77777777" w:rsidR="008D710B" w:rsidRDefault="00000000">
      <w:pPr>
        <w:spacing w:after="120" w:line="264" w:lineRule="auto"/>
        <w:ind w:left="340" w:hanging="340"/>
        <w:jc w:val="both"/>
      </w:pPr>
      <w:r>
        <w:rPr>
          <w:color w:val="000000"/>
        </w:rPr>
        <w:lastRenderedPageBreak/>
        <w:t>– udzielenie ewentualnego przyszłego zamówienia nastąpi zgodnie z obowiązującymi przepisami, tj.: z zastosowaniem ustawy Pzp, z wyłączeniem jej stosowania (art. 2 ust. 1 pkt 1 ustawy Pzp – zamówienia o wartości mniejszej niż 130 000 złotych) albo – o ile spełnione będą ustawowe przesłanki – w trybie zamówienia z wolnej ręki (art. 305 pkt 1 w zw. z art. 214 ust. 1 pkt 1 ustawy Pzp);</w:t>
      </w:r>
    </w:p>
    <w:p w14:paraId="0AB2E006" w14:textId="77777777" w:rsidR="008D710B" w:rsidRDefault="00000000">
      <w:pPr>
        <w:spacing w:after="120" w:line="264" w:lineRule="auto"/>
        <w:ind w:left="340" w:hanging="340"/>
        <w:jc w:val="both"/>
      </w:pPr>
      <w:r>
        <w:rPr>
          <w:color w:val="000000"/>
        </w:rPr>
        <w:t>– powyższe nie ogranicza uprawnień Zamawiającego z tytułu gwarancji i rękojmi: w całym 60-miesięcznym okresie gwarancji świadczenia serwisu gwarancyjnego, w zakresie określonym w § 7 ust. 2 i 3 PPU, pozostają bezpłatne, a System ma działać zgodnie z Umową (§ 7 ust. 10 PPU).</w:t>
      </w:r>
    </w:p>
    <w:p w14:paraId="0B490A4B" w14:textId="77777777" w:rsidR="008D710B" w:rsidRDefault="00000000">
      <w:pPr>
        <w:spacing w:after="120" w:line="264" w:lineRule="auto"/>
        <w:jc w:val="both"/>
      </w:pPr>
      <w:r>
        <w:rPr>
          <w:color w:val="000000"/>
        </w:rPr>
        <w:t>W związku z powyższym w § 7 PPU dodaje się ust. 11 w brzmieniu: „Usługi wsparcia, opieki serwisowej, nadzoru autorskiego lub aktualizacji Systemu, nieobjęte serwisem gwarancyjnym, o którym mowa w ust. 2, lub świadczone po upływie okresu gwarancji, mogą być zlecane Wykonawcy wyłącznie na podstawie odrębnej umowy. Wykonawca gwarantuje, że jego wynagrodzenie z tytułu takiej umowy nie przekroczy – za każdy rozpoczęty 12-miesięczny okres świadczenia usług – 20% kosztów licencji, przy czym tak ustalony limit podlega waloryzacji naliczanej corocznie, począwszy od 2028 r., o średnioroczny wskaźnik cen towarów i usług konsumpcyjnych ogółem za rok poprzedni, ogłaszany przez Prezesa Głównego Urzędu Statystycznego. Przez koszty licencji rozumie się sumę wartości brutto pozycji obejmujących licencje, wskazanych w tabeli wyceny zawartej w pkt 3.1 Formularza Oferty Wykonawcy. Zawarcie umowy, o której mowa w zdaniu pierwszym, jest każdorazowo prawem, a nie obowiązkiem Zamawiającego i następuje zgodnie z obowiązującymi przepisami, w tym ustawą Pzp oraz ustawą o finansach publicznych; Wykonawcy nie przysługują żadne roszczenia w przypadku niezawarcia takiej umowy, w szczególności w razie braku akceptacji przez Zamawiającego proponowanego wynagrodzenia. Postanowienia niniejszego ustępu nie ograniczają uprawnień Zamawiającego wynikających z gwarancji i rękojmi ani nie zwalniają Wykonawcy z obowiązków określonych w ust. 1–10.”</w:t>
      </w:r>
    </w:p>
    <w:p w14:paraId="0C1C96FF" w14:textId="77777777" w:rsidR="00BC4ED4" w:rsidRDefault="00BC4ED4">
      <w:pPr>
        <w:spacing w:after="120" w:line="264" w:lineRule="auto"/>
        <w:jc w:val="both"/>
      </w:pPr>
    </w:p>
    <w:p w14:paraId="3FD96D82" w14:textId="77777777" w:rsidR="00D201A1" w:rsidRDefault="00D201A1">
      <w:pPr>
        <w:spacing w:after="60" w:line="264" w:lineRule="auto"/>
        <w:jc w:val="both"/>
      </w:pPr>
    </w:p>
    <w:p w14:paraId="134AE8E6" w14:textId="77777777" w:rsidR="00D201A1" w:rsidRDefault="00000000">
      <w:pPr>
        <w:spacing w:after="120" w:line="264" w:lineRule="auto"/>
        <w:jc w:val="both"/>
      </w:pPr>
      <w:r>
        <w:rPr>
          <w:b/>
          <w:bCs/>
          <w:color w:val="000000"/>
          <w:sz w:val="22"/>
          <w:szCs w:val="22"/>
        </w:rPr>
        <w:t>II. Zestawienie zmian treści SWZ</w:t>
      </w:r>
    </w:p>
    <w:p w14:paraId="3BD57CC6" w14:textId="77777777" w:rsidR="00D201A1" w:rsidRDefault="00000000">
      <w:pPr>
        <w:spacing w:after="120" w:line="264" w:lineRule="auto"/>
        <w:jc w:val="both"/>
      </w:pPr>
      <w:r>
        <w:rPr>
          <w:color w:val="000000"/>
        </w:rPr>
        <w:t>Na podstawie art. 286 ust. 1 ustawy Pzp Zamawiający dokonuje następujących zmian treści SWZ (zakres zmian szczegółowo przytoczono w odpowiedziach na pytania):</w:t>
      </w:r>
    </w:p>
    <w:p w14:paraId="08207AC5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1) Załącznik nr 9 do SWZ (PPU) § 1 ust. 6 – dodanie zdań doprecyzowujących zakres i zasady udostępniania dokumentacji powdrożeniowej (odpowiedź na pytanie 5);</w:t>
      </w:r>
    </w:p>
    <w:p w14:paraId="61128BF1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2) Załącznik nr 9 do SWZ (PPU) § 4 ust. 20 – dodanie zdań dotyczących zobowiązania do poufności osób uczestniczących w naradach koordynacyjnych (odpowiedź na pytanie 1);</w:t>
      </w:r>
    </w:p>
    <w:p w14:paraId="1F8F751E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3) Załącznik nr 9 do SWZ (PPU) § 5 ust. 2 – skrócenie terminu wyznaczenia odbioru z 10 do 5 dni roboczych (odpowiedź na pytanie 6);</w:t>
      </w:r>
    </w:p>
    <w:p w14:paraId="5D8CCE32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4) Załącznik nr 9 do SWZ (PPU) § 7 ust. 2 – wykreślenie elektronicznych usług publicznych, zmiana zasad instalacji aktualizacji i nowych wersji oraz określenie, że aktualizacje dostosowujące System do zmian powszechnie obowiązujących przepisów prawa objęte są serwisem gwarancyjnym w okresie pierwszych 12 miesięcy gwarancji (odpowiedzi na pytania 4, 10 i 11);</w:t>
      </w:r>
    </w:p>
    <w:p w14:paraId="7DCF4D3F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5) Załącznik nr 9 do SWZ (PPU) § 7 ust. 3 – doprecyzowanie, że terminy usuwania błędów dotyczą przyczyn leżących po stronie Wykonawcy (odpowiedź na pytanie 8);</w:t>
      </w:r>
    </w:p>
    <w:p w14:paraId="14D3581C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6) Załącznik nr 9 do SWZ (PPU) § 12 ust. 2 pkt 1, 2, 3 i 5 – obniżenie kar umownych z 0,5% do 0,2%; § 12 ust. 4 – obniżenie limitu łącznej wysokości kar umownych z 60% do 30% wynagrodzenia umownego brutto (odpowiedź na pytanie 3);</w:t>
      </w:r>
    </w:p>
    <w:p w14:paraId="0AE7E525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7) Załącznik nr 9 do SWZ (PPU) § 14 ust. 1 pkt 2 – wydłużenie terminu zwłoki uprawniającej do odstąpienia z 10 do 30 dni (odpowiedź na pytanie 2);</w:t>
      </w:r>
    </w:p>
    <w:p w14:paraId="7D4E6E0A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 xml:space="preserve">8) Załącznik nr 1 do SWZ (Formularz Oferty) – tabela wyceny w pkt 3.1 oraz tabela w pkt 3.4: scalenie pozycji 1 i 2 w pozycję „Licencje – opłaty lokalne, systemy ewidencyjne i systemy współpracujące”, wykreślenie </w:t>
      </w:r>
      <w:r>
        <w:rPr>
          <w:color w:val="000000"/>
        </w:rPr>
        <w:lastRenderedPageBreak/>
        <w:t>słów „wraz z udostępnieniem danych” oraz ujednolicenie nazw pozostałych pozycji licencyjnych z pkt 3.2 SWZ (odpowiedź na pytanie 9);</w:t>
      </w:r>
    </w:p>
    <w:p w14:paraId="44E07F47" w14:textId="77777777" w:rsidR="00D201A1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9) pkt 15.1 SWZ oraz pkt 5.1 Formularza Oferty – dostosowanie terminu związania ofertą do przedłużonego terminu składania ofert (część III niniejszego pisma);</w:t>
      </w:r>
    </w:p>
    <w:p w14:paraId="737F9431" w14:textId="77777777" w:rsidR="008D710B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10) Załącznik nr 9 do SWZ (PPU) § 7 – dodanie ust. 11 określającego maksymalne wynagrodzenie Wykonawcy za usługi wsparcia, opieki serwisowej, nadzoru autorskiego lub aktualizacji Systemu nieobjęte serwisem gwarancyjnym lub świadczone po upływie okresu gwarancji (limit 20% kosztów licencji, tj. sumy wartości brutto pozycji licencyjnych tabeli wyceny, za każdy rozpoczęty 12-miesięczny okres świadczenia usług, z waloryzacją o wskaźnik inflacji) oraz zasady zawierania odrębnych umów w tym zakresie (odpowiedzi na pytania 11 i 12);</w:t>
      </w:r>
    </w:p>
    <w:p w14:paraId="00650DFF" w14:textId="77777777" w:rsidR="00E94609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11) pkt 3.4 SWZ oraz część „Gwarancja” Opisu Przedmiotu Zamówienia (załącznik nr 10 do SWZ) – doprecyzowanie zakresu serwisu gwarancyjnego: aktualizacje dostosowujące oprogramowanie do zmian powszechnie obowiązujących przepisów prawa objęte są wynagrodzeniem umownym w okresie pierwszych 12 miesięcy gwarancji (odpowiedź na pytanie 11);</w:t>
      </w:r>
    </w:p>
    <w:p w14:paraId="3FD69C38" w14:textId="77777777" w:rsidR="00E94609" w:rsidRDefault="00000000">
      <w:pPr>
        <w:spacing w:after="60" w:line="264" w:lineRule="auto"/>
        <w:ind w:left="340" w:hanging="340"/>
        <w:jc w:val="both"/>
      </w:pPr>
      <w:r>
        <w:rPr>
          <w:color w:val="000000"/>
        </w:rPr>
        <w:t>12) pkt 19.2 i 20.1 SWZ – przedłużenie terminu składania i otwarcia ofert (część III niniejszego pisma).</w:t>
      </w:r>
    </w:p>
    <w:p w14:paraId="2733ED1C" w14:textId="77777777" w:rsidR="00D201A1" w:rsidRDefault="00000000">
      <w:pPr>
        <w:spacing w:after="200" w:line="264" w:lineRule="auto"/>
        <w:jc w:val="both"/>
      </w:pPr>
      <w:r>
        <w:rPr>
          <w:color w:val="000000"/>
        </w:rPr>
        <w:t>Zamawiający udostępnia na stronie internetowej prowadzonego postępowania SWZ w wersji ujednoliconej (czystopis), uwzględniającej wszystkie zmiany dokonane niniejszym pismem, jako dokument obowiązujący. Dodatkowo, wyłącznie w celach informacyjnych, Zamawiający udostępnia SWZ z naniesionymi zmianami wyróżnionymi czcionką w kolorze czerwonym (przekreślenie – tekst wykreślony, kolor czerwony – tekst dodany).</w:t>
      </w:r>
    </w:p>
    <w:p w14:paraId="0E1C0818" w14:textId="77777777" w:rsidR="00D201A1" w:rsidRDefault="00000000">
      <w:pPr>
        <w:spacing w:after="120" w:line="264" w:lineRule="auto"/>
        <w:jc w:val="both"/>
      </w:pPr>
      <w:r>
        <w:rPr>
          <w:b/>
          <w:bCs/>
          <w:color w:val="000000"/>
          <w:sz w:val="22"/>
          <w:szCs w:val="22"/>
        </w:rPr>
        <w:t>III. Terminy składania i otwarcia ofert oraz termin związania ofertą</w:t>
      </w:r>
    </w:p>
    <w:p w14:paraId="646F27AE" w14:textId="3B1A09FF" w:rsidR="00D201A1" w:rsidRDefault="00000000">
      <w:pPr>
        <w:spacing w:after="120" w:line="264" w:lineRule="auto"/>
        <w:jc w:val="both"/>
      </w:pPr>
      <w:r>
        <w:rPr>
          <w:color w:val="000000"/>
        </w:rPr>
        <w:t xml:space="preserve">Termin składania ofert został uprzednio przedłużony zmianą treści SWZ do dnia </w:t>
      </w:r>
      <w:r w:rsidR="007A4DDE">
        <w:rPr>
          <w:color w:val="000000"/>
        </w:rPr>
        <w:t>21</w:t>
      </w:r>
      <w:r>
        <w:rPr>
          <w:color w:val="000000"/>
        </w:rPr>
        <w:t>.08.2026 r. Mając na uwadze, że zmiany treści SWZ dokonane niniejszym pismem – w szczególności zmiana zakresu serwisu gwarancyjnego (§ 7 ust. 2 PPU, pkt 3.4 SWZ, część „Gwarancja” OPZ) oraz zmiana Formularza Oferty w zakresie tabeli wyceny – wymagają od Wykonawców dodatkowego czasu na zapoznanie się ze zmianami i przygotowanie ofert, Zamawiający na podstawie art. 286 ust. 3 ustawy Pzp przedłuża termin składania ofert o czas niezbędny na ich przygotowanie. Obowiązują następujące terminy:</w:t>
      </w:r>
    </w:p>
    <w:p w14:paraId="17522970" w14:textId="79CB12CD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Termin składania ofert (pkt 19.2 SWZ): 2</w:t>
      </w:r>
      <w:r w:rsidR="0007596A">
        <w:rPr>
          <w:b/>
          <w:bCs/>
          <w:color w:val="000000"/>
        </w:rPr>
        <w:t>1</w:t>
      </w:r>
      <w:r>
        <w:rPr>
          <w:b/>
          <w:bCs/>
          <w:color w:val="000000"/>
        </w:rPr>
        <w:t>.08.2026 r., godz. 09:00</w:t>
      </w:r>
    </w:p>
    <w:p w14:paraId="460C5E64" w14:textId="72A651EC" w:rsidR="00D201A1" w:rsidRDefault="00000000">
      <w:pPr>
        <w:spacing w:after="60" w:line="264" w:lineRule="auto"/>
        <w:jc w:val="both"/>
      </w:pPr>
      <w:r>
        <w:rPr>
          <w:b/>
          <w:bCs/>
          <w:color w:val="000000"/>
        </w:rPr>
        <w:t>Termin otwarcia ofert (pkt 20.1 SWZ): 2</w:t>
      </w:r>
      <w:r w:rsidR="0007596A">
        <w:rPr>
          <w:b/>
          <w:bCs/>
          <w:color w:val="000000"/>
        </w:rPr>
        <w:t>1</w:t>
      </w:r>
      <w:r>
        <w:rPr>
          <w:b/>
          <w:bCs/>
          <w:color w:val="000000"/>
        </w:rPr>
        <w:t>.08.2026 r., godz. 09:30</w:t>
      </w:r>
    </w:p>
    <w:p w14:paraId="638DFEB6" w14:textId="64248B44" w:rsidR="00D201A1" w:rsidRDefault="00000000">
      <w:pPr>
        <w:spacing w:after="200" w:line="264" w:lineRule="auto"/>
        <w:jc w:val="both"/>
      </w:pPr>
      <w:r>
        <w:rPr>
          <w:b/>
          <w:bCs/>
          <w:color w:val="000000"/>
        </w:rPr>
        <w:t>Termin związania ofertą (pkt 15.1 SWZ, pkt 5.1 Formularza Oferty): do dnia 1</w:t>
      </w:r>
      <w:r w:rsidR="0007596A">
        <w:rPr>
          <w:b/>
          <w:bCs/>
          <w:color w:val="000000"/>
        </w:rPr>
        <w:t>9</w:t>
      </w:r>
      <w:r>
        <w:rPr>
          <w:b/>
          <w:bCs/>
          <w:color w:val="000000"/>
        </w:rPr>
        <w:t>.09.2026 r.</w:t>
      </w:r>
      <w:r>
        <w:rPr>
          <w:color w:val="000000"/>
        </w:rPr>
        <w:t xml:space="preserve"> (art. 307 ust. 1 ustawy Pzp – pierwszym dniem terminu związania ofertą jest dzień, w którym upływa termin składania ofert)</w:t>
      </w:r>
    </w:p>
    <w:p w14:paraId="59718AE5" w14:textId="77777777" w:rsidR="00D201A1" w:rsidRDefault="00000000">
      <w:pPr>
        <w:spacing w:after="120" w:line="264" w:lineRule="auto"/>
        <w:jc w:val="both"/>
      </w:pPr>
      <w:r>
        <w:rPr>
          <w:b/>
          <w:bCs/>
          <w:color w:val="000000"/>
          <w:sz w:val="22"/>
          <w:szCs w:val="22"/>
        </w:rPr>
        <w:t>IV. Informacje końcowe</w:t>
      </w:r>
    </w:p>
    <w:p w14:paraId="73EA59EA" w14:textId="676EF48A" w:rsidR="00D201A1" w:rsidRDefault="00000000">
      <w:pPr>
        <w:spacing w:after="60" w:line="264" w:lineRule="auto"/>
        <w:jc w:val="both"/>
      </w:pPr>
      <w:r>
        <w:rPr>
          <w:color w:val="000000"/>
        </w:rPr>
        <w:t xml:space="preserve">1. Dokonane zmiany treści SWZ prowadzą do zmiany treści ogłoszenia o zamówieniu – na podstawie art. 286 ust. 9 ustawy Pzp Zamawiający zamieścił w Biuletynie Zamówień Publicznych ogłoszenie o zmianie ogłoszenia z dnia 14.08.2026 r. </w:t>
      </w:r>
      <w:r w:rsidR="0007596A">
        <w:rPr>
          <w:color w:val="000000"/>
        </w:rPr>
        <w:t>oraz z dnia 17.08.2026 r. O</w:t>
      </w:r>
      <w:r>
        <w:rPr>
          <w:color w:val="000000"/>
        </w:rPr>
        <w:t xml:space="preserve"> przedłużonym terminie składania ofert Zamawiający informuje przez zamieszczenie informacji na stronie internetowej prowadzonego postępowania (art. 286 ust. 5 ustawy Pzp).</w:t>
      </w:r>
    </w:p>
    <w:p w14:paraId="00886757" w14:textId="77777777" w:rsidR="00D201A1" w:rsidRDefault="00000000">
      <w:pPr>
        <w:spacing w:after="60" w:line="264" w:lineRule="auto"/>
        <w:jc w:val="both"/>
      </w:pPr>
      <w:r>
        <w:rPr>
          <w:color w:val="000000"/>
        </w:rPr>
        <w:t>2. Udzielone wyjaśnienia oraz dokonane zmiany treści SWZ stanowią integralną część SWZ i są wiążące dla wszystkich Wykonawców. Oferty należy przygotować z ich uwzględnieniem, w tym na zaktualizowanym Formularzu Oferty.</w:t>
      </w:r>
    </w:p>
    <w:p w14:paraId="0BF1155A" w14:textId="11E755E2" w:rsidR="00D201A1" w:rsidRDefault="00000000">
      <w:pPr>
        <w:spacing w:after="300" w:line="264" w:lineRule="auto"/>
        <w:jc w:val="both"/>
      </w:pPr>
      <w:r>
        <w:rPr>
          <w:color w:val="000000"/>
        </w:rPr>
        <w:t>3. Pozostałe postanowienia SWZ pozostają bez zmian.</w:t>
      </w:r>
      <w:r w:rsidR="007A4DDE">
        <w:rPr>
          <w:color w:val="000000"/>
        </w:rPr>
        <w:t xml:space="preserve"> Zamawiający zamieścił ponadto dla ułatwienia ujednoliconą wersję SWZ oraz ujednolicone załączniki do SWZ. </w:t>
      </w:r>
    </w:p>
    <w:p w14:paraId="3ACCDFA2" w14:textId="77777777" w:rsidR="00D201A1" w:rsidRDefault="00000000">
      <w:pPr>
        <w:spacing w:after="40" w:line="264" w:lineRule="auto"/>
        <w:jc w:val="right"/>
      </w:pPr>
      <w:r>
        <w:rPr>
          <w:b/>
          <w:bCs/>
          <w:color w:val="000000"/>
        </w:rPr>
        <w:t>STAROSTA MYŚLENICKI</w:t>
      </w:r>
    </w:p>
    <w:p w14:paraId="60AC2932" w14:textId="77777777" w:rsidR="00D201A1" w:rsidRDefault="00000000">
      <w:pPr>
        <w:spacing w:line="264" w:lineRule="auto"/>
        <w:jc w:val="right"/>
      </w:pPr>
      <w:r>
        <w:rPr>
          <w:color w:val="000000"/>
        </w:rPr>
        <w:t>/-/ Józef Tomal</w:t>
      </w:r>
    </w:p>
    <w:sectPr w:rsidR="00D201A1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8F527F"/>
    <w:multiLevelType w:val="hybridMultilevel"/>
    <w:tmpl w:val="4D1238BE"/>
    <w:lvl w:ilvl="0" w:tplc="58EA8DD4">
      <w:start w:val="1"/>
      <w:numFmt w:val="bullet"/>
      <w:lvlText w:val="●"/>
      <w:lvlJc w:val="left"/>
      <w:pPr>
        <w:ind w:left="720" w:hanging="360"/>
      </w:pPr>
    </w:lvl>
    <w:lvl w:ilvl="1" w:tplc="78EEC9F4">
      <w:start w:val="1"/>
      <w:numFmt w:val="bullet"/>
      <w:lvlText w:val="○"/>
      <w:lvlJc w:val="left"/>
      <w:pPr>
        <w:ind w:left="1440" w:hanging="360"/>
      </w:pPr>
    </w:lvl>
    <w:lvl w:ilvl="2" w:tplc="3C24909E">
      <w:start w:val="1"/>
      <w:numFmt w:val="bullet"/>
      <w:lvlText w:val="■"/>
      <w:lvlJc w:val="left"/>
      <w:pPr>
        <w:ind w:left="2160" w:hanging="360"/>
      </w:pPr>
    </w:lvl>
    <w:lvl w:ilvl="3" w:tplc="6FCC7770">
      <w:start w:val="1"/>
      <w:numFmt w:val="bullet"/>
      <w:lvlText w:val="●"/>
      <w:lvlJc w:val="left"/>
      <w:pPr>
        <w:ind w:left="2880" w:hanging="360"/>
      </w:pPr>
    </w:lvl>
    <w:lvl w:ilvl="4" w:tplc="8AD20D04">
      <w:start w:val="1"/>
      <w:numFmt w:val="bullet"/>
      <w:lvlText w:val="○"/>
      <w:lvlJc w:val="left"/>
      <w:pPr>
        <w:ind w:left="3600" w:hanging="360"/>
      </w:pPr>
    </w:lvl>
    <w:lvl w:ilvl="5" w:tplc="C03894E6">
      <w:start w:val="1"/>
      <w:numFmt w:val="bullet"/>
      <w:lvlText w:val="■"/>
      <w:lvlJc w:val="left"/>
      <w:pPr>
        <w:ind w:left="4320" w:hanging="360"/>
      </w:pPr>
    </w:lvl>
    <w:lvl w:ilvl="6" w:tplc="B16C0B0E">
      <w:start w:val="1"/>
      <w:numFmt w:val="bullet"/>
      <w:lvlText w:val="●"/>
      <w:lvlJc w:val="left"/>
      <w:pPr>
        <w:ind w:left="5040" w:hanging="360"/>
      </w:pPr>
    </w:lvl>
    <w:lvl w:ilvl="7" w:tplc="518258A8">
      <w:start w:val="1"/>
      <w:numFmt w:val="bullet"/>
      <w:lvlText w:val="●"/>
      <w:lvlJc w:val="left"/>
      <w:pPr>
        <w:ind w:left="5760" w:hanging="360"/>
      </w:pPr>
    </w:lvl>
    <w:lvl w:ilvl="8" w:tplc="81B20028">
      <w:start w:val="1"/>
      <w:numFmt w:val="bullet"/>
      <w:lvlText w:val="●"/>
      <w:lvlJc w:val="left"/>
      <w:pPr>
        <w:ind w:left="6480" w:hanging="360"/>
      </w:pPr>
    </w:lvl>
  </w:abstractNum>
  <w:num w:numId="1" w16cid:durableId="2079937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A1"/>
    <w:rsid w:val="00010695"/>
    <w:rsid w:val="0003083B"/>
    <w:rsid w:val="0007596A"/>
    <w:rsid w:val="0016589D"/>
    <w:rsid w:val="00167C50"/>
    <w:rsid w:val="003B2240"/>
    <w:rsid w:val="003F07C4"/>
    <w:rsid w:val="00412FCB"/>
    <w:rsid w:val="004F50EF"/>
    <w:rsid w:val="00510747"/>
    <w:rsid w:val="00681121"/>
    <w:rsid w:val="007A4DDE"/>
    <w:rsid w:val="008A369E"/>
    <w:rsid w:val="008B6DBC"/>
    <w:rsid w:val="008D710B"/>
    <w:rsid w:val="009A040F"/>
    <w:rsid w:val="00A72375"/>
    <w:rsid w:val="00AE4BFF"/>
    <w:rsid w:val="00BA6DDA"/>
    <w:rsid w:val="00BC4ED4"/>
    <w:rsid w:val="00C125E0"/>
    <w:rsid w:val="00C346C7"/>
    <w:rsid w:val="00D201A1"/>
    <w:rsid w:val="00DA62E4"/>
    <w:rsid w:val="00E94609"/>
    <w:rsid w:val="00F2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3FA157"/>
  <w15:docId w15:val="{614E7720-C729-5347-AAE9-5B971D20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5495</Words>
  <Characters>32973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19</cp:revision>
  <dcterms:created xsi:type="dcterms:W3CDTF">2026-08-11T11:34:00Z</dcterms:created>
  <dcterms:modified xsi:type="dcterms:W3CDTF">2026-08-17T08:37:00Z</dcterms:modified>
</cp:coreProperties>
</file>