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sz w:val="22"/>
          <w:szCs w:val="22"/>
        </w:rPr>
        <w:t xml:space="preserve">Załącznik nr 5 do SWZ</w:t>
      </w:r>
    </w:p>
    <w:p>
      <w:pPr>
        <w:spacing w:after="200"/>
      </w:pPr>
      <w:r>
        <w:rPr>
          <w:b/>
          <w:bCs/>
          <w:sz w:val="28"/>
          <w:szCs w:val="28"/>
        </w:rPr>
        <w:t xml:space="preserve">WYKAZ SUBSTANCJI NIEWSKAZANYCH W DIECIE DZIECI</w:t>
      </w:r>
    </w:p>
    <w:p>
      <w:pPr>
        <w:spacing w:after="100"/>
      </w:pPr>
      <w:r>
        <w:rPr>
          <w:i/>
          <w:iCs/>
          <w:sz w:val="20"/>
          <w:szCs w:val="20"/>
        </w:rPr>
        <w:t xml:space="preserve">Dodatki do żywności, których obecność w dostarczanych produktach jest niepożądana w diecie dzieci i młodzieży objętych żywieniem zbiorowym w jednostkach systemu oświaty.</w:t>
      </w:r>
    </w:p>
    <w:p>
      <w:pPr>
        <w:spacing w:after="200"/>
      </w:pPr>
      <w:r>
        <w:rPr>
          <w:i/>
          <w:iCs/>
          <w:color w:val="555555"/>
          <w:sz w:val="16"/>
          <w:szCs w:val="16"/>
        </w:rPr>
        <w:t xml:space="preserve">Nadzór merytoryczny: dr hab. inż. Joanna Wyka, prof. nadzw. Opracowanie: Grażyna Karczewska – specjalista ds. żywienia. Materiał opracowany w ramach projektu „Smacznie, zdrowo, wartościowo” realizowanego przez Wydział Zdrowia i Spraw Społecznych Urzędu Miejskiego Wrocławia oraz Wrocławskie Centrum Rozwoju Społecznego. Program finansowany przez Miasto Wrocław.</w:t>
      </w:r>
    </w:p>
    <w:tbl>
      <w:tblPr>
        <w:tblW w:type="dxa" w:w="16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00"/>
        <w:gridCol w:w="2000"/>
        <w:gridCol w:w="3600"/>
        <w:gridCol w:w="3600"/>
        <w:gridCol w:w="4700"/>
      </w:tblGrid>
      <w:tr>
        <w:trPr>
          <w:tblHeader/>
        </w:trPr>
        <w:tc>
          <w:tcPr>
            <w:tcW w:type="dxa" w:w="2100"/>
            <w:shd w:fill="2F5496" w:val="clear"/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Substancja dodatkowa</w:t>
            </w:r>
          </w:p>
        </w:tc>
        <w:tc>
          <w:tcPr>
            <w:tcW w:type="dxa" w:w="2100"/>
            <w:shd w:fill="2F5496" w:val="clear"/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Nr E</w:t>
            </w:r>
          </w:p>
        </w:tc>
        <w:tc>
          <w:tcPr>
            <w:tcW w:type="dxa" w:w="2100"/>
            <w:shd w:fill="2F5496" w:val="clear"/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Funkcja</w:t>
            </w:r>
          </w:p>
        </w:tc>
        <w:tc>
          <w:tcPr>
            <w:tcW w:type="dxa" w:w="2100"/>
            <w:shd w:fill="2F5496" w:val="clear"/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Źródło w pożywieniu</w:t>
            </w:r>
          </w:p>
        </w:tc>
        <w:tc>
          <w:tcPr>
            <w:tcW w:type="dxa" w:w="2100"/>
            <w:shd w:fill="2F5496" w:val="clear"/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Wpływ na zdrowie</w:t>
            </w:r>
          </w:p>
        </w:tc>
      </w:tr>
      <w:tr>
        <w:trPr>
          <w:cantSplit/>
        </w:trPr>
        <w:tc>
          <w:tcPr>
            <w:tcW w:type="dxa" w:w="2100"/>
            <w:vAlign w:val="center"/>
          </w:tcPr>
          <w:p>
            <w:r>
              <w:rPr>
                <w:b/>
                <w:bCs/>
                <w:sz w:val="16"/>
                <w:szCs w:val="16"/>
              </w:rPr>
              <w:t xml:space="preserve">Acesulfam K</w:t>
            </w:r>
          </w:p>
        </w:tc>
        <w:tc>
          <w:tcPr>
            <w:tcW w:type="dxa" w:w="20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E 950</w:t>
            </w:r>
          </w:p>
        </w:tc>
        <w:tc>
          <w:tcPr>
            <w:tcW w:type="dxa" w:w="36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Substancja słodząca, wzmacniająca smak i zapach</w:t>
            </w:r>
          </w:p>
        </w:tc>
        <w:tc>
          <w:tcPr>
            <w:tcW w:type="dxa" w:w="36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Napoje, wyroby cukiernicze, przetwory zbożowe, syropy, desery, lody, ciasta, słodycze, gumy do żucia. Odporny na wysoką temperaturę.</w:t>
            </w:r>
          </w:p>
        </w:tc>
        <w:tc>
          <w:tcPr>
            <w:tcW w:type="dxa" w:w="47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Ból głowy, nadpobudliwość, możliwe problemy z wątrobą i wzrokiem, problemy z oddychaniem, choroby nerek; u zwierząt doświadczalnych odnotowano nowotwory.</w:t>
            </w:r>
          </w:p>
        </w:tc>
      </w:tr>
      <w:tr>
        <w:trPr>
          <w:cantSplit/>
        </w:trPr>
        <w:tc>
          <w:tcPr>
            <w:tcW w:type="dxa" w:w="2100"/>
            <w:vAlign w:val="center"/>
          </w:tcPr>
          <w:p>
            <w:r>
              <w:rPr>
                <w:b/>
                <w:bCs/>
                <w:sz w:val="16"/>
                <w:szCs w:val="16"/>
              </w:rPr>
              <w:t xml:space="preserve">Amarant</w:t>
            </w:r>
          </w:p>
        </w:tc>
        <w:tc>
          <w:tcPr>
            <w:tcW w:type="dxa" w:w="20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E 123</w:t>
            </w:r>
          </w:p>
        </w:tc>
        <w:tc>
          <w:tcPr>
            <w:tcW w:type="dxa" w:w="36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Barwnik</w:t>
            </w:r>
          </w:p>
        </w:tc>
        <w:tc>
          <w:tcPr>
            <w:tcW w:type="dxa" w:w="36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Kolorowe napoje alkoholowe, płatki zbożowe, kawior, ciasta w proszku, galaretki, kasze, napoje bezalkoholowe, przetwory z czarnej porzeczki.</w:t>
            </w:r>
          </w:p>
        </w:tc>
        <w:tc>
          <w:tcPr>
            <w:tcW w:type="dxa" w:w="47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Sprzyja odkładaniu wapnia na nerkach, niebezpieczny dla astmatyków, działanie mutagenne (u szczurów), podejrzewany o działanie rakotwórcze.</w:t>
            </w:r>
          </w:p>
        </w:tc>
      </w:tr>
      <w:tr>
        <w:trPr>
          <w:cantSplit/>
        </w:trPr>
        <w:tc>
          <w:tcPr>
            <w:tcW w:type="dxa" w:w="2100"/>
            <w:vAlign w:val="center"/>
          </w:tcPr>
          <w:p>
            <w:r>
              <w:rPr>
                <w:b/>
                <w:bCs/>
                <w:sz w:val="16"/>
                <w:szCs w:val="16"/>
              </w:rPr>
              <w:t xml:space="preserve">Aspartam</w:t>
            </w:r>
          </w:p>
        </w:tc>
        <w:tc>
          <w:tcPr>
            <w:tcW w:type="dxa" w:w="20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E 951</w:t>
            </w:r>
          </w:p>
        </w:tc>
        <w:tc>
          <w:tcPr>
            <w:tcW w:type="dxa" w:w="36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Substancja słodząca, wzmacniająca smak</w:t>
            </w:r>
          </w:p>
        </w:tc>
        <w:tc>
          <w:tcPr>
            <w:tcW w:type="dxa" w:w="36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Napoje, dżemy, desery, koncentraty zup i sosów, słodziki stołowe, wyroby cukiernicze, ciastka, słodycze, gumy do żucia, leki dla dzieci.</w:t>
            </w:r>
          </w:p>
        </w:tc>
        <w:tc>
          <w:tcPr>
            <w:tcW w:type="dxa" w:w="47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U części osób: zawroty i bóle głowy, napady padaczkowe, migrena, pobudzenie, depresja. Źródło fenyloalaniny — przeciwwskazany przy fenyloketonurii.</w:t>
            </w:r>
          </w:p>
        </w:tc>
      </w:tr>
      <w:tr>
        <w:trPr>
          <w:cantSplit/>
        </w:trPr>
        <w:tc>
          <w:tcPr>
            <w:tcW w:type="dxa" w:w="2100"/>
            <w:vAlign w:val="center"/>
          </w:tcPr>
          <w:p>
            <w:r>
              <w:rPr>
                <w:b/>
                <w:bCs/>
                <w:sz w:val="16"/>
                <w:szCs w:val="16"/>
              </w:rPr>
              <w:t xml:space="preserve">Azorubina</w:t>
            </w:r>
          </w:p>
        </w:tc>
        <w:tc>
          <w:tcPr>
            <w:tcW w:type="dxa" w:w="20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E 122</w:t>
            </w:r>
          </w:p>
        </w:tc>
        <w:tc>
          <w:tcPr>
            <w:tcW w:type="dxa" w:w="36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Barwnik</w:t>
            </w:r>
          </w:p>
        </w:tc>
        <w:tc>
          <w:tcPr>
            <w:tcW w:type="dxa" w:w="36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Aromatyzowane napoje bezalkoholowe, lody, budynie w proszku, wyroby piekarnicze i cukiernicze.</w:t>
            </w:r>
          </w:p>
        </w:tc>
        <w:tc>
          <w:tcPr>
            <w:tcW w:type="dxa" w:w="47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Niebezpieczna dla astmatyków, może powodować nadpobudliwość u dzieci, ostrożność u uczulonych na aspirynę, kancerogenna u zwierząt.</w:t>
            </w:r>
          </w:p>
        </w:tc>
      </w:tr>
      <w:tr>
        <w:trPr>
          <w:cantSplit/>
        </w:trPr>
        <w:tc>
          <w:tcPr>
            <w:tcW w:type="dxa" w:w="2100"/>
            <w:vAlign w:val="center"/>
          </w:tcPr>
          <w:p>
            <w:r>
              <w:rPr>
                <w:b/>
                <w:bCs/>
                <w:sz w:val="16"/>
                <w:szCs w:val="16"/>
              </w:rPr>
              <w:t xml:space="preserve">Azotany sodu / Azotany potasu</w:t>
            </w:r>
          </w:p>
        </w:tc>
        <w:tc>
          <w:tcPr>
            <w:tcW w:type="dxa" w:w="20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E 251 / E 252</w:t>
            </w:r>
          </w:p>
        </w:tc>
        <w:tc>
          <w:tcPr>
            <w:tcW w:type="dxa" w:w="36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Substancja konserwująca</w:t>
            </w:r>
          </w:p>
        </w:tc>
        <w:tc>
          <w:tcPr>
            <w:tcW w:type="dxa" w:w="36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Mięso, przetwory mięsne, warzywa (nadmierne nawożenie), skażona woda pitna.</w:t>
            </w:r>
          </w:p>
        </w:tc>
        <w:tc>
          <w:tcPr>
            <w:tcW w:type="dxa" w:w="47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Pod wpływem mikroflory jelitowej mogą przekształcać się w azotyny; ryzyko methemoglobinemii (sinica, duszność, senność, ból brzucha, w ciężkiej postaci zagrożenie życia).</w:t>
            </w:r>
          </w:p>
        </w:tc>
      </w:tr>
      <w:tr>
        <w:trPr>
          <w:cantSplit/>
        </w:trPr>
        <w:tc>
          <w:tcPr>
            <w:tcW w:type="dxa" w:w="2100"/>
            <w:vAlign w:val="center"/>
          </w:tcPr>
          <w:p>
            <w:r>
              <w:rPr>
                <w:b/>
                <w:bCs/>
                <w:sz w:val="16"/>
                <w:szCs w:val="16"/>
              </w:rPr>
              <w:t xml:space="preserve">Azotyny potasu / Azotyny sodu</w:t>
            </w:r>
          </w:p>
        </w:tc>
        <w:tc>
          <w:tcPr>
            <w:tcW w:type="dxa" w:w="20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E 249 / E 250</w:t>
            </w:r>
          </w:p>
        </w:tc>
        <w:tc>
          <w:tcPr>
            <w:tcW w:type="dxa" w:w="36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Substancja konserwująca, utrwala barwę produktu</w:t>
            </w:r>
          </w:p>
        </w:tc>
        <w:tc>
          <w:tcPr>
            <w:tcW w:type="dxa" w:w="36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Przetwory mięsne, wyroby garmażeryjne.</w:t>
            </w:r>
          </w:p>
        </w:tc>
        <w:tc>
          <w:tcPr>
            <w:tcW w:type="dxa" w:w="47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Ryzyko methemoglobinemii; przy peklowaniu i podgrzewaniu powyżej 150°C mogą tworzyć rakotwórcze nitrozoaminy (zwłaszcza z produktami bogatymi w aminy, np. żółty ser).</w:t>
            </w:r>
          </w:p>
        </w:tc>
      </w:tr>
      <w:tr>
        <w:trPr>
          <w:cantSplit/>
        </w:trPr>
        <w:tc>
          <w:tcPr>
            <w:tcW w:type="dxa" w:w="2100"/>
            <w:vAlign w:val="center"/>
          </w:tcPr>
          <w:p>
            <w:r>
              <w:rPr>
                <w:b/>
                <w:bCs/>
                <w:sz w:val="16"/>
                <w:szCs w:val="16"/>
              </w:rPr>
              <w:t xml:space="preserve">Brąz HT</w:t>
            </w:r>
          </w:p>
        </w:tc>
        <w:tc>
          <w:tcPr>
            <w:tcW w:type="dxa" w:w="20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E 155</w:t>
            </w:r>
          </w:p>
        </w:tc>
        <w:tc>
          <w:tcPr>
            <w:tcW w:type="dxa" w:w="36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Barwnik</w:t>
            </w:r>
          </w:p>
        </w:tc>
        <w:tc>
          <w:tcPr>
            <w:tcW w:type="dxa" w:w="36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Ciasta w proszku, czekoladowe ciastka i herbatniki, napoje bezalkoholowe, lody.</w:t>
            </w:r>
          </w:p>
        </w:tc>
        <w:tc>
          <w:tcPr>
            <w:tcW w:type="dxa" w:w="47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Biegunki, pokrzywka, reakcje alergiczne, może nasilać objawy astmy; niezalecany dla dzieci i uczulonych na aspirynę.</w:t>
            </w:r>
          </w:p>
        </w:tc>
      </w:tr>
      <w:tr>
        <w:trPr>
          <w:cantSplit/>
        </w:trPr>
        <w:tc>
          <w:tcPr>
            <w:tcW w:type="dxa" w:w="2100"/>
            <w:vAlign w:val="center"/>
          </w:tcPr>
          <w:p>
            <w:r>
              <w:rPr>
                <w:b/>
                <w:bCs/>
                <w:sz w:val="16"/>
                <w:szCs w:val="16"/>
              </w:rPr>
              <w:t xml:space="preserve">Czerwień koszenilowa</w:t>
            </w:r>
          </w:p>
        </w:tc>
        <w:tc>
          <w:tcPr>
            <w:tcW w:type="dxa" w:w="20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E 124</w:t>
            </w:r>
          </w:p>
        </w:tc>
        <w:tc>
          <w:tcPr>
            <w:tcW w:type="dxa" w:w="36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Barwnik</w:t>
            </w:r>
          </w:p>
        </w:tc>
        <w:tc>
          <w:tcPr>
            <w:tcW w:type="dxa" w:w="36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Kolorowe napoje alkoholowe, lody, desery, wyroby piekarnicze, galaretki, dżemy, wata cukrowa, budynie, napoje mleczne, oranżady.</w:t>
            </w:r>
          </w:p>
        </w:tc>
        <w:tc>
          <w:tcPr>
            <w:tcW w:type="dxa" w:w="47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Objawy alergii (katar sienny), niebezpieczna dla astmatyków, może powodować nadpobudliwość u dzieci.</w:t>
            </w:r>
          </w:p>
        </w:tc>
      </w:tr>
      <w:tr>
        <w:trPr>
          <w:cantSplit/>
        </w:trPr>
        <w:tc>
          <w:tcPr>
            <w:tcW w:type="dxa" w:w="2100"/>
            <w:vAlign w:val="center"/>
          </w:tcPr>
          <w:p>
            <w:r>
              <w:rPr>
                <w:b/>
                <w:bCs/>
                <w:sz w:val="16"/>
                <w:szCs w:val="16"/>
              </w:rPr>
              <w:t xml:space="preserve">Czerwień Allura AC</w:t>
            </w:r>
          </w:p>
        </w:tc>
        <w:tc>
          <w:tcPr>
            <w:tcW w:type="dxa" w:w="20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E 129</w:t>
            </w:r>
          </w:p>
        </w:tc>
        <w:tc>
          <w:tcPr>
            <w:tcW w:type="dxa" w:w="36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Barwnik</w:t>
            </w:r>
          </w:p>
        </w:tc>
        <w:tc>
          <w:tcPr>
            <w:tcW w:type="dxa" w:w="36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Żelki, ciastka, galaretki, słodkie napoje, płatki zbożowe.</w:t>
            </w:r>
          </w:p>
        </w:tc>
        <w:tc>
          <w:tcPr>
            <w:tcW w:type="dxa" w:w="47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Nasila zaburzenia koncentracji, objawy zbliżone do ADHD, podejrzewana o działanie rakotwórcze.</w:t>
            </w:r>
          </w:p>
        </w:tc>
      </w:tr>
      <w:tr>
        <w:trPr>
          <w:cantSplit/>
        </w:trPr>
        <w:tc>
          <w:tcPr>
            <w:tcW w:type="dxa" w:w="2100"/>
            <w:vAlign w:val="center"/>
          </w:tcPr>
          <w:p>
            <w:r>
              <w:rPr>
                <w:b/>
                <w:bCs/>
                <w:sz w:val="16"/>
                <w:szCs w:val="16"/>
              </w:rPr>
              <w:t xml:space="preserve">Glukuronolakton</w:t>
            </w:r>
          </w:p>
        </w:tc>
        <w:tc>
          <w:tcPr>
            <w:tcW w:type="dxa" w:w="20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—</w:t>
            </w:r>
          </w:p>
        </w:tc>
        <w:tc>
          <w:tcPr>
            <w:tcW w:type="dxa" w:w="36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Antyoksydant, substancja wspomagająca odtruwanie</w:t>
            </w:r>
          </w:p>
        </w:tc>
        <w:tc>
          <w:tcPr>
            <w:tcW w:type="dxa" w:w="36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Suplementy diety, napoje energetyczne, preparaty dla sportowców (zwykle z kofeiną).</w:t>
            </w:r>
          </w:p>
        </w:tc>
        <w:tc>
          <w:tcPr>
            <w:tcW w:type="dxa" w:w="47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Brak wystarczających badań nt. wpływu dużych dawek; stosowanie w napojach energetyzujących budzi kontrowersje.</w:t>
            </w:r>
          </w:p>
        </w:tc>
      </w:tr>
      <w:tr>
        <w:trPr>
          <w:cantSplit/>
        </w:trPr>
        <w:tc>
          <w:tcPr>
            <w:tcW w:type="dxa" w:w="2100"/>
            <w:vAlign w:val="center"/>
          </w:tcPr>
          <w:p>
            <w:r>
              <w:rPr>
                <w:b/>
                <w:bCs/>
                <w:sz w:val="16"/>
                <w:szCs w:val="16"/>
              </w:rPr>
              <w:t xml:space="preserve">Glutaminian sodu</w:t>
            </w:r>
          </w:p>
        </w:tc>
        <w:tc>
          <w:tcPr>
            <w:tcW w:type="dxa" w:w="20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E 621</w:t>
            </w:r>
          </w:p>
        </w:tc>
        <w:tc>
          <w:tcPr>
            <w:tcW w:type="dxa" w:w="36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Wzmacniacz smaku i zapachu</w:t>
            </w:r>
          </w:p>
        </w:tc>
        <w:tc>
          <w:tcPr>
            <w:tcW w:type="dxa" w:w="36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Koncentraty spożywcze, zupy/sosy/dania w proszku, przyprawy, sos sojowy, wędliny, konserwy.</w:t>
            </w:r>
          </w:p>
        </w:tc>
        <w:tc>
          <w:tcPr>
            <w:tcW w:type="dxa" w:w="47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Tzw. „syndrom chińskiej restauracji” (pieczenie warg, nudności, bóle i sztywność karku), może nasilać astmę, bóle głowy, przyspieszone bicie serca.</w:t>
            </w:r>
          </w:p>
        </w:tc>
      </w:tr>
      <w:tr>
        <w:trPr>
          <w:cantSplit/>
        </w:trPr>
        <w:tc>
          <w:tcPr>
            <w:tcW w:type="dxa" w:w="2100"/>
            <w:vAlign w:val="center"/>
          </w:tcPr>
          <w:p>
            <w:r>
              <w:rPr>
                <w:b/>
                <w:bCs/>
                <w:sz w:val="16"/>
                <w:szCs w:val="16"/>
              </w:rPr>
              <w:t xml:space="preserve">Karmel siarczynowy / amoniakalny / amoniakalno-siarczynowy</w:t>
            </w:r>
          </w:p>
        </w:tc>
        <w:tc>
          <w:tcPr>
            <w:tcW w:type="dxa" w:w="20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E 150b / E 150c / E 150d</w:t>
            </w:r>
          </w:p>
        </w:tc>
        <w:tc>
          <w:tcPr>
            <w:tcW w:type="dxa" w:w="36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Barwnik</w:t>
            </w:r>
          </w:p>
        </w:tc>
        <w:tc>
          <w:tcPr>
            <w:tcW w:type="dxa" w:w="36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Słodycze, alkohole, herbaty rozpuszczalne, napoje typu cola, desery, sosy, lody, dżemy, pieczywo, kiełbasy, pasztety.</w:t>
            </w:r>
          </w:p>
        </w:tc>
        <w:tc>
          <w:tcPr>
            <w:tcW w:type="dxa" w:w="47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Problemy żołądkowo-jelitowe, może nasilać nadpobudliwość, negatywny wpływ na płodność; niektóre warianty mogą zawierać toksyczne związki wpływające na metabolizm witaminy B6.</w:t>
            </w:r>
          </w:p>
        </w:tc>
      </w:tr>
      <w:tr>
        <w:trPr>
          <w:cantSplit/>
        </w:trPr>
        <w:tc>
          <w:tcPr>
            <w:tcW w:type="dxa" w:w="2100"/>
            <w:vAlign w:val="center"/>
          </w:tcPr>
          <w:p>
            <w:r>
              <w:rPr>
                <w:b/>
                <w:bCs/>
                <w:sz w:val="16"/>
                <w:szCs w:val="16"/>
              </w:rPr>
              <w:t xml:space="preserve">Kofeina</w:t>
            </w:r>
          </w:p>
        </w:tc>
        <w:tc>
          <w:tcPr>
            <w:tcW w:type="dxa" w:w="20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—</w:t>
            </w:r>
          </w:p>
        </w:tc>
        <w:tc>
          <w:tcPr>
            <w:tcW w:type="dxa" w:w="36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Substancja pobudzająca, usuwa zmęczenie</w:t>
            </w:r>
          </w:p>
        </w:tc>
        <w:tc>
          <w:tcPr>
            <w:tcW w:type="dxa" w:w="36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Kawa, herbata, kakao, guarana, napoje energetyzujące, słodycze z kofeiną.</w:t>
            </w:r>
          </w:p>
        </w:tc>
        <w:tc>
          <w:tcPr>
            <w:tcW w:type="dxa" w:w="47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U dzieci: nerwowość, bóle brzucha, nudności; przy dużych dawkach — porażenie układu nerwowego, drgawki. Wypłukuje wapń i magnez z organizmu.</w:t>
            </w:r>
          </w:p>
        </w:tc>
      </w:tr>
      <w:tr>
        <w:trPr>
          <w:cantSplit/>
        </w:trPr>
        <w:tc>
          <w:tcPr>
            <w:tcW w:type="dxa" w:w="2100"/>
            <w:vAlign w:val="center"/>
          </w:tcPr>
          <w:p>
            <w:r>
              <w:rPr>
                <w:b/>
                <w:bCs/>
                <w:sz w:val="16"/>
                <w:szCs w:val="16"/>
              </w:rPr>
              <w:t xml:space="preserve">Kwas cyklaminowy i jego sole (cyklaminiany)</w:t>
            </w:r>
          </w:p>
        </w:tc>
        <w:tc>
          <w:tcPr>
            <w:tcW w:type="dxa" w:w="20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E 952</w:t>
            </w:r>
          </w:p>
        </w:tc>
        <w:tc>
          <w:tcPr>
            <w:tcW w:type="dxa" w:w="36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Substancja słodząca</w:t>
            </w:r>
          </w:p>
        </w:tc>
        <w:tc>
          <w:tcPr>
            <w:tcW w:type="dxa" w:w="36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Produkty typu light, napoje gazowane, gumy do żucia, wypieki (odporność na wysoką temperaturę).</w:t>
            </w:r>
          </w:p>
        </w:tc>
        <w:tc>
          <w:tcPr>
            <w:tcW w:type="dxa" w:w="47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Zaburzenia metabolizmu leków, m.in. przeciwcukrzycowych; zwiększone wydalanie potasu; w testach na zwierzętach powiązane z nowotworem pęcherza.</w:t>
            </w:r>
          </w:p>
        </w:tc>
      </w:tr>
      <w:tr>
        <w:trPr>
          <w:cantSplit/>
        </w:trPr>
        <w:tc>
          <w:tcPr>
            <w:tcW w:type="dxa" w:w="2100"/>
            <w:vAlign w:val="center"/>
          </w:tcPr>
          <w:p>
            <w:r>
              <w:rPr>
                <w:b/>
                <w:bCs/>
                <w:sz w:val="16"/>
                <w:szCs w:val="16"/>
              </w:rPr>
              <w:t xml:space="preserve">Kwas fosforowy</w:t>
            </w:r>
          </w:p>
        </w:tc>
        <w:tc>
          <w:tcPr>
            <w:tcW w:type="dxa" w:w="20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E 338</w:t>
            </w:r>
          </w:p>
        </w:tc>
        <w:tc>
          <w:tcPr>
            <w:tcW w:type="dxa" w:w="36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Regulator kwasowości</w:t>
            </w:r>
          </w:p>
        </w:tc>
        <w:tc>
          <w:tcPr>
            <w:tcW w:type="dxa" w:w="36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Słodycze, napoje gazowane typu cola, galaretki, przetwory mięsne, sery, napoje dla sportowców, przekąski.</w:t>
            </w:r>
          </w:p>
        </w:tc>
        <w:tc>
          <w:tcPr>
            <w:tcW w:type="dxa" w:w="47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Powoduje demineralizację kości, osłabia szkliwo zębów; szczególnie niekorzystny dla osób z osteoporozą, w okresie menopauzy oraz dla rozwoju kośćca dzieci.</w:t>
            </w:r>
          </w:p>
        </w:tc>
      </w:tr>
      <w:tr>
        <w:trPr>
          <w:cantSplit/>
        </w:trPr>
        <w:tc>
          <w:tcPr>
            <w:tcW w:type="dxa" w:w="2100"/>
            <w:vAlign w:val="center"/>
          </w:tcPr>
          <w:p>
            <w:r>
              <w:rPr>
                <w:b/>
                <w:bCs/>
                <w:sz w:val="16"/>
                <w:szCs w:val="16"/>
              </w:rPr>
              <w:t xml:space="preserve">Kwas karminowy / Karmina – koszenila</w:t>
            </w:r>
          </w:p>
        </w:tc>
        <w:tc>
          <w:tcPr>
            <w:tcW w:type="dxa" w:w="20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E 120</w:t>
            </w:r>
          </w:p>
        </w:tc>
        <w:tc>
          <w:tcPr>
            <w:tcW w:type="dxa" w:w="36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Barwnik (pochodzenia zwierzęcego)</w:t>
            </w:r>
          </w:p>
        </w:tc>
        <w:tc>
          <w:tcPr>
            <w:tcW w:type="dxa" w:w="36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Napoje alkoholowe, sosy, nadzienia owocowe, mięsa, wypieki, jogurty, polewy.</w:t>
            </w:r>
          </w:p>
        </w:tc>
        <w:tc>
          <w:tcPr>
            <w:tcW w:type="dxa" w:w="47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Zanieczyszczenia w preparacie mogą u nielicznych osób wywołać wstrząs anafilaktyczny, katar sienny lub pokrzywkę.</w:t>
            </w:r>
          </w:p>
        </w:tc>
      </w:tr>
      <w:tr>
        <w:trPr>
          <w:cantSplit/>
        </w:trPr>
        <w:tc>
          <w:tcPr>
            <w:tcW w:type="dxa" w:w="2100"/>
            <w:vAlign w:val="center"/>
          </w:tcPr>
          <w:p>
            <w:r>
              <w:rPr>
                <w:b/>
                <w:bCs/>
                <w:sz w:val="16"/>
                <w:szCs w:val="16"/>
              </w:rPr>
              <w:t xml:space="preserve">Kwas benzoesowy / Benzoesan potasu, sodu, wapnia</w:t>
            </w:r>
          </w:p>
        </w:tc>
        <w:tc>
          <w:tcPr>
            <w:tcW w:type="dxa" w:w="20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E 210 / E 212 / E 211 / E 213</w:t>
            </w:r>
          </w:p>
        </w:tc>
        <w:tc>
          <w:tcPr>
            <w:tcW w:type="dxa" w:w="36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Substancja konserwująca</w:t>
            </w:r>
          </w:p>
        </w:tc>
        <w:tc>
          <w:tcPr>
            <w:tcW w:type="dxa" w:w="36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Soki owocowe, galaretki, napoje, margaryny, sosy owocowe/warzywne, konserwy rybne, koncentraty pomidorowe.</w:t>
            </w:r>
          </w:p>
        </w:tc>
        <w:tc>
          <w:tcPr>
            <w:tcW w:type="dxa" w:w="47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Astma, pokrzywka, nadpobudliwość, wymioty, podrażnienie śluzówki żołądka i jelit; w połączeniu z witaminą C może tworzyć rakotwórczy benzen.</w:t>
            </w:r>
          </w:p>
        </w:tc>
      </w:tr>
      <w:tr>
        <w:trPr>
          <w:cantSplit/>
        </w:trPr>
        <w:tc>
          <w:tcPr>
            <w:tcW w:type="dxa" w:w="2100"/>
            <w:vAlign w:val="center"/>
          </w:tcPr>
          <w:p>
            <w:r>
              <w:rPr>
                <w:b/>
                <w:bCs/>
                <w:sz w:val="16"/>
                <w:szCs w:val="16"/>
              </w:rPr>
              <w:t xml:space="preserve">Syrop glukozowy / Syrop glukozowo-fruktozowy</w:t>
            </w:r>
          </w:p>
        </w:tc>
        <w:tc>
          <w:tcPr>
            <w:tcW w:type="dxa" w:w="20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—</w:t>
            </w:r>
          </w:p>
        </w:tc>
        <w:tc>
          <w:tcPr>
            <w:tcW w:type="dxa" w:w="36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Substancja słodząca</w:t>
            </w:r>
          </w:p>
        </w:tc>
        <w:tc>
          <w:tcPr>
            <w:tcW w:type="dxa" w:w="36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Żywność typu light, mleko zagęszczone, napoje mleczne, jogurty, desery, lody, napoje owocowe i energetyzujące, wędliny, keczup, słodycze, wyroby piekarskie.</w:t>
            </w:r>
          </w:p>
        </w:tc>
        <w:tc>
          <w:tcPr>
            <w:tcW w:type="dxa" w:w="47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Nadmierne spożycie fruktozy: nadciśnienie, insulinooporność, wzrost otyłości (hamuje wydzielanie leptyny — hormonu sytości), podwyższony cholesterol, stany zapalne, ryzyko nowotworów.</w:t>
            </w:r>
          </w:p>
        </w:tc>
      </w:tr>
      <w:tr>
        <w:trPr>
          <w:cantSplit/>
        </w:trPr>
        <w:tc>
          <w:tcPr>
            <w:tcW w:type="dxa" w:w="2100"/>
            <w:vAlign w:val="center"/>
          </w:tcPr>
          <w:p>
            <w:r>
              <w:rPr>
                <w:b/>
                <w:bCs/>
                <w:sz w:val="16"/>
                <w:szCs w:val="16"/>
              </w:rPr>
              <w:t xml:space="preserve">Tauryna</w:t>
            </w:r>
          </w:p>
        </w:tc>
        <w:tc>
          <w:tcPr>
            <w:tcW w:type="dxa" w:w="20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—</w:t>
            </w:r>
          </w:p>
        </w:tc>
        <w:tc>
          <w:tcPr>
            <w:tcW w:type="dxa" w:w="36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Biostymulator, wpływa na metabolizm i regenerację mięśni</w:t>
            </w:r>
          </w:p>
        </w:tc>
        <w:tc>
          <w:tcPr>
            <w:tcW w:type="dxa" w:w="36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Napoje energetyzujące, mleka modyfikowane dla dzieci, odżywki dla sportowców, suplementy diety.</w:t>
            </w:r>
          </w:p>
        </w:tc>
        <w:tc>
          <w:tcPr>
            <w:tcW w:type="dxa" w:w="47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Może utrudniać zasypianie, rozszerza naczynia krwionośne, wchodzi w interakcje z niektórymi lekami; w diecie dzieci zalecane ograniczenie ze względu na działanie pobudzające.</w:t>
            </w:r>
          </w:p>
        </w:tc>
      </w:tr>
      <w:tr>
        <w:trPr>
          <w:cantSplit/>
        </w:trPr>
        <w:tc>
          <w:tcPr>
            <w:tcW w:type="dxa" w:w="2100"/>
            <w:vAlign w:val="center"/>
          </w:tcPr>
          <w:p>
            <w:r>
              <w:rPr>
                <w:b/>
                <w:bCs/>
                <w:sz w:val="16"/>
                <w:szCs w:val="16"/>
              </w:rPr>
              <w:t xml:space="preserve">Tartrazyna</w:t>
            </w:r>
          </w:p>
        </w:tc>
        <w:tc>
          <w:tcPr>
            <w:tcW w:type="dxa" w:w="20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E 102</w:t>
            </w:r>
          </w:p>
        </w:tc>
        <w:tc>
          <w:tcPr>
            <w:tcW w:type="dxa" w:w="36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Barwnik</w:t>
            </w:r>
          </w:p>
        </w:tc>
        <w:tc>
          <w:tcPr>
            <w:tcW w:type="dxa" w:w="36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Napoje w proszku, napoje bezalkoholowe, likiery owocowe, polewy, koncentraty zup i deserów, galaretki, dżemy, musztarda, słodycze.</w:t>
            </w:r>
          </w:p>
        </w:tc>
        <w:tc>
          <w:tcPr>
            <w:tcW w:type="dxa" w:w="47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Zawiera histaminę — może nasilać objawy u astmatyków; u osób z nietolerancją aspiryny: bezsenność, agresja, dezorientacja, depresja, nadpobudliwość, pokrzywka; niezalecana w ciąży.</w:t>
            </w:r>
          </w:p>
        </w:tc>
      </w:tr>
      <w:tr>
        <w:trPr>
          <w:cantSplit/>
        </w:trPr>
        <w:tc>
          <w:tcPr>
            <w:tcW w:type="dxa" w:w="2100"/>
            <w:vAlign w:val="center"/>
          </w:tcPr>
          <w:p>
            <w:r>
              <w:rPr>
                <w:b/>
                <w:bCs/>
                <w:sz w:val="16"/>
                <w:szCs w:val="16"/>
              </w:rPr>
              <w:t xml:space="preserve">Tłuszcze trans</w:t>
            </w:r>
          </w:p>
        </w:tc>
        <w:tc>
          <w:tcPr>
            <w:tcW w:type="dxa" w:w="20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—</w:t>
            </w:r>
          </w:p>
        </w:tc>
        <w:tc>
          <w:tcPr>
            <w:tcW w:type="dxa" w:w="36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—</w:t>
            </w:r>
          </w:p>
        </w:tc>
        <w:tc>
          <w:tcPr>
            <w:tcW w:type="dxa" w:w="36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Margaryny, słodkie/słone ciastka, chrupki, prażynki, chipsy, dania instant i fast food, produkty smażone.</w:t>
            </w:r>
          </w:p>
        </w:tc>
        <w:tc>
          <w:tcPr>
            <w:tcW w:type="dxa" w:w="47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Sprzyjają miażdżycy i chorobom układu krążenia (zawał, udar), zwiększają ryzyko raka jelita grubego, sprzyjają insulinooporności i otyłości.</w:t>
            </w:r>
          </w:p>
        </w:tc>
      </w:tr>
      <w:tr>
        <w:trPr>
          <w:cantSplit/>
        </w:trPr>
        <w:tc>
          <w:tcPr>
            <w:tcW w:type="dxa" w:w="2100"/>
            <w:vAlign w:val="center"/>
          </w:tcPr>
          <w:p>
            <w:r>
              <w:rPr>
                <w:b/>
                <w:bCs/>
                <w:sz w:val="16"/>
                <w:szCs w:val="16"/>
              </w:rPr>
              <w:t xml:space="preserve">Żółcień chinolinowa</w:t>
            </w:r>
          </w:p>
        </w:tc>
        <w:tc>
          <w:tcPr>
            <w:tcW w:type="dxa" w:w="20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E 104</w:t>
            </w:r>
          </w:p>
        </w:tc>
        <w:tc>
          <w:tcPr>
            <w:tcW w:type="dxa" w:w="36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Barwnik</w:t>
            </w:r>
          </w:p>
        </w:tc>
        <w:tc>
          <w:tcPr>
            <w:tcW w:type="dxa" w:w="36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Napoje gazowane, cukierki na kaszel, lody, galaretki, słodycze.</w:t>
            </w:r>
          </w:p>
        </w:tc>
        <w:tc>
          <w:tcPr>
            <w:tcW w:type="dxa" w:w="47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Zaczerwienienie, wysypka, anafilaksja, impulsywność, niepokój, nadpobudliwość ruchowa, problemy z koncentracją. Przeciwwskazana dla astmatyków i uczulonych na aspirynę.</w:t>
            </w:r>
          </w:p>
        </w:tc>
      </w:tr>
      <w:tr>
        <w:trPr>
          <w:cantSplit/>
        </w:trPr>
        <w:tc>
          <w:tcPr>
            <w:tcW w:type="dxa" w:w="2100"/>
            <w:vAlign w:val="center"/>
          </w:tcPr>
          <w:p>
            <w:r>
              <w:rPr>
                <w:b/>
                <w:bCs/>
                <w:sz w:val="16"/>
                <w:szCs w:val="16"/>
              </w:rPr>
              <w:t xml:space="preserve">Żółcień pomarańczowa FCF</w:t>
            </w:r>
          </w:p>
        </w:tc>
        <w:tc>
          <w:tcPr>
            <w:tcW w:type="dxa" w:w="20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E 110</w:t>
            </w:r>
          </w:p>
        </w:tc>
        <w:tc>
          <w:tcPr>
            <w:tcW w:type="dxa" w:w="36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Barwnik</w:t>
            </w:r>
          </w:p>
        </w:tc>
        <w:tc>
          <w:tcPr>
            <w:tcW w:type="dxa" w:w="36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Napoje bezalkoholowe i w proszku, lody, desery, marmolada, wyroby piekarnicze, guma do żucia, żelki, musztarda, płatki zbożowe, konserwy rybne.</w:t>
            </w:r>
          </w:p>
        </w:tc>
        <w:tc>
          <w:tcPr>
            <w:tcW w:type="dxa" w:w="4700"/>
            <w:vAlign w:val="center"/>
          </w:tcPr>
          <w:p>
            <w:r>
              <w:rPr>
                <w:b w:val="false"/>
                <w:bCs w:val="false"/>
                <w:sz w:val="16"/>
                <w:szCs w:val="16"/>
              </w:rPr>
              <w:t xml:space="preserve">Pokrzywka, zapalenie błony śluzowej nosa, bóle brzucha, nudności, wymioty, niestrawność; nasila nadpobudliwość u dzieci. Przeciwwskazana dla uczulonych na aspirynę.</w:t>
            </w:r>
          </w:p>
        </w:tc>
      </w:tr>
    </w:tbl>
    <w:p>
      <w:pPr>
        <w:spacing w:before="200"/>
      </w:pPr>
      <w:r>
        <w:rPr>
          <w:i/>
          <w:iCs/>
          <w:sz w:val="16"/>
          <w:szCs w:val="16"/>
        </w:rPr>
        <w:t xml:space="preserve">Uwaga: powyższy wykaz ma charakter pomocniczy i nie jest wyczerpujący. Zamawiający zastrzega sobie prawo weryfikacji zgodności składu dostarczanych produktów z niniejszym wykazem na podstawie etykiet, specyfikacji produktu lub innych dokumentów przedłożonych przez Wykonawcę.</w:t>
      </w:r>
    </w:p>
    <w:sectPr>
      <w:pgSz w:w="16838" w:h="11906" w:orient="landscape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2026-08-04T11:41:45.772Z</dcterms:created>
  <dcterms:modified xsi:type="dcterms:W3CDTF">2026-08-04T11:41:45.772Z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