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</w:tcPr>
          <w:p>
            <w:pPr>
              <w:pStyle w:val="Normal"/>
              <w:jc w:val="center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jc w:val="center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Specyfikacja Warunków Zamówienia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</w:tc>
      </w:tr>
    </w:tbl>
    <w:p>
      <w:pPr>
        <w:pStyle w:val="Normal"/>
        <w:spacing w:lineRule="auto" w:line="259" w:before="28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Zamówienie klasyczne na zadanie pn. </w:t>
      </w:r>
      <w:r>
        <w:rPr>
          <w:rFonts w:ascii="Arial" w:hAnsi="Arial"/>
          <w:b/>
          <w:i w:val="false"/>
          <w:sz w:val="24"/>
          <w:szCs w:val="24"/>
          <w:lang w:val="pl-PL"/>
        </w:rPr>
        <w:t>Zakup i dostawa fabrycznie nowej koparko-ładowarki na potrzeby ochrony ludności i obrony Cywilnej Gminy Miłkowice.</w:t>
      </w:r>
    </w:p>
    <w:p>
      <w:pPr>
        <w:pStyle w:val="Footer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cs="Arial" w:ascii="Arial" w:hAnsi="Arial"/>
          <w:b w:val="false"/>
          <w:i/>
          <w:iCs/>
          <w:sz w:val="18"/>
          <w:szCs w:val="18"/>
        </w:rPr>
      </w:r>
    </w:p>
    <w:p>
      <w:pPr>
        <w:pStyle w:val="Footer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cs="Arial" w:ascii="Arial" w:hAnsi="Arial"/>
          <w:b w:val="false"/>
          <w:i/>
          <w:iCs/>
          <w:sz w:val="18"/>
          <w:szCs w:val="18"/>
        </w:rPr>
      </w:r>
    </w:p>
    <w:p>
      <w:pPr>
        <w:pStyle w:val="Normal"/>
        <w:spacing w:lineRule="auto" w:line="259" w:before="0" w:after="80"/>
        <w:jc w:val="center"/>
        <w:rPr>
          <w:rFonts w:ascii="Arial" w:hAnsi="Arial"/>
          <w:b/>
          <w:i w:val="false"/>
          <w:sz w:val="24"/>
          <w:szCs w:val="24"/>
          <w:lang w:val="pl-PL"/>
        </w:rPr>
      </w:pPr>
      <w:r>
        <w:rPr>
          <w:rFonts w:ascii="Arial" w:hAnsi="Arial"/>
          <w:b/>
          <w:i w:val="false"/>
          <w:sz w:val="24"/>
          <w:szCs w:val="24"/>
          <w:lang w:val="pl-PL"/>
        </w:rPr>
        <w:t>Kody CPV:</w:t>
      </w:r>
    </w:p>
    <w:p>
      <w:pPr>
        <w:pStyle w:val="Normal"/>
        <w:spacing w:lineRule="auto" w:line="259" w:before="0" w:after="40"/>
        <w:jc w:val="center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center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center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43260000-3</w:t>
      </w:r>
    </w:p>
    <w:p>
      <w:pPr>
        <w:pStyle w:val="Normal"/>
        <w:spacing w:lineRule="auto" w:line="259" w:before="0" w:after="40"/>
        <w:jc w:val="center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center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start"/>
        <w:rPr>
          <w:rFonts w:ascii="Arial" w:hAnsi="Arial"/>
          <w:b/>
          <w:i w:val="false"/>
          <w:sz w:val="24"/>
          <w:szCs w:val="24"/>
          <w:lang w:val="pl-PL"/>
        </w:rPr>
      </w:pPr>
      <w:r>
        <w:rPr>
          <w:rFonts w:ascii="Arial" w:hAnsi="Arial"/>
          <w:b/>
          <w:i w:val="false"/>
          <w:sz w:val="24"/>
          <w:szCs w:val="24"/>
          <w:lang w:val="pl-PL"/>
        </w:rPr>
        <w:t>ZAMAWIAJĄCY</w:t>
      </w:r>
    </w:p>
    <w:p>
      <w:pPr>
        <w:pStyle w:val="Normal"/>
        <w:spacing w:lineRule="auto" w:line="259" w:before="0" w:after="140"/>
        <w:jc w:val="start"/>
        <w:rPr>
          <w:rFonts w:ascii="Arial" w:hAnsi="Arial"/>
          <w:b/>
          <w:bCs/>
          <w:i w:val="false"/>
          <w:sz w:val="24"/>
          <w:szCs w:val="24"/>
          <w:lang w:val="pl-PL"/>
        </w:rPr>
      </w:pPr>
      <w:r>
        <w:rPr>
          <w:rFonts w:ascii="Arial" w:hAnsi="Arial"/>
          <w:b/>
          <w:bCs/>
          <w:i w:val="false"/>
          <w:sz w:val="24"/>
          <w:szCs w:val="24"/>
          <w:lang w:val="pl-PL"/>
        </w:rPr>
        <w:t>Gmina Miłkowice</w:t>
      </w:r>
    </w:p>
    <w:p>
      <w:pPr>
        <w:pStyle w:val="Normal"/>
        <w:spacing w:lineRule="auto" w:line="259" w:before="0" w:after="1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ul. Wojska Polskiego 71</w:t>
      </w:r>
    </w:p>
    <w:p>
      <w:pPr>
        <w:pStyle w:val="Normal"/>
        <w:spacing w:lineRule="auto" w:line="259" w:before="0" w:after="1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tel.: 76 8871-212</w:t>
      </w:r>
    </w:p>
    <w:p>
      <w:pPr>
        <w:pStyle w:val="Normal"/>
        <w:spacing w:lineRule="auto" w:line="259" w:before="0" w:after="1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REGON: 390647506   NIP: 691-12-23-506</w:t>
        <w:br/>
        <w:t>Godziny pracy: 7:00–15:00, we wtorki 8:00–16:00</w:t>
      </w:r>
    </w:p>
    <w:p>
      <w:pPr>
        <w:pStyle w:val="Normal"/>
        <w:spacing w:lineRule="auto" w:line="259" w:before="0" w:after="1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Adres poczty elektronicznej: zp@ugmilkowice.net</w:t>
      </w:r>
    </w:p>
    <w:p>
      <w:pPr>
        <w:pStyle w:val="Normal"/>
        <w:spacing w:lineRule="auto" w:line="259" w:before="0" w:after="40"/>
        <w:jc w:val="start"/>
        <w:rPr/>
      </w:pPr>
      <w:r>
        <w:rPr>
          <w:rFonts w:ascii="Arial" w:hAnsi="Arial"/>
          <w:b/>
          <w:i w:val="false"/>
          <w:sz w:val="24"/>
          <w:szCs w:val="24"/>
          <w:lang w:val="pl-PL"/>
        </w:rPr>
        <w:t>Identyfikator postępowania:</w:t>
      </w:r>
      <w:r>
        <w:rPr/>
        <w:t xml:space="preserve">ocds-148610-2bd3e513-0282-4e8f-8254-79442dcd3165  </w:t>
      </w:r>
      <w:r>
        <w:rPr>
          <w:rFonts w:ascii="Arial" w:hAnsi="Arial"/>
          <w:b/>
          <w:i w:val="false"/>
          <w:sz w:val="24"/>
          <w:szCs w:val="24"/>
          <w:lang w:val="pl-PL"/>
        </w:rPr>
        <w:t xml:space="preserve"> 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Strona prowadzonego postępowania na Platformie e-Zamówienia:</w:t>
      </w:r>
      <w:hyperlink r:id="rId2">
        <w:r>
          <w:rPr>
            <w:rStyle w:val="Hyperlink"/>
            <w:rFonts w:ascii="Arial" w:hAnsi="Arial"/>
            <w:b w:val="false"/>
            <w:i w:val="false"/>
            <w:sz w:val="24"/>
            <w:szCs w:val="24"/>
            <w:lang w:val="pl-PL"/>
          </w:rPr>
          <w:t>https://ezamowienia.gov.pl/mp-client/tenders/ocds-148610-2bd3e513-0282-4e8f-8254-79442dcd3165</w:t>
        </w:r>
      </w:hyperlink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  </w:t>
      </w:r>
    </w:p>
    <w:p>
      <w:pPr>
        <w:pStyle w:val="Normal"/>
        <w:spacing w:lineRule="auto" w:line="259" w:before="0" w:after="2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Wartość zamówienia jest równa lub przekracza 170 000 zł i jest mniejsza niż progi unijne. Do postępowania stosuje się przepisy ustawy z dnia 11 września 2019 r. – Prawo zamówień publicznych (t.j. Dz. U. z 2026 r. poz. 793 ze zm.), zwanej dalej „ustawą Pzp”.</w:t>
      </w:r>
    </w:p>
    <w:p>
      <w:pPr>
        <w:pStyle w:val="Normal"/>
        <w:spacing w:lineRule="auto" w:line="259" w:before="0" w:after="2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60"/>
        <w:jc w:val="end"/>
        <w:rPr>
          <w:rFonts w:ascii="Arial" w:hAnsi="Arial"/>
          <w:b w:val="false"/>
          <w:i w:val="false"/>
          <w:sz w:val="18"/>
          <w:szCs w:val="18"/>
          <w:lang w:val="pl-PL"/>
        </w:rPr>
      </w:pPr>
      <w:r>
        <w:rPr>
          <w:rFonts w:ascii="Arial" w:hAnsi="Arial"/>
          <w:b w:val="false"/>
          <w:i w:val="false"/>
          <w:sz w:val="18"/>
          <w:szCs w:val="18"/>
          <w:lang w:val="pl-PL"/>
        </w:rPr>
        <w:t>Zatwierdził:</w:t>
      </w:r>
    </w:p>
    <w:p>
      <w:pPr>
        <w:pStyle w:val="Normal"/>
        <w:spacing w:lineRule="auto" w:line="259" w:before="0" w:after="160"/>
        <w:jc w:val="end"/>
        <w:rPr>
          <w:rFonts w:ascii="Arial" w:hAnsi="Arial"/>
          <w:b w:val="false"/>
          <w:i w:val="false"/>
          <w:sz w:val="18"/>
          <w:szCs w:val="18"/>
          <w:lang w:val="pl-PL"/>
        </w:rPr>
      </w:pPr>
      <w:r>
        <w:rPr>
          <w:rFonts w:ascii="Arial" w:hAnsi="Arial"/>
          <w:b w:val="false"/>
          <w:i w:val="false"/>
          <w:sz w:val="18"/>
          <w:szCs w:val="18"/>
          <w:lang w:val="pl-PL"/>
        </w:rPr>
      </w:r>
    </w:p>
    <w:p>
      <w:pPr>
        <w:pStyle w:val="Normal"/>
        <w:spacing w:lineRule="auto" w:line="259" w:before="0" w:after="160"/>
        <w:jc w:val="start"/>
        <w:rPr>
          <w:rFonts w:ascii="Arial" w:hAnsi="Arial"/>
          <w:b w:val="false"/>
          <w:i w:val="false"/>
          <w:sz w:val="18"/>
          <w:szCs w:val="18"/>
          <w:lang w:val="pl-PL"/>
        </w:rPr>
      </w:pPr>
      <w:r>
        <w:rPr>
          <w:rFonts w:ascii="Arial" w:hAnsi="Arial"/>
          <w:b w:val="false"/>
          <w:i w:val="false"/>
          <w:sz w:val="18"/>
          <w:szCs w:val="18"/>
          <w:lang w:val="pl-PL"/>
        </w:rPr>
        <w:tab/>
        <w:tab/>
        <w:tab/>
        <w:tab/>
        <w:tab/>
        <w:tab/>
        <w:tab/>
        <w:tab/>
        <w:tab/>
        <w:tab/>
        <w:t>WÓJT</w:t>
      </w:r>
    </w:p>
    <w:p>
      <w:pPr>
        <w:pStyle w:val="Normal"/>
        <w:spacing w:lineRule="auto" w:line="259" w:before="0" w:after="160"/>
        <w:jc w:val="start"/>
        <w:rPr>
          <w:rFonts w:ascii="Arial" w:hAnsi="Arial"/>
          <w:b w:val="false"/>
          <w:i w:val="false"/>
          <w:sz w:val="18"/>
          <w:szCs w:val="18"/>
          <w:lang w:val="pl-PL"/>
        </w:rPr>
      </w:pPr>
      <w:r>
        <w:rPr>
          <w:rFonts w:ascii="Arial" w:hAnsi="Arial"/>
          <w:b w:val="false"/>
          <w:i w:val="false"/>
          <w:sz w:val="18"/>
          <w:szCs w:val="18"/>
          <w:lang w:val="pl-PL"/>
        </w:rPr>
        <w:tab/>
        <w:tab/>
        <w:tab/>
        <w:tab/>
        <w:tab/>
        <w:tab/>
        <w:tab/>
        <w:tab/>
        <w:tab/>
        <w:tab/>
        <w:t>mgr Dawid Stachura</w:t>
      </w:r>
    </w:p>
    <w:p>
      <w:pPr>
        <w:pStyle w:val="Normal"/>
        <w:spacing w:lineRule="auto" w:line="259" w:before="0" w:after="160"/>
        <w:jc w:val="start"/>
        <w:rPr>
          <w:rFonts w:ascii="Arial" w:hAnsi="Arial"/>
          <w:b w:val="false"/>
          <w:i w:val="false"/>
          <w:sz w:val="18"/>
          <w:szCs w:val="18"/>
          <w:lang w:val="pl-PL"/>
        </w:rPr>
      </w:pPr>
      <w:r>
        <w:rPr>
          <w:rFonts w:ascii="Arial" w:hAnsi="Arial"/>
          <w:b w:val="false"/>
          <w:i w:val="false"/>
          <w:sz w:val="18"/>
          <w:szCs w:val="18"/>
          <w:lang w:val="pl-PL"/>
        </w:rPr>
        <w:tab/>
        <w:tab/>
        <w:tab/>
        <w:tab/>
        <w:tab/>
        <w:tab/>
        <w:tab/>
        <w:tab/>
        <w:tab/>
        <w:tab/>
        <w:t xml:space="preserve">Miłkowice, dnia </w:t>
      </w:r>
      <w:r>
        <w:rPr>
          <w:rFonts w:ascii="Arial" w:hAnsi="Arial"/>
          <w:b w:val="false"/>
          <w:i w:val="false"/>
          <w:sz w:val="18"/>
          <w:szCs w:val="18"/>
          <w:lang w:val="pl-PL"/>
        </w:rPr>
        <w:t>06.08.2026r</w:t>
      </w:r>
    </w:p>
    <w:p>
      <w:pPr>
        <w:pStyle w:val="Normal"/>
        <w:spacing w:lineRule="auto" w:line="259" w:before="0" w:after="16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6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200" w:after="8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/>
          <w:i w:val="false"/>
          <w:sz w:val="24"/>
          <w:szCs w:val="24"/>
          <w:lang w:val="pl-PL"/>
        </w:rPr>
        <w:t>Spis treści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Nazwa i adres Zamawiającego oraz strona postępowania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Strona udostępniania dokumentów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Tryb udzielenia zamówienia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Negocjacje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5. Opis przedmiotu zamówienia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6. Warunki udziału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7. Oświadczenie art. 125 / środki dowodowe / certyfikacja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8. Podstawy wykluczenia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9. Art. 95 Pzp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10. Termin wykonania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11. Umowa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12. Komunikacja elektroniczna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13. Osoby do kontaktu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14. Termin związania ofertą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15. Przygotowanie oferty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16. Składanie ofert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17. Otwarcie ofert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18. Cena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19. Kryteria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20. Formalności po wyborze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21. Środki ochrony prawnej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22. Zabezpieczenie należytego wykonania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23. Podwykonawstwo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24. Informacje dodatkowe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25. RODO</w:t>
      </w:r>
    </w:p>
    <w:p>
      <w:pPr>
        <w:pStyle w:val="Normal"/>
        <w:spacing w:lineRule="auto" w:line="259" w:before="0" w:after="2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160" w:after="80"/>
        <w:jc w:val="start"/>
        <w:rPr>
          <w:rFonts w:ascii="Arial" w:hAnsi="Arial"/>
          <w:b/>
          <w:i w:val="false"/>
          <w:sz w:val="24"/>
          <w:szCs w:val="24"/>
          <w:lang w:val="pl-PL"/>
        </w:rPr>
      </w:pPr>
      <w:r>
        <w:rPr>
          <w:rFonts w:ascii="Arial" w:hAnsi="Arial"/>
          <w:b/>
          <w:i w:val="false"/>
          <w:sz w:val="24"/>
          <w:szCs w:val="24"/>
          <w:lang w:val="pl-PL"/>
        </w:rPr>
        <w:t>Załączniki do SWZ:</w:t>
      </w:r>
    </w:p>
    <w:p>
      <w:pPr>
        <w:pStyle w:val="Normal"/>
        <w:spacing w:lineRule="auto" w:line="259" w:before="0" w:after="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Załącznik nr 1 – Formularz oferty – interaktywny formularz Platformy e-Zamówienia.</w:t>
      </w:r>
    </w:p>
    <w:p>
      <w:pPr>
        <w:pStyle w:val="Normal"/>
        <w:spacing w:lineRule="auto" w:line="259" w:before="0" w:after="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Załącznik nr 1a – Formularz cenowy.</w:t>
      </w:r>
    </w:p>
    <w:p>
      <w:pPr>
        <w:pStyle w:val="Normal"/>
        <w:spacing w:lineRule="auto" w:line="259" w:before="0" w:after="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Załącznik nr 2 – Oświadczenie Wykonawcy / Wykonawcy wspólnie ubiegającego się o udzielenie zamówienia, składane na podstawie art. 125 ust. 1 ustawy Pzp, z uwzględnieniem art. 273 ust. 2 ustawy Pzp (certyfikacja wykonawców).</w:t>
      </w:r>
    </w:p>
    <w:p>
      <w:pPr>
        <w:pStyle w:val="Normal"/>
        <w:spacing w:lineRule="auto" w:line="259" w:before="0" w:after="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Załącznik nr 3 – Szczegółowy opis przedmiotu zamówienia (SOPZ) – koparko-ładowarka.</w:t>
      </w:r>
    </w:p>
    <w:p>
      <w:pPr>
        <w:pStyle w:val="Normal"/>
        <w:spacing w:lineRule="auto" w:line="259" w:before="0" w:after="4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Załącznik nr 4 – Projektowane postanowienia umowy / wzór umowy.</w:t>
      </w:r>
    </w:p>
    <w:p>
      <w:pPr>
        <w:pStyle w:val="Normal"/>
        <w:spacing w:lineRule="auto" w:line="259" w:before="0" w:after="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4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1. Nazwa oraz adres zamawiającego, numer telefonu, adres poczty elektronicznej oraz strony internetowej prowadzonego postępowania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Nazwa oraz adres Zamawiającego: Gmina Miłkowice, ul. Wojska Polskiego 71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Numer telefonu: 76 8871-212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Adres poczty elektronicznej: </w:t>
      </w:r>
      <w:hyperlink r:id="rId3">
        <w:r>
          <w:rPr>
            <w:rStyle w:val="Hyperlink"/>
            <w:rFonts w:ascii="Arial" w:hAnsi="Arial"/>
            <w:b w:val="false"/>
            <w:i w:val="false"/>
            <w:sz w:val="24"/>
            <w:szCs w:val="24"/>
            <w:lang w:val="pl-PL"/>
          </w:rPr>
          <w:t>zp@ugmilkowice.net</w:t>
        </w:r>
      </w:hyperlink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2. Adres strony internetowej, na której udostępniane będą zmiany i wyjaśnienia treści SWZ oraz inne dokumenty zamówienia bezpośrednio związane z postępowaniem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Zmiany i wyjaśnienia treści SWZ oraz inne dokumenty zamówienia bezpośrednio związane z postępowaniem będą udostępniane na stronie prowadzonego postępowania na Platformie e-Zamówienia:</w:t>
      </w:r>
      <w:hyperlink r:id="rId4">
        <w:r>
          <w:rPr>
            <w:rStyle w:val="Hyperlink"/>
            <w:rFonts w:ascii="Arial" w:hAnsi="Arial"/>
            <w:b w:val="false"/>
            <w:i w:val="false"/>
            <w:sz w:val="24"/>
            <w:szCs w:val="24"/>
            <w:lang w:val="pl-PL"/>
          </w:rPr>
          <w:t>https://ezamowienia.gov.pl/mp-client/tenders/ocds-148610-2bd3e513-0282-4e8f-8254-79442dcd3165</w:t>
        </w:r>
      </w:hyperlink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  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3. Tryb udzielenia zamówienia</w:t>
            </w:r>
          </w:p>
        </w:tc>
      </w:tr>
    </w:tbl>
    <w:p>
      <w:pPr>
        <w:pStyle w:val="Normal"/>
        <w:spacing w:lineRule="auto" w:line="259" w:before="0" w:after="4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Postępowanie prowadzone jest w trybie podstawowym z możliwością negocjacji w celu ulepszenia treści ofert, o którym mowa w art. 275 pkt 2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W zakresie nieuregulowanym w SWZ stosuje się przepisy ustawy z dnia 11 września 2019 r. – Prawo zamówień publicznych (t.j. Dz. U. z 2026 r. poz. 793 ze zm.) wraz z obowiązującymi aktami wykonawczymi.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4. Informacja, czy Zamawiający przewiduje wybór najkorzystniejszej oferty z możliwością prowadzenia negocjacji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1. Zamawiający przewiduje wybór najkorzystniejszej oferty z możliwością negocjacji </w:t>
      </w:r>
      <w:r>
        <w:rPr>
          <w:rFonts w:ascii="Arial" w:hAnsi="Arial"/>
          <w:b w:val="false"/>
          <w:i w:val="false"/>
          <w:sz w:val="24"/>
          <w:szCs w:val="24"/>
          <w:lang w:val="pl-PL"/>
        </w:rPr>
        <w:t>na podstawie art 275 pkt 2 ustawy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Zamawiający nie przewiduje ograniczenia liczby wykonawców, których zaprosi do negocjacji.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Jeżeli Zamawiający skorzysta z negocjacji, będą one dotyczyć wyłącznie tych elementów treści ofert, które podlegają ocenie w ramach kryteriów określonych w rozdziale 19 SWZ, tj. ceny, okresu gwarancji oraz czasu reakcji serwisu.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5. Opis przedmiotu zamówienia</w:t>
            </w:r>
          </w:p>
        </w:tc>
      </w:tr>
    </w:tbl>
    <w:p>
      <w:pPr>
        <w:pStyle w:val="Normal"/>
        <w:spacing w:lineRule="auto" w:line="259" w:before="0" w:after="4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Przedmiotem zamówienia jest Zakup i dostawa fabrycznie nowej koparko-ładowarki na potrzeby ochrony ludności i obrony Cywilnej Gminy Miłkowice.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2. Szczegółowy opis przedmiotu zamówienia zawiera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załącznik nr 3 do SWZ</w:t>
      </w: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 – Szczegółowy opis przedmiotu zamówienia (SOPZ).</w:t>
      </w:r>
    </w:p>
    <w:p>
      <w:pPr>
        <w:pStyle w:val="Normal"/>
        <w:spacing w:lineRule="auto" w:line="259" w:before="0" w:after="100"/>
        <w:jc w:val="both"/>
        <w:rPr>
          <w:b w:val="false"/>
          <w:i w:val="false"/>
        </w:rPr>
      </w:pPr>
      <w:r>
        <w:rPr>
          <w:rFonts w:ascii="Arial" w:hAnsi="Arial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6. Informacja o warunkach udziału w postępowaniu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Zamawiający nie określa warunków udziału w postępowaniu, o których mowa w art. 112 ust. 2 ustawy Pzp. W konsekwencji w niniejszym postępowaniu Zamawiający nie określa ani nie stosuje poziomów zdolności, o których mowa w art. 112 ust. 3 ustawy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Wykonawcy mogą wspólnie ubiegać się o udzielenie zamówienia. W takim przypadku ustanawiają pełnomocnika do reprezentowania ich w postępowaniu albo do reprezentowania w postępowaniu i zawarcia umowy, zgodnie z art. 58 ust. 2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Z uwagi na brak warunków udziału Zamawiający nie wymaga oświadczenia, o którym mowa w art. 117 ust. 4 Pzp.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both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7. Oświadczenie z art. 125 ust. 1 Pzp, podmiotowe i przedmiotowe środki dowodowe oraz certyfikacja wykonawców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Do oferty Wykonawca dołącza oświadczenie, o którym mowa w art. 125 ust. 1 ustawy Pzp, w zakresie braku podstaw wykluczenia wskazanych przez Zamawiającego. Z uwagi na to, że Zamawiający nie określa warunków udziału w postępowaniu, oświadczenie nie służy potwierdzaniu spełniania warunków udziału. Wzór oświadczenia stanowi załącznik nr 2 do SWZ.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/>
          <w:bCs/>
          <w:i w:val="false"/>
          <w:sz w:val="24"/>
          <w:szCs w:val="24"/>
          <w:lang w:val="pl-PL"/>
        </w:rPr>
      </w:pPr>
      <w:r>
        <w:rPr>
          <w:rFonts w:ascii="Arial" w:hAnsi="Arial"/>
          <w:b/>
          <w:bCs/>
          <w:i w:val="false"/>
          <w:sz w:val="24"/>
          <w:szCs w:val="24"/>
          <w:lang w:val="pl-PL"/>
        </w:rPr>
        <w:t>2. Zgodnie z art. 273 ust. 2 ustawy Pzp Wykonawca wskazuje w oświadczeniu, czy będzie posługiwał się certyfikatem, o którym mowa w art. 124 ust. 2 ustawy Pzp. Jeżeli Wykonawca będzie posługiwał się certyfikatem, podaje: numer i oznaczenie certyfikatu, nazwę podmiotu certyfikującego, który wydał certyfikat, okres ważności certyfikacji oraz wskazuje podstawy wykluczenia, w zakresie których będzie posługiwał się certyfikatem.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Zamawiający nie żąda podmiotowych środków dowodowych ani przedmiotowych środków dowodowych.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W niniejszym postępowaniu certyfikat może służyć potwierdzeniu niepodlegania wykluczeniu wyłącznie w zakresie objętym ważną certyfikacją. Certyfikacja niepodlegania wykluczeniu może obejmować podstawy z art. 108 ust. 1 pkt 1–5 ustawy Pzp, natomiast nie obejmuje podstawy z art. 108 ust. 1 pkt 6 ustawy Pzp ani przesłanek wykluczenia określonych w art. 7 ust. 1 ustawy z dnia 13 kwietnia 2022 r. o szczególnych rozwiązaniach w zakresie przeciwdziałania wspieraniu agresji na Ukrainę oraz służących ochronie bezpieczeństwa narodowego. W odniesieniu do art. 108 ust. 1 pkt 5 ustawy Pzp certyfikacja nie obejmuje zdarzeń będących podstawą wykluczenia, które zaistniały w postępowaniu, w którym Wykonawca ubiega się o udzielenie zamówienia.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8. Podstawy wykluczenia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Zamawiający wykluczy z postępowania Wykonawcę, wobec którego zachodzą obligatoryjne podstawy wykluczenia określone w art. 108 ust. 1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Zamawiający stosuje również podstawy wykluczenia określone w art. 7 ust. 1 ustawy z dnia 13 kwietnia 2022 r. o szczególnych rozwiązaniach w zakresie przeciwdziałania wspieraniu agresji na Ukrainę oraz służących ochronie bezpieczeństwa narodowego (t.j. Dz. U. z 2025 r. poz. 514 ze zm.). Wykluczenie następuje na okres trwania okoliczności określonych w tym przepisie.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Zamawiający nie przewiduje fakultatywnych podstaw wykluczenia z art. 109 ust. 1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9. Wymagania w zakresie zatrudnienia na podstawie stosunku pracy, o których mowa w art. 95 Pzp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 uwagi na to, że przedmiotem zamówienia jest dostawa, Zamawiający nie określa wymagań zatrudnienia na podstawie stosunku pracy, o których mowa w art. 95 ust. 1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10. Termin wykonania zamówienia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Zamawiający wymaga wykonania zamówienia w terminie: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do dnia 30.10.2026r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11. Projektowane postanowienia umowy w sprawie zamówienia publicznego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Projektowane postanowienia umowy w sprawie zamówienia publicznego zostały określone w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załączniku nr 4 do SWZ.</w:t>
      </w: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 Projekt umowy nie był przedmiotem niniejszego audytu – zgodnie z dyspozycją Zamawiającego.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12. Środki komunikacji elektronicznej oraz wymagania techniczne i organizacyjne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Komunikacja między Zamawiającym a Wykonawcami odbywa się przy użyciu Platformy e-Zamówienia, dostępnej pod adresem https://ezamowienia.gov.pl, z zastrzeżeniem przypadków dopuszczonych ustawą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Korzystanie z Platformy e-Zamówienia jest bezpłatne. Wykonawca powinien posiadać konto i uprawnienia wymagane do złożenia oferty w danym postępowaniu.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Szczegółowe wymagania techniczne, zasady działania kont, obsługiwane formaty i aktualne instrukcje określa Regulamin Platformy e-Zamówienia oraz informacje w „Centrum Pomocy”.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W przypadku problemów technicznych Wykonawca korzysta z aktualnych kanałów wsparcia wskazanych na Platformie e-Zamówienia. Zamawiający nie utrwala w SWZ numerów infolinii ani instrukcji interfejsu, które mogą ulec zmianie.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5. Adres strony prowadzonego  postępowaniahttps://ezamowienia.gov.pl/mp-client/tenders/ocds-148610-2bd3e513-0282-4e8f-8254-79442dcd3165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13. Wskazanie osób uprawnionych do komunikowania się z Wykonawcami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1. W zakresie procedury: Edyta Pietras 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Wnioski o wyjaśnienie treści SWZ, o których mowa w art. 284 Pzp, należy przekazywać za pośrednictwem Platformy e-Zamówienia, przy użyciu funkcjonalności komunikacji właściwej dla postępowania.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14. Termin związania ofertą</w:t>
            </w:r>
          </w:p>
        </w:tc>
      </w:tr>
    </w:tbl>
    <w:p>
      <w:pPr>
        <w:pStyle w:val="Normal"/>
        <w:spacing w:lineRule="auto" w:line="259" w:before="0" w:after="4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1. Wykonawca jest związany ofertą do dnia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12.09.2026r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 xml:space="preserve">, </w:t>
      </w:r>
      <w:r>
        <w:rPr>
          <w:rFonts w:ascii="Arial" w:hAnsi="Arial"/>
          <w:b w:val="false"/>
          <w:i w:val="false"/>
          <w:sz w:val="24"/>
          <w:szCs w:val="24"/>
          <w:lang w:val="pl-PL"/>
        </w:rPr>
        <w:t>nie dłużej niż 30 dni od dnia upływu terminu składania ofert; pierwszym dniem terminu związania ofertą jest dzień, w którym upływa termin składania ofert.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Jeżeli wybór najkorzystniejszej oferty nie nastąpi przed upływem tego terminu, Zamawiający przed jego upływem może jednokrotnie zwrócić się do Wykonawców o zgodę na przedłużenie terminu związania ofertą o okres nie dłuższy niż 30 dni.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Przedłużenie wymaga pisemnego oświadczenia Wykonawcy o zgodzie.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15. Opis sposobu przygotowania oferty</w:t>
            </w:r>
          </w:p>
        </w:tc>
      </w:tr>
    </w:tbl>
    <w:p>
      <w:pPr>
        <w:pStyle w:val="Normal"/>
        <w:spacing w:lineRule="auto" w:line="259" w:before="0" w:after="4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Ofertę składa się pod rygorem nieważności w formie elektronicznej lub w postaci elektronicznej opatrzonej podpisem zaufanym albo podpisem osobistym.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Ofertę składa się za pośrednictwem Platformy e-Zamówienia, zgodnie z aktualnym Regulaminem i instrukcjami Platformy. Wykonawca ponosi odpowiedzialność za złożenie oferty przed upływem terminu składania ofert.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Wykonawca może przed upływem terminu składania ofert wycofać złożoną ofertę zgodnie z funkcjonalnością Platformy.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Do oferty należy dołączyć: a) formularz cenowy – załącznik nr 1a; b) oświadczenie z art. 125 ust. 1 Pzp – załącznik nr 2, składane przez każdego z Wykonawców wspólnie ubiegających się o zamówienie; c) dokumenty potwierdzające umocowanie do reprezentacji, jeżeli umocowanie nie wynika z ogólnodostępnego właściwego rejestru lub danych wskazanych przez Wykonawcę; d) pełnomocnictwo – jeżeli dotyczy.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5. Zamawiający nie wymaga oświadczenia z art. 117 ust. 4 Pzp, ponieważ nie określa warunków udziału w postępowaniu.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6. W oświadczeniu z art. 125 ust. 1 ustawy Pzp Wykonawca podaje informacje dotyczące certyfikatu zgodnie z art. 273 ust. 2 ustawy Pzp. Zamawiający nie ustanawia odrębnego obowiązku załączania do oferty kopii certyfikatu. Dane dotyczące ważnej certyfikacji i ważny certyfikat są jawne i ogólnodostępne w bazie certyfikacji, z wyjątkami określonymi w ustawie z dnia 5 sierpnia 2025 r. o certyfikacji wykonawców zamówień publicznych.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7. Dokumenty elektroniczne, cyfrowe odwzorowania i pełnomocnictwa przekazuje się w formach wynikających z Pzp oraz przepisów wykonawczych wydanych na podstawie art. 70 Pzp.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16. Sposób oraz termin składania ofert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1. Ofertę wraz z wymaganymi załącznikami należy złożyć za pośrednictwem Platformy e-Zamówienia w terminie do dnia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14.08.2026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 xml:space="preserve">, do godz.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9:00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Wykonawca może złożyć tylko jedną ofertę. Treść oferty musi być zgodna z wymaganiami dokumentów zamówienia.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Oferta złożona po terminie podlega odrzuceniu zgodnie z ustawą Pzp.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17. Termin otwarcia ofert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1. Otwarcie ofert nastąpi w dniu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14.08.2026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 xml:space="preserve"> o godz.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09:05</w:t>
      </w:r>
      <w:r>
        <w:rPr>
          <w:rFonts w:ascii="Arial" w:hAnsi="Arial"/>
          <w:b w:val="false"/>
          <w:i w:val="false"/>
          <w:sz w:val="24"/>
          <w:szCs w:val="24"/>
          <w:lang w:val="pl-PL"/>
        </w:rPr>
        <w:t>, niezwłocznie po upływie terminu składania ofert.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Otwarcie ofert odbywa się bez udziału Wykonawców.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Zamawiający, najpóźniej przed otwarciem ofert, udostępnia informację o kwocie, jaką zamierza przeznaczyć na sfinansowanie zamówienia.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18. Sposób obliczenia ceny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1. Wykonawca podaje w interaktywnym formularzu oferty cenę brutto za wykonanie całego przedmiotu zamówienia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 xml:space="preserve">oraz wypełnia formularz cenowy stanowiący załącznik nr 1a do SWZ.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Brak dostarczenia formularza cenowego skutkować będzie odrzuceniem oferty!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Cena oferty musi obejmować wszystkie koszty niezbędne do prawidłowego wykonania dostawy zgodnie z SWZ, SOPZ i umową, w tym koszty transportu, dostarczenia do miejsca wskazanego przez Zamawiającego, uruchomienia lub instruktażu – jeżeli wynikają                           z SOPZ/umowy – oraz wszystkie podatki, opłaty, rabaty i inne obciążenia.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Rozliczenia będą prowadzone w złotych polskich, z dokładnością do dwóch miejsc                      po przecinku.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Wykonawca stosuje stawkę VAT zgodnie z obowiązującymi przepisami.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5. Jeżeli wybór oferty prowadziłby do powstania u Zamawiającego obowiązku podatkowego, Wykonawca przekazuje informacje wymagane art. 225 Pzp w formularzu oferty.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19. Opis kryteriów oceny ofert wraz z podaniem wag i sposobu oceny ofert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80"/>
        <w:jc w:val="start"/>
        <w:rPr>
          <w:rFonts w:ascii="Arial" w:hAnsi="Arial"/>
          <w:b/>
          <w:i w:val="false"/>
          <w:sz w:val="24"/>
          <w:szCs w:val="24"/>
          <w:lang w:val="pl-PL"/>
        </w:rPr>
      </w:pPr>
      <w:r>
        <w:rPr>
          <w:rFonts w:ascii="Arial" w:hAnsi="Arial"/>
          <w:b/>
          <w:i w:val="false"/>
          <w:sz w:val="24"/>
          <w:szCs w:val="24"/>
          <w:lang w:val="pl-PL"/>
        </w:rPr>
        <w:t>Kryteria oceny ofert: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360" w:before="0" w:after="0"/>
        <w:jc w:val="both"/>
        <w:rPr>
          <w:rFonts w:cs="Calibri"/>
        </w:rPr>
      </w:pPr>
      <w:r>
        <w:rPr/>
        <w:t xml:space="preserve">1. </w:t>
      </w:r>
      <w:r>
        <w:rPr>
          <w:rStyle w:val="markedcontent"/>
          <w:rFonts w:cs="Calibri"/>
        </w:rPr>
        <w:t>Przy wyborze najkorzystniejszej oferty zamawiający będzie kierował się następującymi</w:t>
      </w:r>
      <w:r>
        <w:rPr>
          <w:rFonts w:cs="Calibri"/>
        </w:rPr>
        <w:br/>
      </w:r>
      <w:r>
        <w:rPr>
          <w:rStyle w:val="markedcontent"/>
          <w:rFonts w:cs="Calibri"/>
        </w:rPr>
        <w:t>kryteriami i odpowiadającymi im znaczeniami oraz w następujący sposób będzie oceniał</w:t>
      </w:r>
      <w:r>
        <w:rPr>
          <w:rFonts w:cs="Calibri"/>
        </w:rPr>
        <w:br/>
      </w:r>
      <w:r>
        <w:rPr>
          <w:rStyle w:val="markedcontent"/>
          <w:rFonts w:cs="Calibri"/>
        </w:rPr>
        <w:t>spełnienie kryteriów:</w:t>
      </w:r>
    </w:p>
    <w:p>
      <w:pPr>
        <w:pStyle w:val="Normal"/>
        <w:spacing w:lineRule="auto" w:line="360" w:before="0" w:after="0"/>
        <w:jc w:val="both"/>
        <w:rPr/>
      </w:pPr>
      <w:r>
        <w:rPr>
          <w:rStyle w:val="markedcontent"/>
          <w:rFonts w:cs="Calibri"/>
          <w:b/>
          <w:bCs/>
        </w:rPr>
        <w:t>Cena (koszt) – znaczenie 100 %</w:t>
      </w:r>
    </w:p>
    <w:p>
      <w:pPr>
        <w:pStyle w:val="Normal"/>
        <w:spacing w:lineRule="auto" w:line="360" w:before="0" w:after="0"/>
        <w:jc w:val="both"/>
        <w:rPr/>
      </w:pPr>
      <w:r>
        <w:rPr>
          <w:rStyle w:val="markedcontent"/>
          <w:rFonts w:cs="Calibri"/>
          <w:b/>
          <w:bCs/>
          <w:u w:val="single"/>
        </w:rPr>
        <w:t>Opis kryterium cena</w:t>
      </w:r>
    </w:p>
    <w:p>
      <w:pPr>
        <w:pStyle w:val="Tekstpodstawowy3"/>
        <w:widowControl w:val="false"/>
        <w:spacing w:before="0" w:after="0"/>
        <w:rPr>
          <w:rFonts w:ascii="Calibri" w:hAnsi="Calibri" w:cs="Cambria"/>
          <w:b w:val="false"/>
          <w:bCs/>
          <w:caps w:val="false"/>
          <w:smallCaps w:val="false"/>
          <w:color w:val="000000"/>
          <w:sz w:val="22"/>
          <w:szCs w:val="22"/>
        </w:rPr>
      </w:pPr>
      <w:r>
        <w:rPr>
          <w:rFonts w:cs="Cambria"/>
          <w:b w:val="false"/>
          <w:bCs/>
          <w:caps w:val="false"/>
          <w:smallCaps w:val="false"/>
          <w:color w:val="000000"/>
          <w:sz w:val="22"/>
          <w:szCs w:val="22"/>
        </w:rPr>
        <w:t>Ocenie zostanie poddana cena brutto za wykonanie przedmiotu zamówienia podana w formularzu ofertowym. Maksymalnie można uzyskać 100 punktów. Przyznane punkty zostaną zaokrąglone do dwóch miejsc po przecinku. Liczba przyznanych punktów dla poszczególnych ofert będzie obliczana zgodnie z poniższym wzorem:</w:t>
      </w:r>
    </w:p>
    <w:p>
      <w:pPr>
        <w:pStyle w:val="Normal"/>
        <w:widowControl w:val="false"/>
        <w:jc w:val="center"/>
        <w:rPr>
          <w:rFonts w:ascii="Calibri" w:hAnsi="Calibri" w:cs="Cambria"/>
          <w:color w:val="000000"/>
          <w:sz w:val="22"/>
          <w:szCs w:val="22"/>
        </w:rPr>
      </w:pPr>
      <w:r>
        <w:rPr>
          <w:rFonts w:cs="Cambria"/>
          <w:color w:val="000000"/>
          <w:sz w:val="22"/>
          <w:szCs w:val="22"/>
        </w:rPr>
        <w:t>C min</w:t>
      </w:r>
    </w:p>
    <w:p>
      <w:pPr>
        <w:pStyle w:val="Normal"/>
        <w:widowControl w:val="false"/>
        <w:jc w:val="center"/>
        <w:rPr>
          <w:rFonts w:ascii="Calibri" w:hAnsi="Calibri" w:cs="Cambria"/>
          <w:color w:val="000000"/>
          <w:sz w:val="22"/>
          <w:szCs w:val="22"/>
        </w:rPr>
      </w:pPr>
      <w:r>
        <w:rPr>
          <w:rFonts w:cs="Cambria"/>
          <w:color w:val="000000"/>
          <w:sz w:val="22"/>
          <w:szCs w:val="22"/>
        </w:rPr>
        <w:t>A(x) = ------------- x 100 %</w:t>
      </w:r>
    </w:p>
    <w:p>
      <w:pPr>
        <w:pStyle w:val="Normal"/>
        <w:widowControl w:val="false"/>
        <w:jc w:val="center"/>
        <w:rPr>
          <w:rFonts w:ascii="Calibri" w:hAnsi="Calibri" w:cs="Cambria"/>
          <w:color w:val="000000"/>
          <w:sz w:val="22"/>
          <w:szCs w:val="22"/>
        </w:rPr>
      </w:pPr>
      <w:r>
        <w:rPr>
          <w:rFonts w:cs="Cambria"/>
          <w:color w:val="000000"/>
          <w:sz w:val="22"/>
          <w:szCs w:val="22"/>
        </w:rPr>
        <w:t>C (x)</w:t>
      </w:r>
    </w:p>
    <w:p>
      <w:pPr>
        <w:pStyle w:val="Normal"/>
        <w:widowControl w:val="false"/>
        <w:jc w:val="both"/>
        <w:rPr>
          <w:rFonts w:ascii="Calibri" w:hAnsi="Calibri" w:cs="Cambria"/>
          <w:color w:val="000000"/>
          <w:sz w:val="22"/>
          <w:szCs w:val="22"/>
        </w:rPr>
      </w:pPr>
      <w:r>
        <w:rPr>
          <w:rFonts w:cs="Cambria"/>
          <w:color w:val="000000"/>
          <w:sz w:val="22"/>
          <w:szCs w:val="22"/>
        </w:rPr>
        <w:t>gdzie:</w:t>
        <w:tab/>
      </w:r>
    </w:p>
    <w:p>
      <w:pPr>
        <w:pStyle w:val="Normal"/>
        <w:widowControl w:val="false"/>
        <w:jc w:val="both"/>
        <w:rPr>
          <w:rFonts w:ascii="Calibri" w:hAnsi="Calibri" w:cs="Cambria"/>
          <w:color w:val="000000"/>
          <w:sz w:val="22"/>
          <w:szCs w:val="22"/>
        </w:rPr>
      </w:pPr>
      <w:r>
        <w:rPr>
          <w:rFonts w:cs="Cambria"/>
          <w:color w:val="000000"/>
          <w:sz w:val="22"/>
          <w:szCs w:val="22"/>
        </w:rPr>
        <w:t xml:space="preserve">A(x) </w:t>
        <w:tab/>
        <w:t xml:space="preserve">– </w:t>
        <w:tab/>
        <w:t>ilość punktów przyznana ofercie „x” za kryterium ceny</w:t>
      </w:r>
    </w:p>
    <w:p>
      <w:pPr>
        <w:pStyle w:val="Normal"/>
        <w:widowControl w:val="false"/>
        <w:jc w:val="both"/>
        <w:rPr>
          <w:rFonts w:ascii="Calibri" w:hAnsi="Calibri" w:cs="Cambria"/>
          <w:color w:val="000000"/>
          <w:sz w:val="22"/>
          <w:szCs w:val="22"/>
        </w:rPr>
      </w:pPr>
      <w:r>
        <w:rPr>
          <w:rFonts w:cs="Cambria"/>
          <w:color w:val="000000"/>
          <w:sz w:val="22"/>
          <w:szCs w:val="22"/>
        </w:rPr>
        <w:t>Cmin  - cena najniższa wśród cen zawartych w ofertach na zadanie objęte przetargiem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Cambria" w:hAnsi="Cambria" w:cs="Cambria"/>
          <w:color w:val="000000"/>
          <w:sz w:val="24"/>
          <w:szCs w:val="24"/>
        </w:rPr>
      </w:pPr>
      <w:r>
        <w:rPr>
          <w:rStyle w:val="markedcontent"/>
          <w:rFonts w:cs="Cambria"/>
          <w:color w:val="000000"/>
          <w:sz w:val="22"/>
          <w:szCs w:val="22"/>
        </w:rPr>
        <w:t xml:space="preserve">C(x) </w:t>
        <w:tab/>
        <w:t xml:space="preserve">– </w:t>
        <w:tab/>
        <w:t>cena zawarta w ofercie „x”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Style w:val="markedcontent"/>
        </w:rPr>
        <w:t>2. Oferty będą oceniane  metodą punktową w skali 100-punktowej.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20. Formalności po wyborze oferty w celu zawarcia umowy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Zamawiający zawiera umowę, z uwzględnieniem art. 577 Pzp, w terminie nie krótszym niż 5 dni od dnia przesłania zawiadomienia o wyborze najkorzystniejszej oferty przy użyciu środków komunikacji elektronicznej albo 10 dni, jeżeli zawiadomienie przesłano w inny sposób.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Zamawiający może zawrzeć umowę przed upływem tego terminu w przypadkach określonych w art. 308 ust. 3 Pzp, w szczególności gdy w trybie podstawowym złożono tylko jedną ofertę.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Wykonawca, którego oferta została wybrana, zostanie poinformowany o miejscu i terminie zawarcia umowy i jest obowiązany zawrzeć umowę na warunkach wynikających z dokumentów zamówienia i swojej oferty.</w:t>
      </w:r>
    </w:p>
    <w:tbl>
      <w:tblPr>
        <w:tblW w:w="992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21"/>
      </w:tblGrid>
      <w:tr>
        <w:trPr/>
        <w:tc>
          <w:tcPr>
            <w:tcW w:w="9921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21. Pouczenie o środkach ochrony prawnej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Wykonawcom oraz innym podmiotom, jeżeli mają lub miały interes w uzyskaniu zamówienia oraz poniosły lub mogą ponieść szkodę w wyniku naruszenia przez Zamawiającego przepisów ustawy, przysługują środki ochrony prawnej na zasadach określonych w Dziale IX Pzp (art. 505–590 Pzp).</w:t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22. Zabezpieczenie należytego wykonania umowy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Zamawiający nie wymaga wniesienia zabezpieczenia należytego wykonania umowy.</w:t>
      </w:r>
    </w:p>
    <w:p>
      <w:pPr>
        <w:pStyle w:val="Normal"/>
        <w:spacing w:lineRule="auto" w:line="259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23. Podwykonawstwo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Wykonawca może powierzyć wykonanie części zamówienia podwykonawcy, z zastrzeżeniem przepisów Pzp i postanowień umowy.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Zamawiający żąda wskazania w formularzu oferty części zamówienia, których wykonanie Wykonawca zamierza powierzyć podwykonawcom, oraz podania nazw ewentualnych podwykonawców, jeżeli są już znani.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24. Informacje dodatkowe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360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Zamawiający nie przewiduje fakultatywnych podstaw wykluczenia z art. 109 ust. 1 Pzp.</w:t>
      </w:r>
    </w:p>
    <w:p>
      <w:pPr>
        <w:pStyle w:val="Normal"/>
        <w:spacing w:lineRule="auto" w:line="360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2. Zamawiający nie dopuszcza składania ofert częściowych. </w:t>
      </w:r>
      <w:r>
        <w:rPr>
          <w:rFonts w:ascii="Arial" w:hAnsi="Arial"/>
          <w:b/>
          <w:bCs/>
          <w:i w:val="false"/>
          <w:sz w:val="24"/>
          <w:szCs w:val="24"/>
          <w:lang w:val="pl-PL"/>
        </w:rPr>
        <w:t>Uzasadnienie:</w:t>
      </w:r>
      <w:r>
        <w:rPr>
          <w:rFonts w:ascii="Arial" w:hAnsi="Arial"/>
          <w:b w:val="false"/>
          <w:i w:val="false"/>
          <w:sz w:val="24"/>
          <w:szCs w:val="24"/>
          <w:lang w:val="pl-PL"/>
        </w:rPr>
        <w:t xml:space="preserve"> przedmiotem zamówienia jest dostawa jednej kompletnej, funkcjonalnej i fabrycznie nowej koparko-ładowarki. Podział zamówienia na części miałby charakter sztuczny i mógłby prowadzić do problemów z kompatybilnością, odpowiedzialnością gwarancyjną i odbiorem kompletnego urządzenia. Charakter i skala zamówienia nie uzasadniają podziału na części, a brak podziału nie powinien ograniczać dostępu MŚP działających na rynku dostaw tego rodzaju maszyn.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Zamawiający nie dopuszcza ofert wariantowych.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Zamawiający nie żąda wniesienia wadium.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5. Zamawiający nie przewiduje zwrotu kosztów udziału w postępowaniu, z wyjątkiem przypadków przewidzianych w ustawie Pzp.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6. Zamawiający nie zastrzega obowiązku osobistego wykonania kluczowych zadań.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7. Zamawiający nie przewiduje zawarcia umowy ramowej.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8. Zamawiający nie przewiduje aukcji elektronicznej.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9. Zamawiający nie przewiduje komunikowania się w sposób inny niż przy użyciu środków komunikacji elektronicznej, poza przypadkami dopuszczonymi ustawą Pzp.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10. Zamawiający nie przewiduje wymagań, o których mowa w art. 96 ust. 2 pkt 2 Pzp.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11. Zamawiający nie zastrzega zamówienia na podstawie art. 94 Pzp.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12. Zamawiający nie wymaga złożenia ofert w postaci katalogów elektronicznych.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13. Zamawiający nie przewiduje udzielenia zamówień, o których mowa w art. 214 ust. 1 pkt 8 Pzp.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14. Ze względu na charakter dostawy Zamawiający nie przewiduje obowiązkowej wizji lokalnej ani sprawdzania dokumentów na miejscu u Zamawiającego.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15. Zamawiający nie przewiduje udzielania zaliczek na poczet wykonania zamówienia.</w:t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360" w:before="0" w:after="100"/>
        <w:jc w:val="start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</w:r>
    </w:p>
    <w:tbl>
      <w:tblPr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72"/>
      </w:tblGrid>
      <w:tr>
        <w:trPr/>
        <w:tc>
          <w:tcPr>
            <w:tcW w:w="9972" w:type="dxa"/>
            <w:tcBorders/>
            <w:shd w:fill="D9D9D9" w:val="clear"/>
            <w:vAlign w:val="center"/>
          </w:tcPr>
          <w:p>
            <w:pPr>
              <w:pStyle w:val="Normal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</w:r>
          </w:p>
          <w:p>
            <w:pPr>
              <w:pStyle w:val="Normal"/>
              <w:spacing w:before="0" w:after="200"/>
              <w:jc w:val="start"/>
              <w:rPr>
                <w:rFonts w:ascii="Arial" w:hAnsi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/>
                <w:b/>
                <w:sz w:val="24"/>
                <w:szCs w:val="24"/>
                <w:lang w:val="pl-PL"/>
              </w:rPr>
              <w:t>25. Klauzula informacyjna RODO</w:t>
            </w:r>
          </w:p>
        </w:tc>
      </w:tr>
    </w:tbl>
    <w:p>
      <w:pPr>
        <w:pStyle w:val="Normal"/>
        <w:spacing w:lineRule="auto" w:line="259" w:before="0" w:after="40"/>
        <w:jc w:val="start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1. Zgodnie z art. 13 ust. 1 i 2 RODO administratorem Pani/Pana danych osobowych jest Gmina Miłkowice, ul. Wojska Polskiego 71, 59-222 Miłkowice.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2. Kontakt z Inspektorem Ochrony Danych: iod@lesny.com.pl.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3. Dane osobowe będą przetwarzane na podstawie art. 6 ust. 1 lit. c RODO w związku z obowiązkami wynikającymi z ustawy Pzp, w celu przeprowadzenia niniejszego postępowania, wyboru Wykonawcy, zawarcia i realizacji umowy oraz dokumentowania i archiwizacji postępowania.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4. Odbiorcami danych będą osoby lub podmioty, którym dokumentacja postępowania zostanie udostępniona zgodnie z zasadą jawności i przepisami Pzp, w szczególności art. 18 i art. 74 Pzp, a także podmioty uprawnione na podstawie przepisów prawa. Urząd Zamówień Publicznych oraz Krajowa Izba Odwoławcza nie są z tego tytułu „współadministratorami” Gminy Miłkowice; w zakresie danych, które samodzielnie przetwarzają w ramach swoich ustawowych zadań, działają na własnych podstawach prawnych.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5. Dane będą przechowywane zgodnie z art. 78 Pzp przez 4 lata od dnia zakończenia postępowania, a jeżeli okres obowiązywania umowy przekracza 4 lata – przez cały okres obowiązywania umowy, z uwzględnieniem przepisów archiwalnych i innych obowiązków przechowywania dokumentacji.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6. Obowiązek podania danych jest wymogiem ustawowym związanym z udziałem w postępowaniu; konsekwencje niepodania danych wynikają z Pzp i dokumentów zamówienia.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7. Osobie, której dane dotyczą, przysługuje – na zasadach określonych w RODO i z ograniczeniami wynikającymi z Pzp – prawo dostępu do danych (art. 15 RODO), prawo ich sprostowania (art. 16 RODO) oraz prawo żądania ograniczenia przetwarzania (art. 18 RODO). W postępowaniu mają zastosowanie w szczególności art. 19, art. 74–76 Pzp.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8. Nie przysługuje prawo do usunięcia danych w przypadkach określonych w art. 17 ust. 3 lit. b, d lub e RODO, prawo do przenoszenia danych z art. 20 RODO ani – gdy podstawą przetwarzania jest art. 6 ust. 1 lit. c RODO – prawo sprzeciwu z art. 21 RODO.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9. Osobie, której dane dotyczą, przysługuje prawo wniesienia skargi do Prezesa Urzędu Ochrony Danych Osobowych.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10. Dane nie będą wykorzystywane do podejmowania decyzji wyłącznie w sposób zautomatyzowany, w tym do profilowania, o którym mowa w art. 22 RODO.</w:t>
      </w:r>
    </w:p>
    <w:p>
      <w:pPr>
        <w:pStyle w:val="Normal"/>
        <w:spacing w:lineRule="auto" w:line="259" w:before="0" w:after="100"/>
        <w:jc w:val="both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rFonts w:ascii="Arial" w:hAnsi="Arial"/>
          <w:b w:val="false"/>
          <w:i w:val="false"/>
          <w:sz w:val="24"/>
          <w:szCs w:val="24"/>
          <w:lang w:val="pl-PL"/>
        </w:rPr>
        <w:t>11. Jeżeli Wykonawca przekazuje Zamawiającemu dane osobowe innych osób, powinien poinformować te osoby o zasadach przetwarzania danych wynikających z niniejszej klauzuli, o ile obowiązek taki wynika z RODO.</w:t>
      </w:r>
    </w:p>
    <w:sectPr>
      <w:headerReference w:type="default" r:id="rId5"/>
      <w:type w:val="nextPage"/>
      <w:pgSz w:w="12240" w:h="15840"/>
      <w:pgMar w:left="1134" w:right="1134" w:gutter="0" w:header="964" w:top="1454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  <w:i/>
        <w:iCs/>
        <w:sz w:val="18"/>
        <w:szCs w:val="18"/>
      </w:rPr>
    </w:pPr>
    <w:r>
      <w:rPr>
        <w:rFonts w:cs="Arial" w:ascii="Arial" w:hAnsi="Arial"/>
        <w:b w:val="false"/>
        <w:i/>
        <w:iCs/>
        <w:sz w:val="18"/>
        <w:szCs w:val="18"/>
      </w:rPr>
      <w:t>Zadanie realizowane ze środków Programu Ochrony Ludności i Obrony Cywilnej na lata 2025-2026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Arial" w:hAnsi="Arial" w:eastAsia="ＭＳ 明朝"/>
      <w:color w:val="auto"/>
      <w:kern w:val="0"/>
      <w:sz w:val="21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libri" w:hAnsi="Calibri" w:eastAsia="ＭＳ ゴシック" w:cs="Tahoma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libri" w:hAnsi="Calibri" w:eastAsia="ＭＳ ゴシック" w:cs="Tahoma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libri" w:hAnsi="Calibri" w:eastAsia="ＭＳ ゴシック" w:cs="Tahoma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libri" w:hAnsi="Calibri" w:eastAsia="ＭＳ ゴシック" w:cs="Tahoma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libri" w:hAnsi="Calibri" w:eastAsia="ＭＳ ゴシック" w:cs="Tahoma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libri" w:hAnsi="Calibri" w:eastAsia="ＭＳ ゴシック" w:cs="Tahoma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libri" w:hAnsi="Calibri" w:eastAsia="ＭＳ ゴシック" w:cs="Tahoma"/>
      <w:i/>
      <w:iCs/>
      <w:color w:themeColor="dark1" w:themeTint="bf" w:val="404040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libri" w:hAnsi="Calibri" w:eastAsia="ＭＳ ゴシック" w:cs="Tahoma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libri" w:hAnsi="Calibri" w:eastAsia="ＭＳ ゴシック" w:cs="Tahoma"/>
      <w:i/>
      <w:iCs/>
      <w:color w:themeColor="dark1" w:themeTint="bf" w:val="404040"/>
      <w:sz w:val="20"/>
      <w:szCs w:val="20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libri" w:hAnsi="Calibri" w:eastAsia="ＭＳ ゴシック" w:cs="Tahoma"/>
      <w:b/>
      <w:bCs/>
      <w:color w:themeColor="accent1" w:themeShade="bf"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libri" w:hAnsi="Calibri" w:eastAsia="ＭＳ ゴシック" w:cs="Tahoma"/>
      <w:b/>
      <w:bCs/>
      <w:color w:themeColor="accent1"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libri" w:hAnsi="Calibri" w:eastAsia="ＭＳ ゴシック" w:cs="Tahoma"/>
      <w:b/>
      <w:bCs/>
      <w:color w:themeColor="accent1" w:val="4F81BD"/>
    </w:rPr>
  </w:style>
  <w:style w:type="character" w:styleId="TitleChar">
    <w:name w:val="Title Char"/>
    <w:basedOn w:val="DefaultParagraphFont"/>
    <w:qFormat/>
    <w:rPr>
      <w:rFonts w:ascii="Calibri" w:hAnsi="Calibri" w:eastAsia="ＭＳ ゴシック" w:cs="Tahoma"/>
      <w:color w:themeColor="dark2" w:themeShade="bf" w:val="17365D"/>
      <w:spacing w:val="5"/>
      <w:kern w:val="2"/>
      <w:sz w:val="52"/>
      <w:szCs w:val="52"/>
    </w:rPr>
  </w:style>
  <w:style w:type="character" w:styleId="SubtitleChar">
    <w:name w:val="Subtitle Char"/>
    <w:basedOn w:val="DefaultParagraphFont"/>
    <w:qFormat/>
    <w:rPr>
      <w:rFonts w:ascii="Calibri" w:hAnsi="Calibri" w:eastAsia="ＭＳ ゴシック" w:cs="Tahoma"/>
      <w:i/>
      <w:iCs/>
      <w:color w:themeColor="accent1" w:val="4F81BD"/>
      <w:spacing w:val="15"/>
      <w:sz w:val="24"/>
      <w:szCs w:val="24"/>
    </w:rPr>
  </w:style>
  <w:style w:type="character" w:styleId="BodyTextChar">
    <w:name w:val="Body Text Char"/>
    <w:basedOn w:val="DefaultParagraphFont"/>
    <w:qFormat/>
    <w:rPr/>
  </w:style>
  <w:style w:type="character" w:styleId="BodyText2Char">
    <w:name w:val="Body Text 2 Char"/>
    <w:basedOn w:val="DefaultParagraphFont"/>
    <w:link w:val="BodyText2"/>
    <w:qFormat/>
    <w:rPr/>
  </w:style>
  <w:style w:type="character" w:styleId="BodyText3Char">
    <w:name w:val="Body Text 3 Char"/>
    <w:basedOn w:val="DefaultParagraphFont"/>
    <w:link w:val="BodyText3"/>
    <w:qFormat/>
    <w:rPr>
      <w:sz w:val="16"/>
      <w:szCs w:val="16"/>
    </w:rPr>
  </w:style>
  <w:style w:type="character" w:styleId="MacroTextChar">
    <w:name w:val="Macro Text Char"/>
    <w:basedOn w:val="DefaultParagraphFont"/>
    <w:link w:val="MacroText"/>
    <w:qFormat/>
    <w:rPr>
      <w:rFonts w:ascii="Courier" w:hAnsi="Courier"/>
      <w:sz w:val="20"/>
      <w:szCs w:val="20"/>
    </w:rPr>
  </w:style>
  <w:style w:type="character" w:styleId="QuoteChar">
    <w:name w:val="Quote Char"/>
    <w:basedOn w:val="DefaultParagraphFont"/>
    <w:link w:val="Quote"/>
    <w:qFormat/>
    <w:rPr>
      <w:i/>
      <w:iCs/>
      <w:color w:themeColor="dark1" w:val="000000"/>
    </w:rPr>
  </w:style>
  <w:style w:type="character" w:styleId="Heading4Char">
    <w:name w:val="Heading 4 Char"/>
    <w:basedOn w:val="DefaultParagraphFont"/>
    <w:qFormat/>
    <w:rPr>
      <w:rFonts w:ascii="Calibri" w:hAnsi="Calibri" w:eastAsia="ＭＳ ゴシック" w:cs="Tahoma"/>
      <w:b/>
      <w:bCs/>
      <w:i/>
      <w:iCs/>
      <w:color w:themeColor="accent1" w:val="4F81BD"/>
    </w:rPr>
  </w:style>
  <w:style w:type="character" w:styleId="Heading5Char">
    <w:name w:val="Heading 5 Char"/>
    <w:basedOn w:val="DefaultParagraphFont"/>
    <w:qFormat/>
    <w:rPr>
      <w:rFonts w:ascii="Calibri" w:hAnsi="Calibri" w:eastAsia="ＭＳ ゴシック" w:cs="Tahoma"/>
      <w:color w:themeColor="accent1" w:themeShade="7f" w:val="243F60"/>
    </w:rPr>
  </w:style>
  <w:style w:type="character" w:styleId="Heading6Char">
    <w:name w:val="Heading 6 Char"/>
    <w:basedOn w:val="DefaultParagraphFont"/>
    <w:qFormat/>
    <w:rPr>
      <w:rFonts w:ascii="Calibri" w:hAnsi="Calibri" w:eastAsia="ＭＳ ゴシック" w:cs="Tahoma"/>
      <w:i/>
      <w:iCs/>
      <w:color w:themeColor="accent1" w:themeShade="7f" w:val="243F60"/>
    </w:rPr>
  </w:style>
  <w:style w:type="character" w:styleId="Heading7Char">
    <w:name w:val="Heading 7 Char"/>
    <w:basedOn w:val="DefaultParagraphFont"/>
    <w:qFormat/>
    <w:rPr>
      <w:rFonts w:ascii="Calibri" w:hAnsi="Calibri" w:eastAsia="ＭＳ ゴシック" w:cs="Tahoma"/>
      <w:i/>
      <w:iCs/>
      <w:color w:themeColor="dark1" w:themeTint="bf" w:val="404040"/>
    </w:rPr>
  </w:style>
  <w:style w:type="character" w:styleId="Heading8Char">
    <w:name w:val="Heading 8 Char"/>
    <w:basedOn w:val="DefaultParagraphFont"/>
    <w:qFormat/>
    <w:rPr>
      <w:rFonts w:ascii="Calibri" w:hAnsi="Calibri" w:eastAsia="ＭＳ ゴシック" w:cs="Tahoma"/>
      <w:color w:themeColor="accent1" w:val="4F81BD"/>
      <w:sz w:val="20"/>
      <w:szCs w:val="20"/>
    </w:rPr>
  </w:style>
  <w:style w:type="character" w:styleId="Heading9Char">
    <w:name w:val="Heading 9 Char"/>
    <w:basedOn w:val="DefaultParagraphFont"/>
    <w:qFormat/>
    <w:rPr>
      <w:rFonts w:ascii="Calibri" w:hAnsi="Calibri" w:eastAsia="ＭＳ ゴシック" w:cs="Tahoma"/>
      <w:i/>
      <w:iCs/>
      <w:color w:themeColor="dark1" w:themeTint="bf" w:val="404040"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QuoteChar">
    <w:name w:val="Intense Quote Char"/>
    <w:basedOn w:val="DefaultParagraphFont"/>
    <w:link w:val="IntenseQuote"/>
    <w:qFormat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qFormat/>
    <w:rPr>
      <w:i/>
      <w:iCs/>
      <w:color w:themeColor="dark1" w:themeTint="7f" w:val="808080"/>
    </w:rPr>
  </w:style>
  <w:style w:type="character" w:styleId="IntenseEmphasis">
    <w:name w:val="Intense Emphasis"/>
    <w:basedOn w:val="DefaultParagraphFont"/>
    <w:qFormat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qFormat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qFormat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character" w:styleId="markedcontent">
    <w:name w:val="markedcontent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pPr>
      <w:spacing w:before="0" w:after="120"/>
    </w:pPr>
    <w:rPr/>
  </w:style>
  <w:style w:type="paragraph" w:styleId="List">
    <w:name w:val="List"/>
    <w:basedOn w:val="Normal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qFormat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ambria" w:hAnsi="Cambria" w:eastAsia="ＭＳ 明朝"/>
      <w:color w:val="auto"/>
      <w:kern w:val="0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Tahoma"/>
      <w:color w:themeColor="dark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pPr/>
    <w:rPr>
      <w:rFonts w:ascii="Calibri" w:hAnsi="Calibri" w:eastAsia="ＭＳ ゴシック" w:cs="Tahoma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qFormat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qFormat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qFormat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qFormat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pPr>
      <w:numPr>
        <w:ilvl w:val="0"/>
        <w:numId w:val="2"/>
      </w:numPr>
      <w:spacing w:before="0" w:after="200"/>
      <w:contextualSpacing/>
    </w:pPr>
    <w:rPr/>
  </w:style>
  <w:style w:type="paragraph" w:styleId="ListBullet2">
    <w:name w:val="List Bullet 2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ListBullet3">
    <w:name w:val="List Bullet 3"/>
    <w:basedOn w:val="Normal"/>
    <w:pPr>
      <w:numPr>
        <w:ilvl w:val="0"/>
        <w:numId w:val="4"/>
      </w:numPr>
      <w:spacing w:before="0" w:after="200"/>
      <w:contextualSpacing/>
    </w:pPr>
    <w:rPr/>
  </w:style>
  <w:style w:type="paragraph" w:styleId="ListNumber">
    <w:name w:val="List Number"/>
    <w:basedOn w:val="Normal"/>
    <w:pPr>
      <w:numPr>
        <w:ilvl w:val="0"/>
        <w:numId w:val="5"/>
      </w:numPr>
      <w:spacing w:before="0" w:after="200"/>
      <w:contextualSpacing/>
    </w:pPr>
    <w:rPr/>
  </w:style>
  <w:style w:type="paragraph" w:styleId="ListNumber2">
    <w:name w:val="List Number 2"/>
    <w:basedOn w:val="Normal"/>
    <w:pPr>
      <w:numPr>
        <w:ilvl w:val="0"/>
        <w:numId w:val="6"/>
      </w:numPr>
      <w:spacing w:before="0" w:after="200"/>
      <w:contextualSpacing/>
    </w:pPr>
    <w:rPr/>
  </w:style>
  <w:style w:type="paragraph" w:styleId="ListNumber3">
    <w:name w:val="List Number 3"/>
    <w:basedOn w:val="Normal"/>
    <w:pPr>
      <w:numPr>
        <w:ilvl w:val="0"/>
        <w:numId w:val="7"/>
      </w:numPr>
      <w:spacing w:before="0" w:after="200"/>
      <w:contextualSpacing/>
    </w:pPr>
    <w:rPr/>
  </w:style>
  <w:style w:type="paragraph" w:styleId="ListContinue">
    <w:name w:val="List Continue"/>
    <w:basedOn w:val="Normal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ourier" w:hAnsi="Courier" w:eastAsia="ＭＳ 明朝"/>
      <w:color w:val="auto"/>
      <w:kern w:val="0"/>
      <w:sz w:val="20"/>
      <w:szCs w:val="20"/>
      <w:lang w:val="pl-PL" w:eastAsia="en-US" w:bidi="ar-SA"/>
    </w:rPr>
  </w:style>
  <w:style w:type="paragraph" w:styleId="Quote">
    <w:name w:val="Quote"/>
    <w:basedOn w:val="Normal"/>
    <w:next w:val="Normal"/>
    <w:link w:val="QuoteChar"/>
    <w:qFormat/>
    <w:pPr/>
    <w:rPr>
      <w:i/>
      <w:iCs/>
      <w:color w:themeColor="dark1" w:val="000000"/>
    </w:rPr>
  </w:style>
  <w:style w:type="paragraph" w:styleId="IntenseQuote">
    <w:name w:val="Intense Quote"/>
    <w:basedOn w:val="Normal"/>
    <w:next w:val="Normal"/>
    <w:link w:val="IntenseQuoteChar"/>
    <w:qFormat/>
    <w:pPr>
      <w:pBdr>
        <w:bottom w:val="single" w:sz="4" w:space="4" w:color="4F81BD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qFormat/>
    <w:pPr>
      <w:outlineLvl w:val="9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Tekstpodstawowy3">
    <w:name w:val="Tekst podstawowy 3"/>
    <w:basedOn w:val="Normal"/>
    <w:qFormat/>
    <w:pPr>
      <w:spacing w:before="0" w:after="120"/>
      <w:jc w:val="both"/>
    </w:pPr>
    <w:rPr>
      <w:rFonts w:cs="Arial"/>
      <w:b/>
      <w:smallCaps/>
    </w:rPr>
  </w:style>
  <w:style w:type="numbering" w:styleId="Bezlisty">
    <w:name w:val="Bez listy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zamowienia.gov.pl/mp-client/tenders/ocds-148610-2bd3e513-0282-4e8f-8254-79442dcd3165" TargetMode="External"/><Relationship Id="rId3" Type="http://schemas.openxmlformats.org/officeDocument/2006/relationships/hyperlink" Target="mailto:zp@ugmilkowice.net" TargetMode="External"/><Relationship Id="rId4" Type="http://schemas.openxmlformats.org/officeDocument/2006/relationships/hyperlink" Target="https://ezamowienia.gov.pl/mp-client/tenders/ocds-148610-2bd3e513-0282-4e8f-8254-79442dcd3165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LibreOffice/26.2.5.2$Windows_X86_64 LibreOffice_project/cd7284b4cbbfeb507e630c1aac019f4157393acb</Application>
  <AppVersion>15.0000</AppVersion>
  <Pages>11</Pages>
  <Words>2656</Words>
  <Characters>16803</Characters>
  <CharactersWithSpaces>19400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cp:lastPrinted>2026-08-06T08:02:33Z</cp:lastPrinted>
  <dcterms:modified xsi:type="dcterms:W3CDTF">2026-08-06T08:51:49Z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