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Arial" w:hAnsi="Arial" w:cs="Arial"/>
          <w:b/>
          <w:u w:val="single"/>
        </w:rPr>
      </w:pPr>
      <w:r>
        <w:rPr>
          <w:rFonts w:cs="Arial" w:ascii="Arial" w:hAnsi="Arial"/>
          <w:b/>
          <w:u w:val="single"/>
        </w:rPr>
        <w:t>OPIS PRZEDMIOTU ZAMÓWIENIA</w:t>
      </w:r>
    </w:p>
    <w:p>
      <w:pPr>
        <w:pStyle w:val="Normal"/>
        <w:spacing w:lineRule="auto" w:line="240" w:before="0" w:after="0"/>
        <w:jc w:val="center"/>
        <w:rPr>
          <w:rFonts w:ascii="Arial" w:hAnsi="Arial" w:cs="Arial"/>
          <w:b/>
          <w:u w:val="single"/>
        </w:rPr>
      </w:pPr>
      <w:r>
        <w:rPr>
          <w:rFonts w:cs="Arial" w:ascii="Arial" w:hAnsi="Arial"/>
          <w:b/>
          <w:u w:val="single"/>
        </w:rPr>
      </w:r>
    </w:p>
    <w:p>
      <w:pPr>
        <w:pStyle w:val="Normal"/>
        <w:spacing w:lineRule="auto" w:line="240" w:before="0" w:after="0"/>
        <w:jc w:val="center"/>
        <w:rPr>
          <w:rFonts w:ascii="Arial" w:hAnsi="Arial" w:cs="Arial"/>
          <w:b/>
          <w:u w:val="single"/>
        </w:rPr>
      </w:pPr>
      <w:r>
        <w:rPr>
          <w:rFonts w:cs="Arial" w:ascii="Arial" w:hAnsi="Arial"/>
          <w:b/>
          <w:u w:val="single"/>
        </w:rPr>
      </w:r>
    </w:p>
    <w:p>
      <w:pPr>
        <w:pStyle w:val="Normal"/>
        <w:spacing w:lineRule="auto" w:line="240" w:before="0" w:after="0"/>
        <w:jc w:val="center"/>
        <w:rPr>
          <w:rFonts w:ascii="Arial" w:hAnsi="Arial" w:cs="Arial"/>
          <w:b/>
          <w:u w:val="single"/>
        </w:rPr>
      </w:pPr>
      <w:r>
        <w:rPr>
          <w:rFonts w:cs="Arial" w:ascii="Arial" w:hAnsi="Arial"/>
          <w:b/>
          <w:u w:val="single"/>
        </w:rPr>
      </w:r>
    </w:p>
    <w:p>
      <w:pPr>
        <w:pStyle w:val="Normal"/>
        <w:spacing w:lineRule="auto" w:line="240" w:before="0" w:after="0"/>
        <w:ind w:end="2"/>
        <w:jc w:val="both"/>
        <w:rPr>
          <w:rFonts w:ascii="Arial" w:hAnsi="Arial" w:cs="Arial"/>
        </w:rPr>
      </w:pPr>
      <w:r>
        <w:rPr>
          <w:rFonts w:cs="Arial" w:ascii="Arial" w:hAnsi="Arial"/>
        </w:rPr>
        <w:t xml:space="preserve">Nazwa zadania: </w:t>
      </w:r>
      <w:r>
        <w:rPr>
          <w:rFonts w:cs="Arial" w:ascii="Arial" w:hAnsi="Arial"/>
          <w:b/>
          <w:i w:val="false"/>
          <w:sz w:val="24"/>
          <w:szCs w:val="24"/>
          <w:lang w:val="pl-PL"/>
        </w:rPr>
        <w:t>Zakup i dostawa fabrycznie nowej koparko-ładowarki na potrzeby ochrony ludności i obrony Cywilnej Gminy Miłkowice.</w:t>
      </w:r>
    </w:p>
    <w:p>
      <w:pPr>
        <w:pStyle w:val="NormalWeb"/>
        <w:spacing w:beforeAutospacing="0" w:before="0" w:afterAutospacing="0" w:after="0"/>
        <w:jc w:val="both"/>
        <w:rPr>
          <w:rFonts w:ascii="Arial" w:hAnsi="Arial" w:cs="Arial"/>
          <w:sz w:val="22"/>
          <w:szCs w:val="22"/>
        </w:rPr>
      </w:pPr>
      <w:r>
        <w:rPr/>
      </w:r>
    </w:p>
    <w:p>
      <w:pPr>
        <w:pStyle w:val="Normal"/>
        <w:tabs>
          <w:tab w:val="clear" w:pos="708"/>
          <w:tab w:val="left" w:pos="360" w:leader="none"/>
        </w:tabs>
        <w:spacing w:lineRule="auto" w:line="240" w:before="0" w:after="0"/>
        <w:jc w:val="both"/>
        <w:rPr>
          <w:rFonts w:ascii="Arial" w:hAnsi="Arial" w:eastAsia="Times New Roman" w:cs="Arial"/>
          <w:b/>
        </w:rPr>
      </w:pPr>
      <w:r>
        <w:rPr>
          <w:rFonts w:eastAsia="Times New Roman" w:cs="Arial" w:ascii="Arial" w:hAnsi="Arial"/>
          <w:b/>
        </w:rPr>
      </w:r>
    </w:p>
    <w:p>
      <w:pPr>
        <w:pStyle w:val="Normal"/>
        <w:tabs>
          <w:tab w:val="clear" w:pos="708"/>
          <w:tab w:val="left" w:pos="360" w:leader="none"/>
        </w:tabs>
        <w:spacing w:lineRule="auto" w:line="360" w:before="0" w:after="0"/>
        <w:jc w:val="both"/>
        <w:rPr/>
      </w:pPr>
      <w:r>
        <w:rPr>
          <w:rFonts w:eastAsia="Arial" w:cs="Arial" w:ascii="Arial" w:hAnsi="Arial"/>
        </w:rPr>
        <w:t>Sprzęt musi być fabrycznie nowy, kompletny, wolny od wad fizycznych i prawnych oraz spełniać wszystkie wymagania wskazane w niniejszym OPZ. Parametry określone jako „minimum” mogą być wyższe, a określone jako „maksimum” — niższe, jeżeli nie pogarsza to funkcjonalności, bezpieczeństwa ani kosztów eksploatacji. Dla parametrów opisanych funkcjonalnie dopuszcza się rozwiązania równoważne zapewniające co najmniej ten sam efekt.</w:t>
      </w:r>
    </w:p>
    <w:p>
      <w:pPr>
        <w:pStyle w:val="Standard"/>
        <w:numPr>
          <w:ilvl w:val="0"/>
          <w:numId w:val="14"/>
        </w:numPr>
        <w:tabs>
          <w:tab w:val="clear" w:pos="708"/>
          <w:tab w:val="left" w:pos="426" w:leader="none"/>
        </w:tabs>
        <w:ind w:hanging="426" w:start="426"/>
        <w:jc w:val="both"/>
        <w:rPr>
          <w:rFonts w:ascii="Arial" w:hAnsi="Arial" w:cs="Arial"/>
          <w:sz w:val="22"/>
          <w:szCs w:val="22"/>
        </w:rPr>
      </w:pPr>
      <w:r>
        <w:rPr>
          <w:rFonts w:cs="Arial" w:ascii="Arial" w:hAnsi="Arial"/>
          <w:b/>
          <w:bCs/>
          <w:sz w:val="22"/>
          <w:szCs w:val="22"/>
        </w:rPr>
        <w:t>CHARAKTERYSTYKA TECHNICZNA KOPARKO - ŁADOWARKI:</w:t>
        <w:tab/>
      </w:r>
    </w:p>
    <w:p>
      <w:pPr>
        <w:pStyle w:val="ListParagraph"/>
        <w:numPr>
          <w:ilvl w:val="0"/>
          <w:numId w:val="15"/>
        </w:numPr>
        <w:spacing w:lineRule="auto" w:line="360" w:before="0" w:after="0"/>
        <w:ind w:hanging="567" w:start="993"/>
        <w:contextualSpacing/>
        <w:jc w:val="both"/>
        <w:textAlignment w:val="baseline"/>
        <w:rPr/>
      </w:pPr>
      <w:r>
        <w:rPr>
          <w:rFonts w:eastAsia="Arial" w:cs="Arial" w:ascii="Arial" w:hAnsi="Arial"/>
        </w:rPr>
        <w:t>maszyna fabrycznie nowa, nieużywana, wyprodukowana nie wcześniej niż w 2026 r.; technicznie przystosowana do zgodnego z prawem poruszania się po drogach publicznych jako pojazd budowlany wolnobieżny albo w innej kategorii właściwej dla oferowanej konstrukcji, wyposażona co najmniej w wymagane prawem oświetlenie i sygnalizację, lusterka, sygnał dźwiękowy, prędkościomierz — jeżeli wymagany dla danej konstrukcji — pas bezpieczeństwa, lampę ostrzegawczą barwy żółtej samochodowej, trójkąt ostrzegawczy, apteczkę i gaśnicę,</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masa eksploatacyjna maszyny od 8 000 kg do 9 500 kg, ustalona według danych producenta dla konfiguracji oferowanej Zamawiającemu,</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długość transportowa maszyny nie większa niż 6,50 m, mierzona w konfiguracji transportowej opisanej w dokumentacji producenta,</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silnik wysokoprężny turbodoładowany o mocy znamionowej co najmniej 74KM (około 54,4 KW), podanej według ISO 14396 lub równoważnej metody, i maksymalnym momencie obrotowym co najmniej 390 Nm; silnik musi spełniać normę emisji Stage V. Dopuszcza się każdą zgodną z prawem technologię oczyszczania spalin, w tym z użyciem lub bez użycia płynu AdBlue/DEF,</w:t>
      </w:r>
    </w:p>
    <w:p>
      <w:pPr>
        <w:pStyle w:val="ListParagraph"/>
        <w:numPr>
          <w:ilvl w:val="0"/>
          <w:numId w:val="9"/>
        </w:numPr>
        <w:spacing w:lineRule="auto" w:line="360" w:before="0" w:after="0"/>
        <w:ind w:hanging="567" w:start="993"/>
        <w:contextualSpacing/>
        <w:jc w:val="both"/>
        <w:textAlignment w:val="baseline"/>
        <w:rPr/>
      </w:pPr>
      <w:r>
        <w:rPr>
          <w:rFonts w:cs="Arial" w:ascii="Arial" w:hAnsi="Arial"/>
        </w:rPr>
        <w:t>napęd koparko-ładowarki na dwie osie, możliwość napędu na jedną oś,</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ogumienie przemysłowe przeznaczone do koparko-ładowarek, dobrane i homologowane przez producenta maszyny do jej masy, prędkości i pracy na nawierzchniach gruntowych oraz utwardzonych; tylne koła większe od przednich,</w:t>
      </w:r>
    </w:p>
    <w:p>
      <w:pPr>
        <w:pStyle w:val="ListParagraph"/>
        <w:numPr>
          <w:ilvl w:val="0"/>
          <w:numId w:val="9"/>
        </w:numPr>
        <w:spacing w:lineRule="auto" w:line="360" w:before="0" w:after="0"/>
        <w:ind w:hanging="567" w:start="993"/>
        <w:contextualSpacing/>
        <w:jc w:val="both"/>
        <w:textAlignment w:val="baseline"/>
        <w:rPr/>
      </w:pPr>
      <w:r>
        <w:rPr>
          <w:rFonts w:cs="Arial" w:ascii="Arial" w:hAnsi="Arial"/>
        </w:rPr>
        <w:t>przednia oś wychylna, przednie koła skrętne;</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 xml:space="preserve">skrzynia biegów typu „Autoshift” automatyczna, która samodzielnie zmienia przełożenia bez udziału kierowcy w zależności od prędkości jazdy, z co najmniej 4 biegami do przodu i 3 biegami do tyłu; prędkość maksymalna maszyny co najmniej 35 km/h, o ile jest dopuszczalna dla jej kategorii ruchowej, </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układ przeniesienia napędu zapewniający ograniczenie strat poślizgu zmiennika momentu obrotowego przy jeździe transportowej, przez blokadę zmiennika,</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zasadniczy układ hamulcowy zgodny z wymaganiami dla oferowanej kategorii maszyny, hydrauliczny, mokry i samoregulujący,</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układ hydrauliczny typu load-sensing, automatycznie dostosowujący przepływ i ciśnienie do zapotrzebowania osprzętu,</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układ hydrauliczny o wydajności pompy co najmniej 150 l/min i maksymalnym ciśnieniu roboczym co najmniej 230 bar,</w:t>
      </w:r>
    </w:p>
    <w:p>
      <w:pPr>
        <w:pStyle w:val="ListParagraph"/>
        <w:numPr>
          <w:ilvl w:val="0"/>
          <w:numId w:val="9"/>
        </w:numPr>
        <w:spacing w:lineRule="auto" w:line="360" w:before="0" w:after="0"/>
        <w:ind w:hanging="567" w:start="993"/>
        <w:contextualSpacing/>
        <w:jc w:val="both"/>
        <w:textAlignment w:val="baseline"/>
        <w:rPr/>
      </w:pPr>
      <w:r>
        <w:rPr>
          <w:rFonts w:cs="Arial" w:ascii="Arial" w:hAnsi="Arial"/>
        </w:rPr>
        <w:t xml:space="preserve">stabilizatory tylne niezależne, wysuwane hydraulicznie wyposażone w podkładki gumowe </w:t>
      </w:r>
    </w:p>
    <w:p>
      <w:pPr>
        <w:pStyle w:val="ListParagraph"/>
        <w:numPr>
          <w:ilvl w:val="0"/>
          <w:numId w:val="9"/>
        </w:numPr>
        <w:spacing w:lineRule="auto" w:line="360" w:before="0" w:after="0"/>
        <w:ind w:hanging="567" w:start="993"/>
        <w:contextualSpacing/>
        <w:jc w:val="both"/>
        <w:textAlignment w:val="baseline"/>
        <w:rPr/>
      </w:pPr>
      <w:r>
        <w:rPr>
          <w:rFonts w:cs="Arial" w:ascii="Arial" w:hAnsi="Arial"/>
        </w:rPr>
        <w:t>błotniki kół przednich i tylnych, skrzynka narzędziowa - wyposażona w zestaw podstawowych narzędzi, immobiliser,</w:t>
      </w:r>
    </w:p>
    <w:p>
      <w:pPr>
        <w:pStyle w:val="ListParagraph"/>
        <w:numPr>
          <w:ilvl w:val="0"/>
          <w:numId w:val="9"/>
        </w:numPr>
        <w:spacing w:lineRule="auto" w:line="360" w:before="0" w:after="0"/>
        <w:ind w:hanging="567" w:start="993"/>
        <w:contextualSpacing/>
        <w:jc w:val="both"/>
        <w:textAlignment w:val="baseline"/>
        <w:rPr/>
      </w:pPr>
      <w:r>
        <w:rPr>
          <w:rFonts w:cs="Arial" w:ascii="Arial" w:hAnsi="Arial"/>
        </w:rPr>
        <w:t>kabina operatora z obrotowym fotelem, spełniająca wymagania konstrukcji ochronnej ROPS i FOPS, poziom hałasu w kabinie max 80dB.</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kabina klimatyzowana; fotel operatora podgrzewany, z zawieszeniem pneumatycznym zapewniającym regulację i tłumienie drgań,</w:t>
      </w:r>
    </w:p>
    <w:p>
      <w:pPr>
        <w:pStyle w:val="ListParagraph"/>
        <w:numPr>
          <w:ilvl w:val="0"/>
          <w:numId w:val="9"/>
        </w:numPr>
        <w:spacing w:lineRule="auto" w:line="360" w:before="0" w:after="0"/>
        <w:ind w:hanging="567" w:start="993"/>
        <w:contextualSpacing/>
        <w:jc w:val="both"/>
        <w:textAlignment w:val="baseline"/>
        <w:rPr/>
      </w:pPr>
      <w:r>
        <w:rPr>
          <w:rFonts w:eastAsia="Arial" w:cs="Arial" w:ascii="Arial" w:hAnsi="Arial"/>
        </w:rPr>
        <w:t>zbiornik paliwa o pojemności co najmniej 120 l albo zapewniający co najmniej 8 godzin pracy w typowym cyklu roboczym deklarowanym przez producenta,</w:t>
      </w:r>
    </w:p>
    <w:p>
      <w:pPr>
        <w:pStyle w:val="ListParagraph"/>
        <w:spacing w:lineRule="auto" w:line="240" w:before="0" w:after="0"/>
        <w:ind w:start="0"/>
        <w:contextualSpacing/>
        <w:jc w:val="both"/>
        <w:rPr>
          <w:rFonts w:ascii="Arial" w:hAnsi="Arial" w:cs="Arial"/>
          <w:b/>
        </w:rPr>
      </w:pPr>
      <w:r>
        <w:rPr>
          <w:rFonts w:cs="Arial" w:ascii="Arial" w:hAnsi="Arial"/>
          <w:b/>
        </w:rPr>
      </w:r>
    </w:p>
    <w:p>
      <w:pPr>
        <w:pStyle w:val="ListParagraph"/>
        <w:numPr>
          <w:ilvl w:val="0"/>
          <w:numId w:val="5"/>
        </w:numPr>
        <w:spacing w:lineRule="auto" w:line="240" w:before="0" w:after="0"/>
        <w:ind w:hanging="426" w:start="426"/>
        <w:contextualSpacing/>
        <w:jc w:val="both"/>
        <w:rPr>
          <w:rFonts w:ascii="Arial" w:hAnsi="Arial" w:cs="Arial"/>
        </w:rPr>
      </w:pPr>
      <w:r>
        <w:rPr>
          <w:rFonts w:cs="Arial" w:ascii="Arial" w:hAnsi="Arial"/>
          <w:b/>
        </w:rPr>
        <w:t>OSPRZET ŁADOWARKOWY KOPARKO - ŁADOWARKI:</w:t>
      </w:r>
    </w:p>
    <w:p>
      <w:pPr>
        <w:pStyle w:val="ListParagraph"/>
        <w:numPr>
          <w:ilvl w:val="0"/>
          <w:numId w:val="16"/>
        </w:numPr>
        <w:spacing w:lineRule="auto" w:line="360" w:before="0" w:after="0"/>
        <w:ind w:hanging="567" w:start="993"/>
        <w:contextualSpacing/>
        <w:jc w:val="both"/>
        <w:textAlignment w:val="baseline"/>
        <w:rPr/>
      </w:pPr>
      <w:r>
        <w:rPr>
          <w:rFonts w:eastAsia="Arial" w:cs="Arial" w:ascii="Arial" w:hAnsi="Arial"/>
        </w:rPr>
        <w:t>sterowanie ramieniem ładowarkowym za pomocą co najmniej jednego ergonomicznego joysticka; joystick może być zintegrowany z fotelem, podłokietnikiem lub konsolą,</w:t>
      </w:r>
    </w:p>
    <w:p>
      <w:pPr>
        <w:pStyle w:val="ListParagraph"/>
        <w:numPr>
          <w:ilvl w:val="0"/>
          <w:numId w:val="10"/>
        </w:numPr>
        <w:spacing w:lineRule="auto" w:line="360" w:before="0" w:after="0"/>
        <w:ind w:hanging="567" w:start="993"/>
        <w:contextualSpacing/>
        <w:jc w:val="both"/>
        <w:textAlignment w:val="baseline"/>
        <w:rPr/>
      </w:pPr>
      <w:r>
        <w:rPr>
          <w:rFonts w:cs="Arial" w:ascii="Arial" w:hAnsi="Arial"/>
        </w:rPr>
        <w:t>system zapewniający samopoziomowanie łyżki ładowarkowej oraz układ stabilizacji łyżki ładowarkowej,</w:t>
      </w:r>
    </w:p>
    <w:p>
      <w:pPr>
        <w:pStyle w:val="ListParagraph"/>
        <w:numPr>
          <w:ilvl w:val="0"/>
          <w:numId w:val="10"/>
        </w:numPr>
        <w:spacing w:lineRule="auto" w:line="360" w:before="0" w:after="0"/>
        <w:ind w:hanging="567" w:start="993"/>
        <w:contextualSpacing/>
        <w:jc w:val="both"/>
        <w:textAlignment w:val="baseline"/>
        <w:rPr/>
      </w:pPr>
      <w:r>
        <w:rPr>
          <w:rFonts w:cs="Arial" w:ascii="Arial" w:hAnsi="Arial"/>
        </w:rPr>
        <w:t>układ powrotu łyżki ładowarkowej do pozycji ładowania,</w:t>
      </w:r>
    </w:p>
    <w:p>
      <w:pPr>
        <w:pStyle w:val="ListParagraph"/>
        <w:numPr>
          <w:ilvl w:val="0"/>
          <w:numId w:val="10"/>
        </w:numPr>
        <w:spacing w:lineRule="auto" w:line="360" w:before="0" w:after="0"/>
        <w:ind w:hanging="567" w:start="993"/>
        <w:contextualSpacing/>
        <w:jc w:val="both"/>
        <w:textAlignment w:val="baseline"/>
        <w:rPr/>
      </w:pPr>
      <w:r>
        <w:rPr>
          <w:rFonts w:eastAsia="Arial" w:cs="Arial" w:ascii="Arial" w:hAnsi="Arial"/>
        </w:rPr>
        <w:t>łyżka ładowarkowa dzielona (otwierana), wielofunkcyjna, umożliwiająca co najmniej: ładowanie, kopanie, chwytanie, wyrównywanie; spychanie i zasypywanie,</w:t>
      </w:r>
    </w:p>
    <w:p>
      <w:pPr>
        <w:pStyle w:val="ListParagraph"/>
        <w:numPr>
          <w:ilvl w:val="0"/>
          <w:numId w:val="10"/>
        </w:numPr>
        <w:spacing w:lineRule="auto" w:line="360" w:before="0" w:after="0"/>
        <w:ind w:hanging="567" w:start="993"/>
        <w:contextualSpacing/>
        <w:jc w:val="both"/>
        <w:textAlignment w:val="baseline"/>
        <w:rPr/>
      </w:pPr>
      <w:r>
        <w:rPr>
          <w:rFonts w:eastAsia="Arial" w:cs="Arial" w:ascii="Arial" w:hAnsi="Arial"/>
        </w:rPr>
        <w:t>widły do palet montowane na łyżce ładowarkowej albo na szybkozłączu, z udźwigiem co najmniej 1 500 kg przy środku ciężkości 500 mm, potwierdzonym przez producenta dla oferowanej konfiguracji,</w:t>
      </w:r>
    </w:p>
    <w:p>
      <w:pPr>
        <w:pStyle w:val="ListParagraph"/>
        <w:numPr>
          <w:ilvl w:val="0"/>
          <w:numId w:val="10"/>
        </w:numPr>
        <w:spacing w:lineRule="auto" w:line="360" w:before="0" w:after="0"/>
        <w:ind w:hanging="567" w:start="993"/>
        <w:contextualSpacing/>
        <w:jc w:val="both"/>
        <w:textAlignment w:val="baseline"/>
        <w:rPr/>
      </w:pPr>
      <w:r>
        <w:rPr>
          <w:rFonts w:eastAsia="Arial" w:cs="Arial" w:ascii="Arial" w:hAnsi="Arial"/>
        </w:rPr>
        <w:t>pojemność łyżki ładowarkowej co najmniej 1,0 m³; szerokość nie większa niż 2,55 m,</w:t>
      </w:r>
    </w:p>
    <w:p>
      <w:pPr>
        <w:pStyle w:val="ListParagraph"/>
        <w:numPr>
          <w:ilvl w:val="0"/>
          <w:numId w:val="10"/>
        </w:numPr>
        <w:spacing w:lineRule="auto" w:line="360" w:before="0" w:after="0"/>
        <w:ind w:hanging="567" w:start="993"/>
        <w:contextualSpacing/>
        <w:jc w:val="both"/>
        <w:textAlignment w:val="baseline"/>
        <w:rPr/>
      </w:pPr>
      <w:r>
        <w:rPr>
          <w:rFonts w:eastAsia="Arial" w:cs="Arial" w:ascii="Arial" w:hAnsi="Arial"/>
        </w:rPr>
        <w:t>osłony siłowników łyżki dzielonej zabezpieczającej przed uszkodzeniem w normalnych warunkach pracy,</w:t>
      </w:r>
    </w:p>
    <w:p>
      <w:pPr>
        <w:pStyle w:val="ListParagraph"/>
        <w:numPr>
          <w:ilvl w:val="0"/>
          <w:numId w:val="10"/>
        </w:numPr>
        <w:spacing w:lineRule="auto" w:line="360" w:before="0" w:after="0"/>
        <w:ind w:hanging="567" w:start="993"/>
        <w:contextualSpacing/>
        <w:jc w:val="both"/>
        <w:textAlignment w:val="baseline"/>
        <w:rPr/>
      </w:pPr>
      <w:r>
        <w:rPr>
          <w:rFonts w:cs="Arial" w:ascii="Arial" w:hAnsi="Arial"/>
        </w:rPr>
        <w:t>maksymalna wysokość załadunku minimum 3,0 m,</w:t>
      </w:r>
    </w:p>
    <w:p>
      <w:pPr>
        <w:pStyle w:val="ListParagraph"/>
        <w:numPr>
          <w:ilvl w:val="0"/>
          <w:numId w:val="10"/>
        </w:numPr>
        <w:spacing w:lineRule="auto" w:line="360" w:before="0" w:after="0"/>
        <w:ind w:hanging="567" w:start="993"/>
        <w:contextualSpacing/>
        <w:jc w:val="both"/>
        <w:textAlignment w:val="baseline"/>
        <w:rPr/>
      </w:pPr>
      <w:r>
        <w:rPr>
          <w:rFonts w:eastAsia="Arial" w:cs="Arial" w:ascii="Arial" w:hAnsi="Arial"/>
        </w:rPr>
        <w:t>udźwig łyżki ładowarkowej na pełnej wysokości co najmniej 3 000 kg,</w:t>
      </w:r>
    </w:p>
    <w:p>
      <w:pPr>
        <w:pStyle w:val="ListParagraph"/>
        <w:spacing w:lineRule="auto" w:line="240" w:before="0" w:after="0"/>
        <w:ind w:hanging="567" w:start="993"/>
        <w:contextualSpacing/>
        <w:jc w:val="both"/>
        <w:rPr>
          <w:rFonts w:ascii="Arial" w:hAnsi="Arial" w:cs="Arial"/>
        </w:rPr>
      </w:pPr>
      <w:r>
        <w:rPr>
          <w:rFonts w:cs="Arial" w:ascii="Arial" w:hAnsi="Arial"/>
        </w:rPr>
      </w:r>
    </w:p>
    <w:p>
      <w:pPr>
        <w:pStyle w:val="ListParagraph"/>
        <w:numPr>
          <w:ilvl w:val="0"/>
          <w:numId w:val="6"/>
        </w:numPr>
        <w:spacing w:lineRule="auto" w:line="240" w:before="0" w:after="0"/>
        <w:ind w:hanging="426" w:start="426"/>
        <w:contextualSpacing/>
        <w:jc w:val="both"/>
        <w:rPr>
          <w:rFonts w:ascii="Arial" w:hAnsi="Arial" w:cs="Arial"/>
        </w:rPr>
      </w:pPr>
      <w:r>
        <w:rPr>
          <w:rFonts w:cs="Arial" w:ascii="Arial" w:hAnsi="Arial"/>
          <w:b/>
        </w:rPr>
        <w:t>OSPRZET KOPARKOWY PODSIĘBIERNY KOPARKO – ŁADOWARKI:</w:t>
      </w:r>
    </w:p>
    <w:p>
      <w:pPr>
        <w:pStyle w:val="ListParagraph"/>
        <w:numPr>
          <w:ilvl w:val="0"/>
          <w:numId w:val="17"/>
        </w:numPr>
        <w:spacing w:lineRule="auto" w:line="360" w:before="0" w:after="0"/>
        <w:ind w:hanging="567" w:start="993"/>
        <w:contextualSpacing/>
        <w:jc w:val="both"/>
        <w:textAlignment w:val="baseline"/>
        <w:rPr/>
      </w:pPr>
      <w:r>
        <w:rPr>
          <w:rFonts w:eastAsia="Arial" w:cs="Arial" w:ascii="Arial" w:hAnsi="Arial"/>
        </w:rPr>
        <w:t>sterowanie ramieniem koparkowym za pomocą joysticków ergonomicznie dostępnych z pozycji roboczej operatora; joysticki mogą być zintegrowane z fotelem, podłokietnikami lub konsolą,</w:t>
      </w:r>
    </w:p>
    <w:p>
      <w:pPr>
        <w:pStyle w:val="ListParagraph"/>
        <w:numPr>
          <w:ilvl w:val="0"/>
          <w:numId w:val="11"/>
        </w:numPr>
        <w:spacing w:lineRule="auto" w:line="360" w:before="0" w:after="0"/>
        <w:ind w:hanging="567" w:start="993"/>
        <w:contextualSpacing/>
        <w:jc w:val="both"/>
        <w:textAlignment w:val="baseline"/>
        <w:rPr/>
      </w:pPr>
      <w:r>
        <w:rPr>
          <w:rFonts w:eastAsia="Arial" w:cs="Arial" w:ascii="Arial" w:hAnsi="Arial"/>
        </w:rPr>
        <w:t>możliwość bocznego przesuwu wysięgnika koparkowego, realizowanego mechanicznie lub hydraulicznie,</w:t>
      </w:r>
    </w:p>
    <w:p>
      <w:pPr>
        <w:pStyle w:val="ListParagraph"/>
        <w:numPr>
          <w:ilvl w:val="0"/>
          <w:numId w:val="11"/>
        </w:numPr>
        <w:spacing w:lineRule="auto" w:line="360" w:before="0" w:after="0"/>
        <w:ind w:hanging="567" w:start="993"/>
        <w:contextualSpacing/>
        <w:jc w:val="both"/>
        <w:textAlignment w:val="baseline"/>
        <w:rPr/>
      </w:pPr>
      <w:r>
        <w:rPr>
          <w:rFonts w:eastAsia="Arial" w:cs="Arial" w:ascii="Arial" w:hAnsi="Arial"/>
        </w:rPr>
        <w:t>łyżka koparkowa o szerokości 300 mm ± 50 mm,</w:t>
      </w:r>
    </w:p>
    <w:p>
      <w:pPr>
        <w:pStyle w:val="ListParagraph"/>
        <w:numPr>
          <w:ilvl w:val="0"/>
          <w:numId w:val="11"/>
        </w:numPr>
        <w:spacing w:lineRule="auto" w:line="360" w:before="0" w:after="0"/>
        <w:ind w:hanging="567" w:start="993"/>
        <w:contextualSpacing/>
        <w:jc w:val="both"/>
        <w:textAlignment w:val="baseline"/>
        <w:rPr/>
      </w:pPr>
      <w:r>
        <w:rPr>
          <w:rFonts w:eastAsia="Arial" w:cs="Arial" w:ascii="Arial" w:hAnsi="Arial"/>
        </w:rPr>
        <w:t>łyżka koparkowa o szerokości 600 mm ± 50 mm,</w:t>
      </w:r>
    </w:p>
    <w:p>
      <w:pPr>
        <w:pStyle w:val="ListParagraph"/>
        <w:numPr>
          <w:ilvl w:val="0"/>
          <w:numId w:val="11"/>
        </w:numPr>
        <w:spacing w:lineRule="auto" w:line="360" w:before="0" w:after="0"/>
        <w:ind w:hanging="567" w:start="993"/>
        <w:contextualSpacing/>
        <w:jc w:val="both"/>
        <w:textAlignment w:val="baseline"/>
        <w:rPr/>
      </w:pPr>
      <w:r>
        <w:rPr>
          <w:rFonts w:eastAsia="Arial" w:cs="Arial" w:ascii="Arial" w:hAnsi="Arial"/>
        </w:rPr>
        <w:t>łyżka skarpowa uchylna o szerokości od 1 500 mm do 1 800 mm,</w:t>
      </w:r>
    </w:p>
    <w:p>
      <w:pPr>
        <w:pStyle w:val="ListParagraph"/>
        <w:numPr>
          <w:ilvl w:val="0"/>
          <w:numId w:val="11"/>
        </w:numPr>
        <w:spacing w:lineRule="auto" w:line="360" w:before="0" w:after="0"/>
        <w:ind w:hanging="567" w:start="993"/>
        <w:contextualSpacing/>
        <w:jc w:val="both"/>
        <w:textAlignment w:val="baseline"/>
        <w:rPr/>
      </w:pPr>
      <w:r>
        <w:rPr>
          <w:rFonts w:eastAsia="Arial" w:cs="Arial" w:ascii="Arial" w:hAnsi="Arial"/>
        </w:rPr>
        <w:t>szybkozłącze koparkowe mechaniczne albo hydrauliczne, kompatybilne z dostarczonym osprzętem i wyposażone w zabezpieczenie przed niezamierzonym rozłączeniem,</w:t>
      </w:r>
    </w:p>
    <w:p>
      <w:pPr>
        <w:pStyle w:val="ListParagraph"/>
        <w:numPr>
          <w:ilvl w:val="0"/>
          <w:numId w:val="11"/>
        </w:numPr>
        <w:spacing w:lineRule="auto" w:line="360" w:before="0" w:after="0"/>
        <w:ind w:hanging="567" w:start="993"/>
        <w:contextualSpacing/>
        <w:jc w:val="both"/>
        <w:textAlignment w:val="baseline"/>
        <w:rPr/>
      </w:pPr>
      <w:r>
        <w:rPr>
          <w:rFonts w:cs="Arial" w:ascii="Arial" w:hAnsi="Arial"/>
        </w:rPr>
        <w:t>ramię koparkowe o zmiennej długości, rozsuwane hydraulicznie (teleskopowe),</w:t>
      </w:r>
    </w:p>
    <w:p>
      <w:pPr>
        <w:pStyle w:val="ListParagraph"/>
        <w:numPr>
          <w:ilvl w:val="0"/>
          <w:numId w:val="11"/>
        </w:numPr>
        <w:spacing w:lineRule="auto" w:line="360" w:before="0" w:after="0"/>
        <w:ind w:hanging="567" w:start="993"/>
        <w:contextualSpacing/>
        <w:jc w:val="both"/>
        <w:textAlignment w:val="baseline"/>
        <w:rPr/>
      </w:pPr>
      <w:r>
        <w:rPr>
          <w:rFonts w:cs="Arial" w:ascii="Arial" w:hAnsi="Arial"/>
        </w:rPr>
        <w:t>głębokość kopania minimum 5,20 m,</w:t>
      </w:r>
    </w:p>
    <w:p>
      <w:pPr>
        <w:pStyle w:val="ListParagraph"/>
        <w:numPr>
          <w:ilvl w:val="0"/>
          <w:numId w:val="11"/>
        </w:numPr>
        <w:spacing w:lineRule="auto" w:line="360" w:before="0" w:after="0"/>
        <w:ind w:hanging="567" w:start="993"/>
        <w:contextualSpacing/>
        <w:jc w:val="both"/>
        <w:textAlignment w:val="baseline"/>
        <w:rPr/>
      </w:pPr>
      <w:r>
        <w:rPr>
          <w:rFonts w:cs="Arial" w:ascii="Arial" w:hAnsi="Arial"/>
        </w:rPr>
        <w:t>wysokość załadunku przy złożonym ramieniu (bez wysuwu teleskopowego) minimum 3,5 m,</w:t>
      </w:r>
    </w:p>
    <w:p>
      <w:pPr>
        <w:pStyle w:val="BodyText2"/>
        <w:numPr>
          <w:ilvl w:val="0"/>
          <w:numId w:val="11"/>
        </w:numPr>
        <w:spacing w:lineRule="auto" w:line="360" w:before="0" w:after="0"/>
        <w:ind w:hanging="567" w:start="993"/>
        <w:jc w:val="both"/>
        <w:textAlignment w:val="baseline"/>
        <w:rPr/>
      </w:pPr>
      <w:r>
        <w:rPr>
          <w:rFonts w:eastAsia="Arial" w:cs="Arial" w:ascii="Arial" w:hAnsi="Arial"/>
          <w:sz w:val="22"/>
          <w:szCs w:val="22"/>
        </w:rPr>
        <w:t>udźwig przy złożonym ramieniu co najmniej 1 000 kg,</w:t>
      </w:r>
    </w:p>
    <w:p>
      <w:pPr>
        <w:pStyle w:val="BodyText2"/>
        <w:numPr>
          <w:ilvl w:val="0"/>
          <w:numId w:val="11"/>
        </w:numPr>
        <w:spacing w:lineRule="auto" w:line="360" w:before="0" w:after="0"/>
        <w:ind w:hanging="567" w:start="993"/>
        <w:jc w:val="both"/>
        <w:textAlignment w:val="baseline"/>
        <w:rPr/>
      </w:pPr>
      <w:r>
        <w:rPr>
          <w:rFonts w:eastAsia="Arial" w:cs="Arial" w:ascii="Arial" w:hAnsi="Arial"/>
          <w:sz w:val="22"/>
          <w:szCs w:val="22"/>
        </w:rPr>
        <w:t>co najmniej jedna dwukierunkowa instalacja hydrauliczna na ramieniu koparkowym, umożliwiająca pracę z osprzętem wymagającym przepływu wysokiego lub niskiego ciśnienia;</w:t>
      </w:r>
    </w:p>
    <w:p>
      <w:pPr>
        <w:pStyle w:val="BodyText2"/>
        <w:spacing w:lineRule="auto" w:line="240" w:before="0" w:after="0"/>
        <w:ind w:start="360"/>
        <w:jc w:val="both"/>
        <w:textAlignment w:val="baseline"/>
        <w:rPr>
          <w:rFonts w:ascii="Arial" w:hAnsi="Arial" w:cs="Arial"/>
          <w:sz w:val="22"/>
          <w:szCs w:val="22"/>
        </w:rPr>
      </w:pPr>
      <w:r>
        <w:rPr>
          <w:rFonts w:cs="Arial" w:ascii="Arial" w:hAnsi="Arial"/>
          <w:sz w:val="22"/>
          <w:szCs w:val="22"/>
        </w:rPr>
      </w:r>
    </w:p>
    <w:p>
      <w:pPr>
        <w:pStyle w:val="Standard"/>
        <w:numPr>
          <w:ilvl w:val="0"/>
          <w:numId w:val="7"/>
        </w:numPr>
        <w:ind w:hanging="426" w:start="426"/>
        <w:jc w:val="both"/>
        <w:rPr>
          <w:rFonts w:ascii="Arial" w:hAnsi="Arial" w:cs="Arial"/>
          <w:sz w:val="22"/>
          <w:szCs w:val="22"/>
        </w:rPr>
      </w:pPr>
      <w:r>
        <w:rPr>
          <w:rFonts w:cs="Arial" w:ascii="Arial" w:hAnsi="Arial"/>
          <w:b/>
          <w:bCs/>
          <w:sz w:val="22"/>
          <w:szCs w:val="22"/>
        </w:rPr>
        <w:t>WYMAGANIA DODTKOWE</w:t>
      </w:r>
      <w:r>
        <w:rPr>
          <w:rFonts w:cs="Arial" w:ascii="Arial" w:hAnsi="Arial"/>
          <w:sz w:val="22"/>
          <w:szCs w:val="22"/>
        </w:rPr>
        <w:t>:</w:t>
      </w:r>
    </w:p>
    <w:p>
      <w:pPr>
        <w:pStyle w:val="ListParagraph"/>
        <w:numPr>
          <w:ilvl w:val="0"/>
          <w:numId w:val="18"/>
        </w:numPr>
        <w:spacing w:lineRule="auto" w:line="360" w:before="0" w:after="0"/>
        <w:ind w:hanging="567" w:start="993"/>
        <w:contextualSpacing/>
        <w:jc w:val="both"/>
        <w:textAlignment w:val="baseline"/>
        <w:rPr/>
      </w:pPr>
      <w:r>
        <w:rPr>
          <w:rFonts w:eastAsia="Arial" w:cs="Arial" w:ascii="Arial" w:hAnsi="Arial"/>
        </w:rPr>
        <w:t>Najpóźniej przy odbiorze Wykonawca przekaże dla oferowanej maszyny deklarację zgodności WE z dyrektywą 2006/42/WE, a jeżeli w dniu wprowadzenia maszyny do obrotu zastosowanie będzie miało rozporządzenie (UE) 2023/1230 — deklarację zgodności UE, oraz potwierdzi naniesienie oznakowania CE. Dokument zostanie przekazany w języku polskim.</w:t>
      </w:r>
    </w:p>
    <w:p>
      <w:pPr>
        <w:pStyle w:val="ListParagraph"/>
        <w:numPr>
          <w:ilvl w:val="0"/>
          <w:numId w:val="12"/>
        </w:numPr>
        <w:spacing w:lineRule="auto" w:line="360" w:before="0" w:after="0"/>
        <w:ind w:hanging="567" w:start="993"/>
        <w:contextualSpacing/>
        <w:jc w:val="both"/>
        <w:textAlignment w:val="baseline"/>
        <w:rPr/>
      </w:pPr>
      <w:r>
        <w:rPr>
          <w:rFonts w:eastAsia="Arial" w:cs="Arial" w:ascii="Arial" w:hAnsi="Arial"/>
        </w:rPr>
        <w:t>Wykonawca w cenie przeszkoli co najmniej 3 osoby wskazane przez Zamawiającego w miejscu dostawy, w języku polskim, w zakresie bezpiecznej obsługi, codziennej konserwacji, podstaw diagnostyki i obsługi osprzętu; szkolenie zostanie potwierdzone protokołem.</w:t>
      </w:r>
    </w:p>
    <w:p>
      <w:pPr>
        <w:pStyle w:val="ListParagraph"/>
        <w:numPr>
          <w:ilvl w:val="0"/>
          <w:numId w:val="12"/>
        </w:numPr>
        <w:spacing w:lineRule="auto" w:line="360" w:before="0" w:after="0"/>
        <w:ind w:hanging="567" w:start="993"/>
        <w:contextualSpacing/>
        <w:jc w:val="both"/>
        <w:textAlignment w:val="baseline"/>
        <w:rPr/>
      </w:pPr>
      <w:r>
        <w:rPr>
          <w:rFonts w:eastAsia="Arial" w:cs="Arial" w:ascii="Arial" w:hAnsi="Arial"/>
        </w:rPr>
        <w:t xml:space="preserve">W okresie gwarancji Wykonawca zapewni przyjęcie zgłoszenia całodobowo drogą elektroniczną, reakcję serwisu nie później niż w ciągu 2 dni roboczych i, co do zasady, naprawę w miejscu użytkowania. Jeżeli transport do serwisu będzie konieczny, organizuje go i ponosi jego koszt oraz ryzyko Wykonawca. </w:t>
      </w:r>
      <w:r>
        <w:rPr>
          <w:rFonts w:eastAsia="Arial" w:cs="Arial" w:ascii="Arial" w:hAnsi="Arial"/>
          <w:b/>
          <w:bCs/>
        </w:rPr>
        <w:t xml:space="preserve">Wykonawca zapewnia, że autoryzowany stacjonarny punkt serwisowy napraw gwarancyjnych i po-gwarancyjnych znajduje w odległości nie większej niż 150 km od siedziby zamawiającego tj. </w:t>
      </w:r>
      <w:r>
        <w:rPr>
          <w:rFonts w:eastAsia="Arial" w:cs="Arial" w:ascii="Arial" w:hAnsi="Arial"/>
          <w:b/>
          <w:bCs/>
        </w:rPr>
        <w:t xml:space="preserve">Miłkowice </w:t>
      </w:r>
      <w:r>
        <w:rPr>
          <w:rFonts w:eastAsia="Arial" w:cs="Arial" w:ascii="Arial" w:hAnsi="Arial"/>
          <w:b/>
          <w:bCs/>
        </w:rPr>
        <w:t xml:space="preserve">ul. Wojska Polskiego </w:t>
      </w:r>
      <w:r>
        <w:rPr>
          <w:rFonts w:eastAsia="Arial" w:cs="Arial" w:ascii="Arial" w:hAnsi="Arial"/>
          <w:b/>
          <w:bCs/>
        </w:rPr>
        <w:t>71.</w:t>
      </w:r>
    </w:p>
    <w:p>
      <w:pPr>
        <w:pStyle w:val="ListParagraph"/>
        <w:numPr>
          <w:ilvl w:val="0"/>
          <w:numId w:val="12"/>
        </w:numPr>
        <w:spacing w:lineRule="auto" w:line="360" w:before="0" w:after="0"/>
        <w:ind w:hanging="567" w:start="993"/>
        <w:contextualSpacing/>
        <w:jc w:val="both"/>
        <w:textAlignment w:val="baseline"/>
        <w:rPr>
          <w:rFonts w:ascii="Arial" w:hAnsi="Arial" w:cs="Arial"/>
        </w:rPr>
      </w:pPr>
      <w:r>
        <w:rPr>
          <w:rFonts w:eastAsia="Arial" w:cs="Arial" w:ascii="Arial" w:hAnsi="Arial"/>
        </w:rPr>
        <w:t>Koparko-ładowarka musi być wyposażona na okres 5 lat od odbioru w fabryczny albo niezależny, w pełni kompatybilny system telematyczny GPS, zapewniający Zamawiającemu dostęp przez przeglądarkę lub aplikację co najmniej do: lokalizacji i postoju maszyny, liczby motogodzin, zużycia paliwa oraz trybów pracy — o ile dane te są udostępniane przez interfejs maszyny. Cena obejmuje urządzenie, transmisję, licencje i dostęp.</w:t>
      </w:r>
    </w:p>
    <w:p>
      <w:pPr>
        <w:pStyle w:val="ListParagraph"/>
        <w:numPr>
          <w:ilvl w:val="0"/>
          <w:numId w:val="12"/>
        </w:numPr>
        <w:spacing w:lineRule="auto" w:line="360" w:before="0" w:after="0"/>
        <w:ind w:hanging="567" w:start="993"/>
        <w:contextualSpacing/>
        <w:jc w:val="both"/>
        <w:textAlignment w:val="baseline"/>
        <w:rPr/>
      </w:pPr>
      <w:r>
        <w:rPr>
          <w:rFonts w:eastAsia="Arial" w:cs="Arial" w:ascii="Arial" w:hAnsi="Arial"/>
        </w:rPr>
        <w:t>Gwarancja jakości musi wynosić 36 miesięcy albo 3 000 motogodzin — w zależności od tego, który z tych limitów upłynie wcześniej — licząc od dnia podpisania protokołu odbioru bez wad istotnych; rękojmia nie zostaje wyłączona ani ograniczona.</w:t>
      </w:r>
    </w:p>
    <w:p>
      <w:pPr>
        <w:pStyle w:val="ListParagraph"/>
        <w:numPr>
          <w:ilvl w:val="0"/>
          <w:numId w:val="12"/>
        </w:numPr>
        <w:spacing w:lineRule="auto" w:line="360" w:before="0" w:after="0"/>
        <w:ind w:hanging="567" w:start="993"/>
        <w:contextualSpacing/>
        <w:jc w:val="both"/>
        <w:textAlignment w:val="baseline"/>
        <w:rPr/>
      </w:pPr>
      <w:r>
        <w:rPr>
          <w:rFonts w:cs="Arial" w:ascii="Arial" w:hAnsi="Arial"/>
        </w:rPr>
        <w:t>Wykonawca w cenie zapewnia pakiet co najmniej 5 obowiązkowych przeglądów serwisowych do osiągniecia 2000 mth wraz z dojazdami w obie strony, robocizną, materiałami eksploatacyjnymi i częściami zamiennymi.</w:t>
      </w:r>
    </w:p>
    <w:p>
      <w:pPr>
        <w:pStyle w:val="Normal"/>
        <w:spacing w:lineRule="auto" w:line="360" w:before="0" w:after="0"/>
        <w:jc w:val="both"/>
        <w:rPr>
          <w:rFonts w:ascii="Arial" w:hAnsi="Arial" w:cs="Arial"/>
          <w:bCs/>
        </w:rPr>
      </w:pPr>
      <w:r>
        <w:rPr>
          <w:rFonts w:cs="Arial" w:ascii="Arial" w:hAnsi="Arial"/>
          <w:bCs/>
        </w:rPr>
      </w:r>
    </w:p>
    <w:p>
      <w:pPr>
        <w:pStyle w:val="Normal"/>
        <w:spacing w:lineRule="auto" w:line="360" w:before="0" w:after="0"/>
        <w:jc w:val="both"/>
        <w:rPr/>
      </w:pPr>
      <w:r>
        <w:rPr>
          <w:rFonts w:eastAsia="Arial" w:cs="Arial" w:ascii="Arial" w:hAnsi="Arial"/>
        </w:rPr>
        <w:t>Przedmiot zamówienia musi spełniać przepisy i zasadnicze wymagania mające zastosowanie w dniu wprowadzenia go do obrotu lub oddania do użytku, być oznakowany CE oraz posiadać właściwą deklarację zgodności WE albo UE.</w:t>
      </w:r>
    </w:p>
    <w:p>
      <w:pPr>
        <w:pStyle w:val="Normal"/>
        <w:spacing w:lineRule="auto" w:line="360" w:before="0" w:after="0"/>
        <w:jc w:val="both"/>
        <w:rPr>
          <w:rFonts w:ascii="Arial" w:hAnsi="Arial" w:cs="Arial"/>
        </w:rPr>
      </w:pPr>
      <w:r>
        <w:rPr>
          <w:rFonts w:cs="Arial" w:ascii="Arial" w:hAnsi="Arial"/>
        </w:rPr>
      </w:r>
    </w:p>
    <w:p>
      <w:pPr>
        <w:pStyle w:val="Normal"/>
        <w:spacing w:lineRule="auto" w:line="360" w:before="0" w:after="0"/>
        <w:jc w:val="both"/>
        <w:rPr/>
      </w:pPr>
      <w:r>
        <w:rPr>
          <w:rFonts w:eastAsia="Arial" w:cs="Arial" w:ascii="Arial" w:hAnsi="Arial"/>
        </w:rPr>
        <w:t>Przedmiot zamówienia musi być wyposażony we wszystkie systemy wymagane prawem dla oferowanej konfiguracji oraz w wyposażenie wyraźnie wymienione w OPZ i ofercie. Inne wyposażenie standardowe producenta wchodzi w zakres dostawy tylko wtedy, gdy zostało wskazane w ofercie.</w:t>
      </w:r>
    </w:p>
    <w:p>
      <w:pPr>
        <w:pStyle w:val="Normal"/>
        <w:spacing w:lineRule="auto" w:line="360" w:before="0" w:after="0"/>
        <w:jc w:val="both"/>
        <w:rPr>
          <w:rFonts w:ascii="Arial" w:hAnsi="Arial" w:cs="Arial"/>
        </w:rPr>
      </w:pPr>
      <w:r>
        <w:rPr>
          <w:rFonts w:cs="Arial" w:ascii="Arial" w:hAnsi="Arial"/>
        </w:rPr>
      </w:r>
    </w:p>
    <w:p>
      <w:pPr>
        <w:pStyle w:val="Normal"/>
        <w:spacing w:lineRule="auto" w:line="360" w:before="0" w:after="0"/>
        <w:jc w:val="both"/>
        <w:rPr/>
      </w:pPr>
      <w:r>
        <w:rPr>
          <w:rFonts w:eastAsia="Arial" w:cs="Arial" w:ascii="Arial" w:hAnsi="Arial"/>
        </w:rPr>
        <w:t>Wykonawca zapewni realizację gwarancji przez producenta, autoryzowany serwis albo inny profesjonalny podmiot uprawniony do wykonywania napraw bez utraty udzielonej gwarancji. Wykonawca pozostaje wobec Zamawiającego wyłącznie odpowiedzialny za wszystkie świadczenia gwarancyjne, niezależnie od podmiotu wykonującego serwis.</w:t>
      </w:r>
    </w:p>
    <w:p>
      <w:pPr>
        <w:pStyle w:val="Normal"/>
        <w:spacing w:lineRule="auto" w:line="360" w:before="0" w:after="0"/>
        <w:jc w:val="both"/>
        <w:rPr>
          <w:rFonts w:ascii="Arial" w:hAnsi="Arial" w:cs="Arial"/>
        </w:rPr>
      </w:pPr>
      <w:r>
        <w:rPr>
          <w:rFonts w:cs="Arial" w:ascii="Arial" w:hAnsi="Arial"/>
        </w:rPr>
      </w:r>
    </w:p>
    <w:p>
      <w:pPr>
        <w:pStyle w:val="Normal"/>
        <w:spacing w:lineRule="auto" w:line="360" w:before="0" w:after="0"/>
        <w:jc w:val="both"/>
        <w:rPr/>
      </w:pPr>
      <w:r>
        <w:rPr>
          <w:rFonts w:eastAsia="Arial" w:cs="Arial" w:ascii="Arial" w:hAnsi="Arial"/>
        </w:rPr>
        <w:t>Wartości oznaczone jako „minimum” są dolnymi granicami, a wartości oznaczone jako „maksimum” — górnymi granicami.</w:t>
      </w:r>
    </w:p>
    <w:sectPr>
      <w:headerReference w:type="even" r:id="rId2"/>
      <w:headerReference w:type="default" r:id="rId3"/>
      <w:headerReference w:type="first" r:id="rId4"/>
      <w:type w:val="nextPage"/>
      <w:pgSz w:w="11906" w:h="16838"/>
      <w:pgMar w:left="1417" w:right="1417"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Times New Roman">
    <w:charset w:val="ee" w:characterSet="windows-1250"/>
    <w:family w:val="roman"/>
    <w:pitch w:val="variable"/>
  </w:font>
  <w:font w:name="Liberation Sans">
    <w:altName w:val="Arial"/>
    <w:charset w:val="ee" w:characterSet="windows-1250"/>
    <w:family w:val="swiss"/>
    <w:pitch w:val="variable"/>
  </w:font>
  <w:font w:name="Tahoma">
    <w:charset w:val="ee" w:characterSet="windows-1250"/>
    <w:family w:val="swiss"/>
    <w:pitch w:val="variable"/>
  </w:font>
  <w:font w:name="Arial">
    <w:charset w:val="ee" w:characterSet="windows-1250"/>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b/>
      </w:rPr>
      <w:t xml:space="preserve">Zał. Nr 3 </w:t>
    </w:r>
    <w:r>
      <w:rPr>
        <w:b/>
      </w:rPr>
      <w:t>do SWZ</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b/>
      </w:rPr>
      <w:t xml:space="preserve">Zał. Nr 3 </w:t>
    </w:r>
    <w:r>
      <w:rPr>
        <w:b/>
      </w:rPr>
      <w:t>do SWZ</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287"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decimal"/>
      <w:lvlText w:val="%1)"/>
      <w:lvlJc w:val="start"/>
      <w:pPr>
        <w:tabs>
          <w:tab w:val="num" w:pos="0"/>
        </w:tabs>
        <w:ind w:start="1287"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
    <w:lvl w:ilvl="0">
      <w:start w:val="1"/>
      <w:numFmt w:val="decimal"/>
      <w:lvlText w:val="%1)"/>
      <w:lvlJc w:val="start"/>
      <w:pPr>
        <w:tabs>
          <w:tab w:val="num" w:pos="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
    <w:lvl w:ilvl="0">
      <w:start w:val="1"/>
      <w:numFmt w:val="decimal"/>
      <w:lvlText w:val="%1)"/>
      <w:lvlJc w:val="start"/>
      <w:pPr>
        <w:tabs>
          <w:tab w:val="num" w:pos="0"/>
        </w:tabs>
        <w:ind w:start="0" w:hanging="0"/>
      </w:pPr>
      <w:rPr/>
    </w:lvl>
    <w:lvl w:ilvl="1">
      <w:start w:val="0"/>
      <w:numFmt w:val="bullet"/>
      <w:lvlText w:val="o"/>
      <w:lvlJc w:val="start"/>
      <w:pPr>
        <w:tabs>
          <w:tab w:val="num" w:pos="0"/>
        </w:tabs>
        <w:ind w:start="0" w:hanging="0"/>
      </w:pPr>
      <w:rPr>
        <w:rFonts w:ascii="Courier New" w:hAnsi="Courier New" w:cs="Courier New" w:hint="default"/>
      </w:rPr>
    </w:lvl>
    <w:lvl w:ilvl="2">
      <w:start w:val="0"/>
      <w:numFmt w:val="bullet"/>
      <w:lvlText w:val=""/>
      <w:lvlJc w:val="start"/>
      <w:pPr>
        <w:tabs>
          <w:tab w:val="num" w:pos="0"/>
        </w:tabs>
        <w:ind w:start="0" w:hanging="0"/>
      </w:pPr>
      <w:rPr>
        <w:rFonts w:ascii="Wingdings" w:hAnsi="Wingdings" w:cs="Wingdings" w:hint="default"/>
      </w:rPr>
    </w:lvl>
    <w:lvl w:ilvl="3">
      <w:start w:val="0"/>
      <w:numFmt w:val="bullet"/>
      <w:lvlText w:val=""/>
      <w:lvlJc w:val="start"/>
      <w:pPr>
        <w:tabs>
          <w:tab w:val="num" w:pos="0"/>
        </w:tabs>
        <w:ind w:start="0" w:hanging="0"/>
      </w:pPr>
      <w:rPr>
        <w:rFonts w:ascii="Symbol" w:hAnsi="Symbol" w:cs="Symbol" w:hint="default"/>
      </w:rPr>
    </w:lvl>
    <w:lvl w:ilvl="4">
      <w:start w:val="0"/>
      <w:numFmt w:val="bullet"/>
      <w:lvlText w:val="o"/>
      <w:lvlJc w:val="start"/>
      <w:pPr>
        <w:tabs>
          <w:tab w:val="num" w:pos="0"/>
        </w:tabs>
        <w:ind w:start="0" w:hanging="0"/>
      </w:pPr>
      <w:rPr>
        <w:rFonts w:ascii="Courier New" w:hAnsi="Courier New" w:cs="Courier New" w:hint="default"/>
      </w:rPr>
    </w:lvl>
    <w:lvl w:ilvl="5">
      <w:start w:val="0"/>
      <w:numFmt w:val="bullet"/>
      <w:lvlText w:val=""/>
      <w:lvlJc w:val="start"/>
      <w:pPr>
        <w:tabs>
          <w:tab w:val="num" w:pos="0"/>
        </w:tabs>
        <w:ind w:start="0" w:hanging="0"/>
      </w:pPr>
      <w:rPr>
        <w:rFonts w:ascii="Wingdings" w:hAnsi="Wingdings" w:cs="Wingdings" w:hint="default"/>
      </w:rPr>
    </w:lvl>
    <w:lvl w:ilvl="6">
      <w:start w:val="0"/>
      <w:numFmt w:val="bullet"/>
      <w:lvlText w:val=""/>
      <w:lvlJc w:val="start"/>
      <w:pPr>
        <w:tabs>
          <w:tab w:val="num" w:pos="0"/>
        </w:tabs>
        <w:ind w:start="0" w:hanging="0"/>
      </w:pPr>
      <w:rPr>
        <w:rFonts w:ascii="Symbol" w:hAnsi="Symbol" w:cs="Symbol" w:hint="default"/>
      </w:rPr>
    </w:lvl>
    <w:lvl w:ilvl="7">
      <w:start w:val="0"/>
      <w:numFmt w:val="bullet"/>
      <w:lvlText w:val="o"/>
      <w:lvlJc w:val="start"/>
      <w:pPr>
        <w:tabs>
          <w:tab w:val="num" w:pos="0"/>
        </w:tabs>
        <w:ind w:start="0" w:hanging="0"/>
      </w:pPr>
      <w:rPr>
        <w:rFonts w:ascii="Courier New" w:hAnsi="Courier New" w:cs="Courier New" w:hint="default"/>
      </w:rPr>
    </w:lvl>
    <w:lvl w:ilvl="8">
      <w:start w:val="0"/>
      <w:numFmt w:val="bullet"/>
      <w:lvlText w:val=""/>
      <w:lvlJc w:val="start"/>
      <w:pPr>
        <w:tabs>
          <w:tab w:val="num" w:pos="0"/>
        </w:tabs>
        <w:ind w:start="0" w:hanging="0"/>
      </w:pPr>
      <w:rPr>
        <w:rFonts w:ascii="Wingdings" w:hAnsi="Wingdings" w:cs="Wingdings" w:hint="default"/>
      </w:rPr>
    </w:lvl>
  </w:abstractNum>
  <w:abstractNum w:abstractNumId="5">
    <w:lvl w:ilvl="0">
      <w:start w:val="2"/>
      <w:numFmt w:val="upperRoman"/>
      <w:lvlText w:val="%1."/>
      <w:lvlJc w:val="end"/>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3"/>
      <w:numFmt w:val="upperRoman"/>
      <w:lvlText w:val="%1."/>
      <w:lvlJc w:val="end"/>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4"/>
      <w:numFmt w:val="upperRoman"/>
      <w:lvlText w:val="%1."/>
      <w:lvlJc w:val="end"/>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upperRoman"/>
      <w:lvlText w:val="%1."/>
      <w:lvlJc w:val="start"/>
      <w:pPr>
        <w:tabs>
          <w:tab w:val="num" w:pos="0"/>
        </w:tabs>
        <w:ind w:start="1080" w:hanging="720"/>
      </w:pPr>
      <w:rPr>
        <w:b/>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9">
    <w:lvl w:ilvl="0">
      <w:start w:val="1"/>
      <w:numFmt w:val="decimal"/>
      <w:lvlText w:val="%1)"/>
      <w:lvlJc w:val="start"/>
      <w:pPr>
        <w:tabs>
          <w:tab w:val="num" w:pos="0"/>
        </w:tabs>
        <w:ind w:start="1287"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0">
    <w:lvl w:ilvl="0">
      <w:start w:val="1"/>
      <w:numFmt w:val="decimal"/>
      <w:lvlText w:val="%1)"/>
      <w:lvlJc w:val="start"/>
      <w:pPr>
        <w:tabs>
          <w:tab w:val="num" w:pos="0"/>
        </w:tabs>
        <w:ind w:start="1287"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1">
    <w:lvl w:ilvl="0">
      <w:start w:val="1"/>
      <w:numFmt w:val="decimal"/>
      <w:lvlText w:val="%1)"/>
      <w:lvlJc w:val="start"/>
      <w:pPr>
        <w:tabs>
          <w:tab w:val="num" w:pos="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2">
    <w:lvl w:ilvl="0">
      <w:start w:val="1"/>
      <w:numFmt w:val="decimal"/>
      <w:lvlText w:val="%1)"/>
      <w:lvlJc w:val="start"/>
      <w:pPr>
        <w:tabs>
          <w:tab w:val="num" w:pos="0"/>
        </w:tabs>
        <w:ind w:start="0" w:hanging="0"/>
      </w:pPr>
      <w:rPr/>
    </w:lvl>
    <w:lvl w:ilvl="1">
      <w:start w:val="0"/>
      <w:numFmt w:val="bullet"/>
      <w:lvlText w:val="o"/>
      <w:lvlJc w:val="start"/>
      <w:pPr>
        <w:tabs>
          <w:tab w:val="num" w:pos="0"/>
        </w:tabs>
        <w:ind w:start="0" w:hanging="0"/>
      </w:pPr>
      <w:rPr>
        <w:rFonts w:ascii="Courier New" w:hAnsi="Courier New" w:cs="Courier New" w:hint="default"/>
      </w:rPr>
    </w:lvl>
    <w:lvl w:ilvl="2">
      <w:start w:val="0"/>
      <w:numFmt w:val="bullet"/>
      <w:lvlText w:val=""/>
      <w:lvlJc w:val="start"/>
      <w:pPr>
        <w:tabs>
          <w:tab w:val="num" w:pos="0"/>
        </w:tabs>
        <w:ind w:start="0" w:hanging="0"/>
      </w:pPr>
      <w:rPr>
        <w:rFonts w:ascii="Wingdings" w:hAnsi="Wingdings" w:cs="Wingdings" w:hint="default"/>
      </w:rPr>
    </w:lvl>
    <w:lvl w:ilvl="3">
      <w:start w:val="0"/>
      <w:numFmt w:val="bullet"/>
      <w:lvlText w:val=""/>
      <w:lvlJc w:val="start"/>
      <w:pPr>
        <w:tabs>
          <w:tab w:val="num" w:pos="0"/>
        </w:tabs>
        <w:ind w:start="0" w:hanging="0"/>
      </w:pPr>
      <w:rPr>
        <w:rFonts w:ascii="Symbol" w:hAnsi="Symbol" w:cs="Symbol" w:hint="default"/>
      </w:rPr>
    </w:lvl>
    <w:lvl w:ilvl="4">
      <w:start w:val="0"/>
      <w:numFmt w:val="bullet"/>
      <w:lvlText w:val="o"/>
      <w:lvlJc w:val="start"/>
      <w:pPr>
        <w:tabs>
          <w:tab w:val="num" w:pos="0"/>
        </w:tabs>
        <w:ind w:start="0" w:hanging="0"/>
      </w:pPr>
      <w:rPr>
        <w:rFonts w:ascii="Courier New" w:hAnsi="Courier New" w:cs="Courier New" w:hint="default"/>
      </w:rPr>
    </w:lvl>
    <w:lvl w:ilvl="5">
      <w:start w:val="0"/>
      <w:numFmt w:val="bullet"/>
      <w:lvlText w:val=""/>
      <w:lvlJc w:val="start"/>
      <w:pPr>
        <w:tabs>
          <w:tab w:val="num" w:pos="0"/>
        </w:tabs>
        <w:ind w:start="0" w:hanging="0"/>
      </w:pPr>
      <w:rPr>
        <w:rFonts w:ascii="Wingdings" w:hAnsi="Wingdings" w:cs="Wingdings" w:hint="default"/>
      </w:rPr>
    </w:lvl>
    <w:lvl w:ilvl="6">
      <w:start w:val="0"/>
      <w:numFmt w:val="bullet"/>
      <w:lvlText w:val=""/>
      <w:lvlJc w:val="start"/>
      <w:pPr>
        <w:tabs>
          <w:tab w:val="num" w:pos="0"/>
        </w:tabs>
        <w:ind w:start="0" w:hanging="0"/>
      </w:pPr>
      <w:rPr>
        <w:rFonts w:ascii="Symbol" w:hAnsi="Symbol" w:cs="Symbol" w:hint="default"/>
      </w:rPr>
    </w:lvl>
    <w:lvl w:ilvl="7">
      <w:start w:val="0"/>
      <w:numFmt w:val="bullet"/>
      <w:lvlText w:val="o"/>
      <w:lvlJc w:val="start"/>
      <w:pPr>
        <w:tabs>
          <w:tab w:val="num" w:pos="0"/>
        </w:tabs>
        <w:ind w:start="0" w:hanging="0"/>
      </w:pPr>
      <w:rPr>
        <w:rFonts w:ascii="Courier New" w:hAnsi="Courier New" w:cs="Courier New" w:hint="default"/>
      </w:rPr>
    </w:lvl>
    <w:lvl w:ilvl="8">
      <w:start w:val="0"/>
      <w:numFmt w:val="bullet"/>
      <w:lvlText w:val=""/>
      <w:lvlJc w:val="start"/>
      <w:pPr>
        <w:tabs>
          <w:tab w:val="num" w:pos="0"/>
        </w:tabs>
        <w:ind w:start="0" w:hanging="0"/>
      </w:pPr>
      <w:rPr>
        <w:rFonts w:ascii="Wingdings" w:hAnsi="Wingdings" w:cs="Wingdings" w:hint="default"/>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8"/>
    <w:lvlOverride w:ilvl="0">
      <w:startOverride w:val="1"/>
    </w:lvlOverride>
  </w:num>
  <w:num w:numId="15">
    <w:abstractNumId w:val="9"/>
    <w:lvlOverride w:ilvl="0">
      <w:startOverride w:val="1"/>
    </w:lvlOverride>
  </w:num>
  <w:num w:numId="16">
    <w:abstractNumId w:val="10"/>
    <w:lvlOverride w:ilvl="0">
      <w:startOverride w:val="1"/>
    </w:lvlOverride>
  </w:num>
  <w:num w:numId="17">
    <w:abstractNumId w:val="11"/>
    <w:lvlOverride w:ilvl="0">
      <w:startOverride w:val="1"/>
    </w:lvlOverride>
  </w:num>
  <w:num w:numId="18">
    <w:abstractNumId w:val="12"/>
    <w:lvlOverride w:ilvl="0">
      <w:startOverride w:val="1"/>
    </w:lvlOverride>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7089"/>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Tekstpodstawowy2Znak" w:customStyle="1">
    <w:name w:val="Tekst podstawowy 2 Znak"/>
    <w:basedOn w:val="DefaultParagraphFont"/>
    <w:link w:val="BodyText2"/>
    <w:uiPriority w:val="99"/>
    <w:qFormat/>
    <w:rsid w:val="009a7089"/>
    <w:rPr>
      <w:rFonts w:ascii="Times New Roman" w:hAnsi="Times New Roman" w:eastAsia="Calibri" w:cs="Times New Roman"/>
      <w:sz w:val="24"/>
      <w:szCs w:val="24"/>
      <w:lang w:eastAsia="pl-PL"/>
    </w:rPr>
  </w:style>
  <w:style w:type="character" w:styleId="AkapitzlistZnak" w:customStyle="1">
    <w:name w:val="Akapit z listą Znak"/>
    <w:link w:val="ListParagraph"/>
    <w:uiPriority w:val="34"/>
    <w:qFormat/>
    <w:locked/>
    <w:rsid w:val="009a7089"/>
    <w:rPr>
      <w:rFonts w:ascii="Calibri" w:hAnsi="Calibri" w:eastAsia="Calibri" w:cs="Times New Roman"/>
    </w:rPr>
  </w:style>
  <w:style w:type="character" w:styleId="NagwekZnak" w:customStyle="1">
    <w:name w:val="Nagłówek Znak"/>
    <w:basedOn w:val="DefaultParagraphFont"/>
    <w:uiPriority w:val="99"/>
    <w:semiHidden/>
    <w:qFormat/>
    <w:rsid w:val="00106898"/>
    <w:rPr/>
  </w:style>
  <w:style w:type="character" w:styleId="StopkaZnak" w:customStyle="1">
    <w:name w:val="Stopka Znak"/>
    <w:basedOn w:val="DefaultParagraphFont"/>
    <w:uiPriority w:val="99"/>
    <w:semiHidden/>
    <w:qFormat/>
    <w:rsid w:val="00106898"/>
    <w:rPr/>
  </w:style>
  <w:style w:type="character" w:styleId="CommentReference">
    <w:name w:val="annotation reference"/>
    <w:basedOn w:val="DefaultParagraphFont"/>
    <w:uiPriority w:val="99"/>
    <w:semiHidden/>
    <w:unhideWhenUsed/>
    <w:qFormat/>
    <w:rsid w:val="005843f8"/>
    <w:rPr>
      <w:sz w:val="16"/>
      <w:szCs w:val="16"/>
    </w:rPr>
  </w:style>
  <w:style w:type="character" w:styleId="TekstkomentarzaZnak" w:customStyle="1">
    <w:name w:val="Tekst komentarza Znak"/>
    <w:basedOn w:val="DefaultParagraphFont"/>
    <w:link w:val="CommentText"/>
    <w:uiPriority w:val="99"/>
    <w:qFormat/>
    <w:rsid w:val="005843f8"/>
    <w:rPr>
      <w:sz w:val="20"/>
      <w:szCs w:val="20"/>
    </w:rPr>
  </w:style>
  <w:style w:type="character" w:styleId="TematkomentarzaZnak" w:customStyle="1">
    <w:name w:val="Temat komentarza Znak"/>
    <w:basedOn w:val="TekstkomentarzaZnak"/>
    <w:link w:val="annotationsubject"/>
    <w:uiPriority w:val="99"/>
    <w:semiHidden/>
    <w:qFormat/>
    <w:rsid w:val="005843f8"/>
    <w:rPr>
      <w:b/>
      <w:bCs/>
      <w:sz w:val="20"/>
      <w:szCs w:val="20"/>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Nagwekuser" w:customStyle="1">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customStyle="1">
    <w:name w:val="Indeks (user)"/>
    <w:basedOn w:val="Normal"/>
    <w:qFormat/>
    <w:pPr>
      <w:suppressLineNumbers/>
    </w:pPr>
    <w:rPr>
      <w:rFonts w:cs="Lucida Sans"/>
    </w:rPr>
  </w:style>
  <w:style w:type="paragraph" w:styleId="Gwkaistopkauser" w:customStyle="1">
    <w:name w:val="Główka i stopka (user)"/>
    <w:basedOn w:val="Normal"/>
    <w:qFormat/>
    <w:pPr/>
    <w:rPr/>
  </w:style>
  <w:style w:type="paragraph" w:styleId="Gwkaistopka" w:customStyle="1">
    <w:name w:val="Główka i stopka"/>
    <w:basedOn w:val="Normal"/>
    <w:qFormat/>
    <w:pPr/>
    <w:rPr/>
  </w:style>
  <w:style w:type="paragraph" w:styleId="Header">
    <w:name w:val="header"/>
    <w:basedOn w:val="Normal"/>
    <w:next w:val="BodyText"/>
    <w:link w:val="NagwekZnak"/>
    <w:uiPriority w:val="99"/>
    <w:semiHidden/>
    <w:unhideWhenUsed/>
    <w:rsid w:val="00106898"/>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semiHidden/>
    <w:unhideWhenUsed/>
    <w:qFormat/>
    <w:rsid w:val="009a7089"/>
    <w:pPr>
      <w:spacing w:lineRule="auto" w:line="240" w:beforeAutospacing="1" w:afterAutospacing="1"/>
    </w:pPr>
    <w:rPr>
      <w:rFonts w:ascii="Tahoma" w:hAnsi="Tahoma" w:eastAsia="Times New Roman" w:cs="Tahoma"/>
      <w:sz w:val="13"/>
      <w:szCs w:val="13"/>
      <w:lang w:eastAsia="pl-PL"/>
    </w:rPr>
  </w:style>
  <w:style w:type="paragraph" w:styleId="BodyText2">
    <w:name w:val="Body Text 2"/>
    <w:basedOn w:val="Normal"/>
    <w:link w:val="Tekstpodstawowy2Znak"/>
    <w:uiPriority w:val="99"/>
    <w:unhideWhenUsed/>
    <w:qFormat/>
    <w:rsid w:val="009a7089"/>
    <w:pPr>
      <w:spacing w:lineRule="auto" w:line="480" w:before="0" w:after="120"/>
    </w:pPr>
    <w:rPr>
      <w:rFonts w:ascii="Times New Roman" w:hAnsi="Times New Roman" w:eastAsia="Calibri" w:cs="Times New Roman"/>
      <w:sz w:val="24"/>
      <w:szCs w:val="24"/>
      <w:lang w:eastAsia="pl-PL"/>
    </w:rPr>
  </w:style>
  <w:style w:type="paragraph" w:styleId="ListParagraph">
    <w:name w:val="List Paragraph"/>
    <w:basedOn w:val="Normal"/>
    <w:link w:val="AkapitzlistZnak"/>
    <w:uiPriority w:val="34"/>
    <w:qFormat/>
    <w:rsid w:val="009a7089"/>
    <w:pPr>
      <w:spacing w:before="0" w:after="200"/>
      <w:ind w:start="720"/>
      <w:contextualSpacing/>
    </w:pPr>
    <w:rPr>
      <w:rFonts w:ascii="Calibri" w:hAnsi="Calibri" w:eastAsia="Calibri" w:cs="Times New Roman"/>
    </w:rPr>
  </w:style>
  <w:style w:type="paragraph" w:styleId="Standard" w:customStyle="1">
    <w:name w:val="Standard"/>
    <w:uiPriority w:val="99"/>
    <w:qFormat/>
    <w:rsid w:val="009a7089"/>
    <w:pPr>
      <w:widowControl/>
      <w:suppressAutoHyphens w:val="true"/>
      <w:bidi w:val="0"/>
      <w:spacing w:before="0" w:after="0"/>
      <w:jc w:val="start"/>
    </w:pPr>
    <w:rPr>
      <w:rFonts w:ascii="Times New Roman" w:hAnsi="Times New Roman" w:eastAsia="Times New Roman" w:cs="Times New Roman"/>
      <w:color w:val="auto"/>
      <w:kern w:val="2"/>
      <w:sz w:val="20"/>
      <w:szCs w:val="20"/>
      <w:lang w:val="pl-PL" w:eastAsia="zh-CN" w:bidi="ar-SA"/>
    </w:rPr>
  </w:style>
  <w:style w:type="paragraph" w:styleId="Footer">
    <w:name w:val="footer"/>
    <w:basedOn w:val="Normal"/>
    <w:link w:val="StopkaZnak"/>
    <w:uiPriority w:val="99"/>
    <w:semiHidden/>
    <w:unhideWhenUsed/>
    <w:rsid w:val="00106898"/>
    <w:pPr>
      <w:tabs>
        <w:tab w:val="clear" w:pos="708"/>
        <w:tab w:val="center" w:pos="4536" w:leader="none"/>
        <w:tab w:val="right" w:pos="9072" w:leader="none"/>
      </w:tabs>
      <w:spacing w:lineRule="auto" w:line="240" w:before="0" w:after="0"/>
    </w:pPr>
    <w:rPr/>
  </w:style>
  <w:style w:type="paragraph" w:styleId="CommentText">
    <w:name w:val="annotation text"/>
    <w:basedOn w:val="Normal"/>
    <w:link w:val="TekstkomentarzaZnak"/>
    <w:uiPriority w:val="99"/>
    <w:unhideWhenUsed/>
    <w:rsid w:val="005843f8"/>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5843f8"/>
    <w:pPr/>
    <w:rPr>
      <w:b/>
      <w:bCs/>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174</TotalTime>
  <Application>LibreOffice/26.2.5.2$Windows_X86_64 LibreOffice_project/cd7284b4cbbfeb507e630c1aac019f4157393acb</Application>
  <AppVersion>15.0000</AppVersion>
  <Pages>4</Pages>
  <Words>1152</Words>
  <Characters>7476</Characters>
  <CharactersWithSpaces>8535</CharactersWithSpaces>
  <Paragraphs>56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2026-07-23T09:16:00Z</dcterms:created>
  <dc:creator>Michał Adamik</dc:creator>
  <dc:description/>
  <dc:language>pl-PL</dc:language>
  <cp:lastModifiedBy/>
  <dcterms:modified xsi:type="dcterms:W3CDTF">2026-08-06T08:36:12Z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