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spacing w:lineRule="auto" w:line="360" w:before="0" w:after="0"/>
        <w:jc w:val="end"/>
        <w:rPr>
          <w:rFonts w:ascii="Arial" w:hAnsi="Arial" w:cs="Arial"/>
          <w:b/>
          <w:i/>
          <w:sz w:val="20"/>
          <w:szCs w:val="20"/>
        </w:rPr>
      </w:pPr>
      <w:r>
        <w:rPr>
          <w:rFonts w:cs="Arial" w:ascii="Arial" w:hAnsi="Arial"/>
          <w:b/>
          <w:i/>
          <w:sz w:val="20"/>
          <w:szCs w:val="20"/>
        </w:rPr>
        <w:t xml:space="preserve">Załącznik nr </w:t>
      </w:r>
      <w:r>
        <w:rPr>
          <w:rFonts w:cs="Arial" w:ascii="Arial" w:hAnsi="Arial"/>
          <w:b/>
          <w:i/>
          <w:sz w:val="20"/>
          <w:szCs w:val="20"/>
        </w:rPr>
        <w:t>4</w:t>
      </w:r>
      <w:r>
        <w:rPr>
          <w:rFonts w:cs="Arial" w:ascii="Arial" w:hAnsi="Arial"/>
          <w:b/>
          <w:i/>
          <w:sz w:val="20"/>
          <w:szCs w:val="20"/>
        </w:rPr>
        <w:t xml:space="preserve"> do SWZ</w:t>
      </w:r>
    </w:p>
    <w:p>
      <w:pPr>
        <w:pStyle w:val="Normal"/>
        <w:spacing w:lineRule="auto" w:line="360" w:before="0" w:after="0"/>
        <w:jc w:val="both"/>
        <w:rPr>
          <w:rFonts w:ascii="Arial" w:hAnsi="Arial" w:cs="Arial"/>
          <w:sz w:val="20"/>
          <w:szCs w:val="20"/>
          <w:lang w:eastAsia="ar-SA"/>
        </w:rPr>
      </w:pPr>
      <w:r>
        <w:rPr>
          <w:rFonts w:cs="Arial" w:ascii="Arial" w:hAnsi="Arial"/>
          <w:sz w:val="20"/>
          <w:szCs w:val="20"/>
          <w:lang w:eastAsia="ar-SA"/>
        </w:rPr>
      </w:r>
    </w:p>
    <w:p>
      <w:pPr>
        <w:pStyle w:val="NoSpacing"/>
        <w:spacing w:lineRule="auto" w:line="360"/>
        <w:jc w:val="both"/>
        <w:rPr>
          <w:rFonts w:ascii="Arial" w:hAnsi="Arial" w:eastAsia="Times New Roman" w:cs="Arial"/>
          <w:b/>
          <w:bCs/>
          <w:iCs/>
          <w:kern w:val="2"/>
          <w:sz w:val="20"/>
          <w:szCs w:val="20"/>
        </w:rPr>
      </w:pPr>
      <w:r>
        <w:rPr>
          <w:rFonts w:eastAsia="Times New Roman" w:cs="Arial" w:ascii="Arial" w:hAnsi="Arial"/>
          <w:kern w:val="2"/>
          <w:sz w:val="20"/>
          <w:szCs w:val="20"/>
        </w:rPr>
        <w:t>Wzór umowy w sprawie zamówienia publicznego p</w:t>
      </w:r>
      <w:bookmarkStart w:id="0" w:name="_Hlk211324558"/>
      <w:r>
        <w:rPr>
          <w:rFonts w:eastAsia="Times New Roman" w:cs="Arial" w:ascii="Arial" w:hAnsi="Arial"/>
          <w:kern w:val="2"/>
          <w:sz w:val="20"/>
          <w:szCs w:val="20"/>
        </w:rPr>
        <w:t xml:space="preserve">od nazwą </w:t>
      </w:r>
      <w:bookmarkEnd w:id="0"/>
      <w:r>
        <w:rPr>
          <w:rFonts w:cs="Arial" w:ascii="Arial" w:hAnsi="Arial"/>
          <w:b/>
          <w:bCs/>
          <w:sz w:val="20"/>
          <w:szCs w:val="20"/>
        </w:rPr>
        <w:t>Zakup i dostawa fabrycznie nowej koparko – ładowarki na potrzeby ochrony ludności i obrony cywilnej Gminy Miłkowice</w:t>
      </w:r>
      <w:r>
        <w:rPr>
          <w:rFonts w:cs="Arial" w:ascii="Arial" w:hAnsi="Arial"/>
          <w:sz w:val="20"/>
          <w:szCs w:val="20"/>
        </w:rPr>
        <w:t xml:space="preserve">. Zamówienie realizowane w ramach programu – „Program Ochrony Ludności i Obrony Cywilnej na lata 2025-2026” </w:t>
      </w:r>
    </w:p>
    <w:p>
      <w:pPr>
        <w:pStyle w:val="WW-Tekstpodstawowy2"/>
        <w:widowControl/>
        <w:suppressAutoHyphens w:val="false"/>
        <w:spacing w:lineRule="auto" w:line="360" w:before="0" w:after="0"/>
        <w:jc w:val="center"/>
        <w:rPr>
          <w:rFonts w:ascii="Arial" w:hAnsi="Arial" w:cs="Arial"/>
          <w:i/>
          <w:sz w:val="20"/>
          <w:lang w:eastAsia="pl-PL"/>
        </w:rPr>
      </w:pPr>
      <w:r>
        <w:rPr>
          <w:rFonts w:cs="Arial" w:ascii="Arial" w:hAnsi="Arial"/>
          <w:i/>
          <w:sz w:val="20"/>
          <w:lang w:eastAsia="pl-PL"/>
        </w:rPr>
      </w:r>
    </w:p>
    <w:p>
      <w:pPr>
        <w:pStyle w:val="WW-Tekstpodstawowy2"/>
        <w:widowControl/>
        <w:suppressAutoHyphens w:val="false"/>
        <w:spacing w:lineRule="auto" w:line="360" w:before="0" w:after="0"/>
        <w:jc w:val="center"/>
        <w:rPr>
          <w:rFonts w:ascii="Arial" w:hAnsi="Arial" w:cs="Arial"/>
          <w:sz w:val="20"/>
        </w:rPr>
      </w:pPr>
      <w:r>
        <w:rPr>
          <w:rFonts w:cs="Arial" w:ascii="Arial" w:hAnsi="Arial"/>
          <w:b/>
          <w:i/>
          <w:color w:themeColor="text1" w:val="000000"/>
          <w:sz w:val="20"/>
          <w:lang w:eastAsia="pl-PL"/>
        </w:rPr>
        <w:t>Projektowane postanowienia do umowy</w:t>
      </w:r>
    </w:p>
    <w:p>
      <w:pPr>
        <w:pStyle w:val="WW-Tekstpodstawowy2"/>
        <w:widowControl/>
        <w:suppressAutoHyphens w:val="false"/>
        <w:spacing w:lineRule="auto" w:line="360" w:before="0" w:after="0"/>
        <w:jc w:val="center"/>
        <w:rPr>
          <w:rFonts w:ascii="Arial" w:hAnsi="Arial" w:cs="Arial"/>
          <w:sz w:val="20"/>
        </w:rPr>
      </w:pPr>
      <w:r>
        <w:rPr>
          <w:rFonts w:cs="Arial" w:ascii="Arial" w:hAnsi="Arial"/>
          <w:b/>
          <w:color w:themeColor="text1" w:val="000000"/>
          <w:sz w:val="20"/>
          <w:lang w:eastAsia="pl-PL"/>
        </w:rPr>
        <w:t>Umowa nr ………..</w:t>
      </w:r>
    </w:p>
    <w:p>
      <w:pPr>
        <w:pStyle w:val="Normal"/>
        <w:spacing w:lineRule="auto" w:line="360" w:before="0" w:after="0"/>
        <w:jc w:val="center"/>
        <w:rPr>
          <w:rFonts w:ascii="Arial" w:hAnsi="Arial" w:eastAsia="Times New Roman" w:cs="Arial"/>
          <w:b/>
          <w:bCs/>
          <w:iCs/>
          <w:sz w:val="20"/>
          <w:szCs w:val="20"/>
          <w:lang w:eastAsia="pl-PL"/>
        </w:rPr>
      </w:pPr>
      <w:r>
        <w:rPr>
          <w:rFonts w:eastAsia="Times New Roman" w:cs="Arial" w:ascii="Arial" w:hAnsi="Arial"/>
          <w:b/>
          <w:bCs/>
          <w:iCs/>
          <w:sz w:val="20"/>
          <w:szCs w:val="20"/>
          <w:lang w:eastAsia="pl-PL"/>
        </w:rPr>
      </w:r>
    </w:p>
    <w:p>
      <w:pPr>
        <w:pStyle w:val="Normal"/>
        <w:suppressAutoHyphens w:val="false"/>
        <w:spacing w:lineRule="auto" w:line="360" w:before="0" w:after="0"/>
        <w:jc w:val="both"/>
        <w:rPr>
          <w:rFonts w:ascii="Arial" w:hAnsi="Arial" w:eastAsia="Times New Roman" w:cs="Arial"/>
          <w:sz w:val="20"/>
          <w:szCs w:val="20"/>
          <w:lang w:eastAsia="pl-PL"/>
        </w:rPr>
      </w:pPr>
      <w:r>
        <w:rPr>
          <w:rFonts w:eastAsia="Times New Roman" w:cs="Arial" w:ascii="Arial" w:hAnsi="Arial"/>
          <w:sz w:val="20"/>
          <w:szCs w:val="20"/>
          <w:lang w:eastAsia="pl-PL"/>
        </w:rPr>
        <w:t>zawarta w dniu ……………………… 2026 r.  pomiędzy:</w:t>
      </w:r>
    </w:p>
    <w:p>
      <w:pPr>
        <w:pStyle w:val="Normal"/>
        <w:suppressAutoHyphens w:val="false"/>
        <w:spacing w:lineRule="auto" w:line="360" w:before="0" w:after="0"/>
        <w:jc w:val="both"/>
        <w:rPr>
          <w:rFonts w:ascii="Arial" w:hAnsi="Arial" w:eastAsia="Times New Roman" w:cs="Arial"/>
          <w:sz w:val="20"/>
          <w:szCs w:val="20"/>
          <w:lang w:eastAsia="pl-PL"/>
        </w:rPr>
      </w:pPr>
      <w:r>
        <w:rPr>
          <w:rFonts w:eastAsia="Arial" w:ascii="Arial" w:hAnsi="Arial"/>
          <w:sz w:val="20"/>
        </w:rPr>
        <w:t>Gminą Miłkowice z siedzibą przy ul. Wojska Polskiego 71, 59-222 Miłkowice, NIP 691-12-23-506, REGON 390647506, reprezentowaną przez:</w:t>
      </w:r>
    </w:p>
    <w:p>
      <w:pPr>
        <w:pStyle w:val="Normal"/>
        <w:suppressAutoHyphens w:val="false"/>
        <w:spacing w:lineRule="auto" w:line="360" w:before="0" w:after="0"/>
        <w:rPr>
          <w:rFonts w:ascii="Arial" w:hAnsi="Arial" w:eastAsia="Times New Roman" w:cs="Arial"/>
          <w:sz w:val="20"/>
          <w:szCs w:val="20"/>
          <w:lang w:eastAsia="pl-PL"/>
        </w:rPr>
      </w:pPr>
      <w:r>
        <w:rPr>
          <w:rFonts w:eastAsia="Times New Roman" w:cs="Arial" w:ascii="Arial" w:hAnsi="Arial"/>
          <w:sz w:val="20"/>
          <w:szCs w:val="20"/>
          <w:lang w:eastAsia="pl-PL"/>
        </w:rPr>
        <w:t>Wójta Gminy – Pana Dawida Stachurę</w:t>
      </w:r>
    </w:p>
    <w:p>
      <w:pPr>
        <w:pStyle w:val="Normal"/>
        <w:suppressAutoHyphens w:val="false"/>
        <w:spacing w:lineRule="auto" w:line="360" w:before="0" w:after="0"/>
        <w:rPr>
          <w:rFonts w:ascii="Arial" w:hAnsi="Arial" w:eastAsia="Times New Roman" w:cs="Arial"/>
          <w:sz w:val="20"/>
          <w:szCs w:val="20"/>
          <w:lang w:eastAsia="pl-PL"/>
        </w:rPr>
      </w:pPr>
      <w:r>
        <w:rPr>
          <w:rFonts w:eastAsia="Times New Roman" w:cs="Arial" w:ascii="Arial" w:hAnsi="Arial"/>
          <w:sz w:val="20"/>
          <w:szCs w:val="20"/>
          <w:lang w:eastAsia="pl-PL"/>
        </w:rPr>
        <w:t>zwaną dalej „Zamawiającym”</w:t>
      </w:r>
    </w:p>
    <w:p>
      <w:pPr>
        <w:pStyle w:val="Normal"/>
        <w:suppressAutoHyphens w:val="false"/>
        <w:spacing w:lineRule="auto" w:line="360" w:before="0" w:after="0"/>
        <w:rPr>
          <w:rFonts w:ascii="Arial" w:hAnsi="Arial" w:eastAsia="Times New Roman" w:cs="Arial"/>
          <w:sz w:val="20"/>
          <w:szCs w:val="20"/>
          <w:lang w:eastAsia="pl-PL"/>
        </w:rPr>
      </w:pPr>
      <w:r>
        <w:rPr>
          <w:rFonts w:eastAsia="Times New Roman" w:cs="Arial" w:ascii="Arial" w:hAnsi="Arial"/>
          <w:sz w:val="20"/>
          <w:szCs w:val="20"/>
          <w:lang w:eastAsia="pl-PL"/>
        </w:rPr>
        <w:t>a</w:t>
      </w:r>
    </w:p>
    <w:p>
      <w:pPr>
        <w:pStyle w:val="Normal"/>
        <w:suppressAutoHyphens w:val="false"/>
        <w:spacing w:lineRule="auto" w:line="360" w:before="0" w:after="0"/>
        <w:jc w:val="both"/>
        <w:rPr>
          <w:rFonts w:ascii="Arial" w:hAnsi="Arial" w:cs="Arial"/>
          <w:sz w:val="20"/>
          <w:szCs w:val="20"/>
        </w:rPr>
      </w:pPr>
      <w:r>
        <w:rPr>
          <w:rFonts w:cs="Arial" w:ascii="Arial" w:hAnsi="Arial"/>
          <w:sz w:val="20"/>
          <w:szCs w:val="20"/>
        </w:rPr>
        <w:t>……</w:t>
      </w:r>
      <w:r>
        <w:rPr>
          <w:rFonts w:cs="Arial" w:ascii="Arial" w:hAnsi="Arial"/>
          <w:sz w:val="20"/>
          <w:szCs w:val="20"/>
        </w:rPr>
        <w:t xml:space="preserve">.………………….. z siedzibą w …………….. pod adresem ………..……………………….……, wpisaną do Krajowego Rejestru Sądowego pod numerem: ...………………………………………….., posiadającą NIP: …….…………………………….…, REGON: ……..………………………………., </w:t>
      </w:r>
    </w:p>
    <w:p>
      <w:pPr>
        <w:pStyle w:val="Normal"/>
        <w:suppressAutoHyphens w:val="false"/>
        <w:spacing w:lineRule="auto" w:line="360" w:before="0" w:after="0"/>
        <w:rPr>
          <w:rFonts w:ascii="Arial" w:hAnsi="Arial" w:cs="Arial"/>
          <w:sz w:val="20"/>
          <w:szCs w:val="20"/>
        </w:rPr>
      </w:pPr>
      <w:r>
        <w:rPr>
          <w:rFonts w:cs="Arial" w:ascii="Arial" w:hAnsi="Arial"/>
          <w:sz w:val="20"/>
          <w:szCs w:val="20"/>
        </w:rPr>
        <w:t xml:space="preserve">reprezentowaną przez Pana/Panią/ przez firmę ………………………………………...………………., </w:t>
        <w:br/>
        <w:t>w imieniu której działa Pan/Pani …………………………………………..……..………………...…...,</w:t>
      </w:r>
    </w:p>
    <w:p>
      <w:pPr>
        <w:pStyle w:val="Normal"/>
        <w:suppressAutoHyphens w:val="false"/>
        <w:spacing w:lineRule="auto" w:line="360" w:before="0" w:after="0"/>
        <w:rPr>
          <w:rFonts w:ascii="Arial" w:hAnsi="Arial" w:cs="Arial"/>
          <w:sz w:val="20"/>
          <w:szCs w:val="20"/>
        </w:rPr>
      </w:pPr>
      <w:r>
        <w:rPr>
          <w:rFonts w:cs="Arial" w:ascii="Arial" w:hAnsi="Arial"/>
          <w:sz w:val="20"/>
          <w:szCs w:val="20"/>
        </w:rPr>
        <w:t>zwaną dalej „Wykonawcą”*</w:t>
      </w:r>
    </w:p>
    <w:p>
      <w:pPr>
        <w:pStyle w:val="Normal"/>
        <w:suppressAutoHyphens w:val="false"/>
        <w:spacing w:lineRule="auto" w:line="360" w:before="0" w:after="0"/>
        <w:jc w:val="both"/>
        <w:rPr>
          <w:rFonts w:ascii="Arial" w:hAnsi="Arial" w:cs="Arial"/>
          <w:sz w:val="20"/>
          <w:szCs w:val="20"/>
        </w:rPr>
      </w:pPr>
      <w:r>
        <w:rPr>
          <w:rFonts w:cs="Arial" w:ascii="Arial" w:hAnsi="Arial"/>
          <w:sz w:val="20"/>
          <w:szCs w:val="20"/>
        </w:rPr>
        <w:t>Panem/Panią ………………………………………………………………….……………………, prowadzącym działalność gospodarczą pod firmą ………………………….…………………………...</w:t>
      </w:r>
    </w:p>
    <w:p>
      <w:pPr>
        <w:pStyle w:val="Normal"/>
        <w:suppressAutoHyphens w:val="false"/>
        <w:spacing w:lineRule="auto" w:line="360" w:before="0" w:after="0"/>
        <w:jc w:val="both"/>
        <w:rPr>
          <w:rFonts w:ascii="Arial" w:hAnsi="Arial" w:cs="Arial"/>
          <w:sz w:val="20"/>
          <w:szCs w:val="20"/>
        </w:rPr>
      </w:pPr>
      <w:r>
        <w:rPr>
          <w:rFonts w:cs="Arial" w:ascii="Arial" w:hAnsi="Arial"/>
          <w:sz w:val="20"/>
          <w:szCs w:val="20"/>
        </w:rPr>
        <w:t xml:space="preserve">z siedzibą w ……………………..………….. pod adresem …………………………….…………, posiadającą NIP: ……………………….…..……...…, REGON: ………………..……………….., reprezentowanym przez Pana/Panią …………………………………………………………………..., </w:t>
      </w:r>
    </w:p>
    <w:p>
      <w:pPr>
        <w:pStyle w:val="Normal"/>
        <w:suppressAutoHyphens w:val="false"/>
        <w:spacing w:lineRule="auto" w:line="360" w:before="0" w:after="0"/>
        <w:jc w:val="both"/>
        <w:rPr>
          <w:rFonts w:ascii="Arial" w:hAnsi="Arial" w:cs="Arial"/>
          <w:sz w:val="20"/>
          <w:szCs w:val="20"/>
        </w:rPr>
      </w:pPr>
      <w:r>
        <w:rPr>
          <w:rFonts w:cs="Arial" w:ascii="Arial" w:hAnsi="Arial"/>
          <w:sz w:val="20"/>
          <w:szCs w:val="20"/>
        </w:rPr>
        <w:t>zwanym dalej w treści umowy „Wykonawcą”*</w:t>
      </w:r>
    </w:p>
    <w:p>
      <w:pPr>
        <w:pStyle w:val="Normal"/>
        <w:suppressAutoHyphens w:val="false"/>
        <w:spacing w:lineRule="auto" w:line="360" w:before="0" w:after="0"/>
        <w:rPr>
          <w:rFonts w:ascii="Arial" w:hAnsi="Arial" w:cs="Arial"/>
          <w:color w:val="000000"/>
          <w:sz w:val="20"/>
          <w:szCs w:val="20"/>
        </w:rPr>
      </w:pPr>
      <w:r>
        <w:rPr>
          <w:rFonts w:cs="Arial" w:ascii="Arial" w:hAnsi="Arial"/>
          <w:color w:val="000000"/>
          <w:sz w:val="20"/>
          <w:szCs w:val="20"/>
        </w:rPr>
      </w:r>
    </w:p>
    <w:p>
      <w:pPr>
        <w:pStyle w:val="Normal"/>
        <w:suppressAutoHyphens w:val="false"/>
        <w:spacing w:lineRule="auto" w:line="360" w:before="0" w:after="0"/>
        <w:jc w:val="both"/>
        <w:rPr>
          <w:rFonts w:ascii="Arial" w:hAnsi="Arial" w:cs="Arial"/>
          <w:sz w:val="20"/>
          <w:szCs w:val="20"/>
        </w:rPr>
      </w:pPr>
      <w:r>
        <w:rPr>
          <w:rFonts w:eastAsia="Arial" w:ascii="Arial" w:hAnsi="Arial"/>
          <w:sz w:val="20"/>
        </w:rPr>
        <w:t>W wyniku rozstrzygnięcia postępowania o udzielenie zamówienia publicznego oznaczonego jako ……………., przeprowadzonego w trybie podstawowym bez negocjacji na podstawie art. 275 pkt 1 ustawy z dnia 11 września 2019 r. — Prawo zamówień publicznych (t.j. Dz.U. z 2026 r. poz. 793), pn. „Zakup i dostawa fabrycznie nowej koparko-ładowarki na potrzeby ochrony ludności i obrony cywilnej Gminy Miłkowice”, realizowanego w ramach „Programu Ochrony Ludności i Obrony Cywilnej na lata 2025–2026”, została zawarta umowa następującej treści:</w:t>
      </w:r>
    </w:p>
    <w:p>
      <w:pPr>
        <w:pStyle w:val="ListParagraph"/>
        <w:spacing w:lineRule="auto" w:line="360" w:before="0" w:after="0"/>
        <w:ind w:start="360"/>
        <w:contextualSpacing/>
        <w:jc w:val="center"/>
        <w:rPr>
          <w:rFonts w:ascii="Arial" w:hAnsi="Arial" w:cs="Arial"/>
          <w:sz w:val="20"/>
          <w:szCs w:val="20"/>
        </w:rPr>
      </w:pPr>
      <w:r>
        <w:rPr>
          <w:rFonts w:cs="Arial" w:ascii="Arial" w:hAnsi="Arial"/>
          <w:sz w:val="20"/>
          <w:szCs w:val="20"/>
        </w:rPr>
        <w:t>§ 1</w:t>
      </w:r>
    </w:p>
    <w:p>
      <w:pPr>
        <w:pStyle w:val="ListParagraph"/>
        <w:numPr>
          <w:ilvl w:val="0"/>
          <w:numId w:val="7"/>
        </w:numPr>
        <w:tabs>
          <w:tab w:val="clear" w:pos="708"/>
          <w:tab w:val="left" w:pos="0" w:leader="none"/>
        </w:tabs>
        <w:spacing w:lineRule="auto" w:line="360" w:before="0" w:after="0"/>
        <w:ind w:hanging="284" w:start="284"/>
        <w:contextualSpacing/>
        <w:jc w:val="both"/>
        <w:rPr>
          <w:rFonts w:ascii="Arial" w:hAnsi="Arial" w:cs="Arial"/>
          <w:b/>
          <w:bCs/>
          <w:i/>
          <w:iCs/>
          <w:sz w:val="20"/>
          <w:szCs w:val="20"/>
        </w:rPr>
      </w:pPr>
      <w:r>
        <w:rPr>
          <w:rFonts w:eastAsia="Arial" w:ascii="Arial" w:hAnsi="Arial"/>
          <w:sz w:val="20"/>
        </w:rPr>
        <w:t xml:space="preserve">Przedmiotem umowy jest realizacja zadania pn. „Zakup i dostawa fabrycznie nowej koparko-ładowarki na potrzeby ochrony ludności i obrony cywilnej Gminy Miłkowice”, w ramach „Programu Ochrony Ludności i Obrony Cywilnej na lata 2025–2026”. </w:t>
      </w:r>
    </w:p>
    <w:p>
      <w:pPr>
        <w:pStyle w:val="ListParagraph"/>
        <w:tabs>
          <w:tab w:val="clear" w:pos="708"/>
          <w:tab w:val="left" w:pos="0" w:leader="none"/>
        </w:tabs>
        <w:spacing w:lineRule="auto" w:line="360" w:before="0" w:after="0"/>
        <w:ind w:start="284"/>
        <w:contextualSpacing/>
        <w:jc w:val="both"/>
        <w:rPr>
          <w:rFonts w:ascii="Arial" w:hAnsi="Arial" w:cs="Arial"/>
          <w:b/>
          <w:bCs/>
          <w:i/>
          <w:iCs/>
          <w:sz w:val="20"/>
          <w:szCs w:val="20"/>
        </w:rPr>
      </w:pPr>
      <w:r>
        <w:rPr>
          <w:rFonts w:eastAsia="Arial" w:ascii="Arial" w:hAnsi="Arial"/>
          <w:sz w:val="20"/>
        </w:rPr>
        <w:t>Zadanie jest finansowane z dotacji na zadania własne jednostek samorządu terytorialnego z zakresu ochrony ludności i obrony cywilnej: „Obszar 2: Zabezpieczenie logistyczne i zapewnienie ciągłości dostaw; Dział: Uzupełnienie zasobów i infrastruktury niezbędnej do realizacji zadań OC i OL”.</w:t>
      </w:r>
    </w:p>
    <w:p>
      <w:pPr>
        <w:pStyle w:val="ListParagraph"/>
        <w:numPr>
          <w:ilvl w:val="0"/>
          <w:numId w:val="7"/>
        </w:numPr>
        <w:tabs>
          <w:tab w:val="clear" w:pos="708"/>
          <w:tab w:val="left" w:pos="0" w:leader="none"/>
        </w:tabs>
        <w:spacing w:lineRule="auto" w:line="360" w:before="0" w:after="0"/>
        <w:ind w:hanging="284" w:start="284"/>
        <w:contextualSpacing/>
        <w:jc w:val="both"/>
        <w:rPr>
          <w:rFonts w:ascii="Arial" w:hAnsi="Arial" w:cs="Arial"/>
          <w:sz w:val="20"/>
          <w:szCs w:val="20"/>
        </w:rPr>
      </w:pPr>
      <w:r>
        <w:rPr>
          <w:rFonts w:cs="Arial" w:ascii="Arial" w:hAnsi="Arial"/>
          <w:sz w:val="20"/>
          <w:szCs w:val="20"/>
        </w:rPr>
        <w:t>Zamawiający zleca a Wykonawca przyjmuje na siebie obowiązek dostarczenia i przeniesienia prawa własności na rzecz Zamawiającego:</w:t>
      </w:r>
    </w:p>
    <w:p>
      <w:pPr>
        <w:pStyle w:val="ListParagraph"/>
        <w:numPr>
          <w:ilvl w:val="0"/>
          <w:numId w:val="15"/>
        </w:numPr>
        <w:suppressAutoHyphens w:val="false"/>
        <w:spacing w:lineRule="auto" w:line="360" w:before="0" w:after="0"/>
        <w:ind w:hanging="502" w:start="786"/>
        <w:contextualSpacing/>
        <w:jc w:val="both"/>
        <w:rPr>
          <w:rFonts w:ascii="Arial" w:hAnsi="Arial" w:cs="Arial"/>
          <w:b/>
          <w:bCs/>
          <w:sz w:val="20"/>
          <w:szCs w:val="20"/>
        </w:rPr>
      </w:pPr>
      <w:r>
        <w:rPr>
          <w:rFonts w:cs="Arial" w:ascii="Arial" w:hAnsi="Arial"/>
          <w:b/>
          <w:bCs/>
          <w:sz w:val="20"/>
          <w:szCs w:val="20"/>
        </w:rPr>
        <w:t>koparko – ładowarki:</w:t>
      </w:r>
    </w:p>
    <w:p>
      <w:pPr>
        <w:pStyle w:val="ListParagraph"/>
        <w:suppressAutoHyphens w:val="false"/>
        <w:spacing w:lineRule="auto" w:line="360" w:before="0" w:after="0"/>
        <w:ind w:start="786"/>
        <w:contextualSpacing/>
        <w:jc w:val="both"/>
        <w:rPr>
          <w:rFonts w:ascii="Arial" w:hAnsi="Arial" w:cs="Arial"/>
          <w:sz w:val="20"/>
          <w:szCs w:val="20"/>
        </w:rPr>
      </w:pPr>
      <w:r>
        <w:rPr>
          <w:rFonts w:cs="Arial" w:ascii="Arial" w:hAnsi="Arial"/>
          <w:sz w:val="20"/>
          <w:szCs w:val="20"/>
        </w:rPr>
        <w:t>a) producent/marka: …………….</w:t>
      </w:r>
    </w:p>
    <w:p>
      <w:pPr>
        <w:pStyle w:val="ListParagraph"/>
        <w:suppressAutoHyphens w:val="false"/>
        <w:spacing w:lineRule="auto" w:line="360" w:before="0" w:after="0"/>
        <w:ind w:start="786"/>
        <w:contextualSpacing/>
        <w:jc w:val="both"/>
        <w:rPr>
          <w:rFonts w:ascii="Arial" w:hAnsi="Arial" w:cs="Arial"/>
          <w:sz w:val="20"/>
          <w:szCs w:val="20"/>
        </w:rPr>
      </w:pPr>
      <w:r>
        <w:rPr>
          <w:rFonts w:cs="Arial" w:ascii="Arial" w:hAnsi="Arial"/>
          <w:sz w:val="20"/>
          <w:szCs w:val="20"/>
        </w:rPr>
        <w:t>b) model: ………………...</w:t>
      </w:r>
    </w:p>
    <w:p>
      <w:pPr>
        <w:pStyle w:val="ListParagraph"/>
        <w:suppressAutoHyphens w:val="false"/>
        <w:spacing w:lineRule="auto" w:line="360" w:before="0" w:after="0"/>
        <w:ind w:start="786"/>
        <w:contextualSpacing/>
        <w:jc w:val="both"/>
        <w:rPr>
          <w:rFonts w:ascii="Arial" w:hAnsi="Arial" w:cs="Arial"/>
          <w:sz w:val="20"/>
          <w:szCs w:val="20"/>
        </w:rPr>
      </w:pPr>
      <w:r>
        <w:rPr>
          <w:rFonts w:cs="Arial" w:ascii="Arial" w:hAnsi="Arial"/>
          <w:sz w:val="20"/>
          <w:szCs w:val="20"/>
        </w:rPr>
        <w:t>c) rok produkcji: ………….</w:t>
      </w:r>
    </w:p>
    <w:p>
      <w:pPr>
        <w:pStyle w:val="ListParagraph"/>
        <w:numPr>
          <w:ilvl w:val="0"/>
          <w:numId w:val="7"/>
        </w:numPr>
        <w:spacing w:lineRule="auto" w:line="360" w:before="0" w:after="0"/>
        <w:ind w:hanging="426" w:start="426"/>
        <w:contextualSpacing/>
        <w:jc w:val="both"/>
        <w:rPr>
          <w:rFonts w:ascii="Arial" w:hAnsi="Arial" w:cs="Arial"/>
          <w:sz w:val="20"/>
          <w:szCs w:val="20"/>
        </w:rPr>
      </w:pPr>
      <w:r>
        <w:rPr>
          <w:rFonts w:eastAsia="Arial" w:ascii="Arial" w:hAnsi="Arial"/>
          <w:sz w:val="20"/>
        </w:rPr>
        <w:t>Wykonawca oświadcza, że dostarczy przedmiot umowy jest. fabrycznie nowy, nieużywany, kompletny, nieuszkodzony, wolny od wad fizycznych i prawnych, zgodny z OPZ stanowiącym załącznik nr 3 do umowy oraz z ofertą Wykonawcy stanowiącą załącznik nr 1 do umowy.</w:t>
      </w:r>
    </w:p>
    <w:p>
      <w:pPr>
        <w:pStyle w:val="ListParagraph"/>
        <w:numPr>
          <w:ilvl w:val="0"/>
          <w:numId w:val="7"/>
        </w:numPr>
        <w:spacing w:lineRule="auto" w:line="360" w:before="0" w:after="0"/>
        <w:ind w:hanging="426" w:start="426"/>
        <w:contextualSpacing/>
        <w:jc w:val="both"/>
        <w:rPr>
          <w:rFonts w:ascii="Arial" w:hAnsi="Arial" w:cs="Arial"/>
          <w:sz w:val="20"/>
          <w:szCs w:val="20"/>
        </w:rPr>
      </w:pPr>
      <w:r>
        <w:rPr>
          <w:rFonts w:eastAsia="Arial" w:ascii="Arial" w:hAnsi="Arial"/>
          <w:sz w:val="20"/>
        </w:rPr>
        <w:t>Szczegółowy zakres dostawy określają, w kolejności pierwszeństwa: umowa, OPZ (załącznik nr 3), SWZ (załącznik nr 2) oraz oferta Wykonawcy (załącznik nr 1). W razie sprzeczności pierwszeństwo ma dokument wymieniony wcześniej z zastrzeżeniem, że oferta wiąże w zakresie parametrów korzystniejszych dla Zamawiającego i zgodnych z SWZ.</w:t>
      </w:r>
    </w:p>
    <w:p>
      <w:pPr>
        <w:pStyle w:val="ListParagraph"/>
        <w:numPr>
          <w:ilvl w:val="0"/>
          <w:numId w:val="7"/>
        </w:numPr>
        <w:spacing w:lineRule="auto" w:line="360" w:before="0" w:after="0"/>
        <w:ind w:hanging="426" w:start="426"/>
        <w:contextualSpacing/>
        <w:jc w:val="both"/>
        <w:rPr>
          <w:rFonts w:ascii="Arial" w:hAnsi="Arial" w:cs="Arial"/>
          <w:sz w:val="20"/>
          <w:szCs w:val="20"/>
        </w:rPr>
      </w:pPr>
      <w:r>
        <w:rPr>
          <w:rFonts w:cs="Arial" w:ascii="Arial" w:hAnsi="Arial"/>
          <w:sz w:val="20"/>
          <w:szCs w:val="20"/>
        </w:rPr>
        <w:t>Zamówienie obejmuje transport (na koszt i ryzyko Wykonawcy) do Zamawiającego na adres –</w:t>
      </w:r>
      <w:bookmarkStart w:id="1" w:name="_Hlk211323592"/>
      <w:r>
        <w:rPr>
          <w:rFonts w:cs="Arial" w:ascii="Arial" w:hAnsi="Arial"/>
          <w:sz w:val="20"/>
          <w:szCs w:val="20"/>
        </w:rPr>
        <w:t xml:space="preserve"> Gminnego Zakładu Gospodarki Komunalnej w Miłkowicach ul. Rybacka 10 59-222 Miłkowice</w:t>
      </w:r>
      <w:bookmarkEnd w:id="1"/>
      <w:r>
        <w:rPr>
          <w:rFonts w:cs="Arial" w:ascii="Arial" w:hAnsi="Arial"/>
          <w:sz w:val="20"/>
          <w:szCs w:val="20"/>
        </w:rPr>
        <w:t xml:space="preserve">. </w:t>
      </w:r>
    </w:p>
    <w:p>
      <w:pPr>
        <w:pStyle w:val="Normal"/>
        <w:numPr>
          <w:ilvl w:val="0"/>
          <w:numId w:val="7"/>
        </w:numPr>
        <w:spacing w:lineRule="auto" w:line="360" w:before="0" w:after="0"/>
        <w:ind w:hanging="425" w:start="425"/>
        <w:jc w:val="both"/>
        <w:rPr>
          <w:rFonts w:ascii="Arial" w:hAnsi="Arial" w:cs="Arial"/>
          <w:sz w:val="20"/>
          <w:szCs w:val="20"/>
        </w:rPr>
      </w:pPr>
      <w:r>
        <w:rPr>
          <w:rFonts w:eastAsia="Arial" w:ascii="Arial" w:hAnsi="Arial"/>
          <w:sz w:val="20"/>
        </w:rPr>
        <w:t>Wykonawca oświadcza, że przedmiot umowy spełnia wymagania prawa polskiego i unijnego, w szczególności dotyczące bezpieczeństwa maszyn. Jeżeli dla oferowanej konfiguracji przepisy wymagają świadectwa homologacji, dopuszczenia jednostkowego albo innego dokumentu dopuszczającego do ruchu, Wykonawca przekaże właściwy dokument. W przeciwnym razie Wykonawca przekaże pisemne wskazanie podstawy prawnej braku takiego obowiązku.</w:t>
      </w:r>
    </w:p>
    <w:p>
      <w:pPr>
        <w:pStyle w:val="Normal"/>
        <w:numPr>
          <w:ilvl w:val="0"/>
          <w:numId w:val="7"/>
        </w:numPr>
        <w:spacing w:lineRule="auto" w:line="360" w:before="0" w:after="0"/>
        <w:ind w:hanging="425" w:start="425"/>
        <w:jc w:val="both"/>
        <w:rPr>
          <w:rFonts w:ascii="Arial" w:hAnsi="Arial" w:cs="Arial"/>
          <w:sz w:val="20"/>
          <w:szCs w:val="20"/>
        </w:rPr>
      </w:pPr>
      <w:r>
        <w:rPr>
          <w:rFonts w:eastAsia="Arial" w:ascii="Arial" w:hAnsi="Arial"/>
          <w:sz w:val="20"/>
        </w:rPr>
        <w:t>W cenie umowy Wykonawca przeszkoli co najmniej 3 osoby wskazane przez Zamawiającego w miejscu dostawy, w języku polskim, w zakresie bezpiecznej obsługi, konserwacji codziennej, podstaw diagnostyki i obsługi osprzętu. Wykonanie szkolenia zostanie potwierdzone protokołem.</w:t>
      </w:r>
    </w:p>
    <w:p>
      <w:pPr>
        <w:pStyle w:val="Normal"/>
        <w:numPr>
          <w:ilvl w:val="0"/>
          <w:numId w:val="7"/>
        </w:numPr>
        <w:spacing w:lineRule="auto" w:line="360" w:before="0" w:after="0"/>
        <w:ind w:hanging="425" w:start="425"/>
        <w:jc w:val="both"/>
        <w:rPr>
          <w:rFonts w:ascii="Arial" w:hAnsi="Arial" w:cs="Arial"/>
          <w:sz w:val="20"/>
          <w:szCs w:val="20"/>
        </w:rPr>
      </w:pPr>
      <w:r>
        <w:rPr>
          <w:rFonts w:eastAsia="Arial" w:ascii="Arial" w:hAnsi="Arial"/>
          <w:sz w:val="20"/>
        </w:rPr>
        <w:t>Dostarczony przedmiot umowy musi spełniać wymagania techniczne właściwe dla maszyny budowlanej poruszającej się po drogach publicznych w kategorii wynikającej z jej konstrukcji i przepisów, w szczególności ustawy z dnia 20 czerwca 1997 r. — Prawo o ruchu drogowym. Maszyna musi mieć wymagane dla tej kategorii wyposażenie. Homologacja jest wymagana wyłącznie wtedy, gdy obowiązek jej posiadania wynika z przepisów dla oferowanej konfiguracji.</w:t>
      </w:r>
    </w:p>
    <w:p>
      <w:pPr>
        <w:pStyle w:val="Normal"/>
        <w:numPr>
          <w:ilvl w:val="0"/>
          <w:numId w:val="7"/>
        </w:numPr>
        <w:suppressAutoHyphens w:val="false"/>
        <w:spacing w:lineRule="auto" w:line="360" w:before="0" w:after="0"/>
        <w:ind w:hanging="426" w:start="426"/>
        <w:jc w:val="both"/>
        <w:rPr>
          <w:rFonts w:ascii="Arial" w:hAnsi="Arial" w:cs="Arial"/>
          <w:sz w:val="20"/>
          <w:szCs w:val="20"/>
        </w:rPr>
      </w:pPr>
      <w:r>
        <w:rPr>
          <w:rFonts w:eastAsia="Times New Roman" w:cs="Arial" w:ascii="Arial" w:hAnsi="Arial"/>
          <w:sz w:val="20"/>
          <w:szCs w:val="20"/>
          <w:lang w:eastAsia="pl-PL"/>
        </w:rPr>
        <w:t>Zamawiający wymaga, aby dostarczony przedmiot umowy:</w:t>
      </w:r>
    </w:p>
    <w:p>
      <w:pPr>
        <w:pStyle w:val="Normal"/>
        <w:suppressAutoHyphens w:val="false"/>
        <w:spacing w:lineRule="auto" w:line="360" w:before="0" w:after="0"/>
        <w:ind w:firstLine="142" w:start="284"/>
        <w:jc w:val="both"/>
        <w:rPr>
          <w:rFonts w:ascii="Arial" w:hAnsi="Arial" w:cs="Arial"/>
          <w:sz w:val="20"/>
          <w:szCs w:val="20"/>
        </w:rPr>
      </w:pPr>
      <w:r>
        <w:rPr>
          <w:rFonts w:cs="Arial" w:ascii="Arial" w:hAnsi="Arial"/>
          <w:sz w:val="20"/>
          <w:szCs w:val="20"/>
        </w:rPr>
        <w:t>1)</w:t>
        <w:tab/>
        <w:t>był w pełni sprawny, bez wad fizycznych lub prawnych,</w:t>
      </w:r>
    </w:p>
    <w:p>
      <w:pPr>
        <w:pStyle w:val="Normal"/>
        <w:suppressAutoHyphens w:val="false"/>
        <w:spacing w:lineRule="auto" w:line="360" w:before="0" w:after="0"/>
        <w:ind w:firstLine="142" w:start="284"/>
        <w:jc w:val="both"/>
        <w:rPr>
          <w:rFonts w:ascii="Arial" w:hAnsi="Arial" w:cs="Arial"/>
          <w:sz w:val="20"/>
          <w:szCs w:val="20"/>
        </w:rPr>
      </w:pPr>
      <w:r>
        <w:rPr>
          <w:rFonts w:cs="Arial" w:ascii="Arial" w:hAnsi="Arial"/>
          <w:sz w:val="20"/>
          <w:szCs w:val="20"/>
        </w:rPr>
        <w:t>2)</w:t>
        <w:tab/>
        <w:t>nie był uprzednio użytkowany lub eksploatowany,</w:t>
      </w:r>
    </w:p>
    <w:p>
      <w:pPr>
        <w:pStyle w:val="Normal"/>
        <w:suppressAutoHyphens w:val="false"/>
        <w:spacing w:lineRule="auto" w:line="360" w:before="0" w:after="0"/>
        <w:ind w:firstLine="142" w:start="284"/>
        <w:jc w:val="both"/>
        <w:rPr>
          <w:rFonts w:ascii="Arial" w:hAnsi="Arial" w:cs="Arial"/>
          <w:sz w:val="20"/>
          <w:szCs w:val="20"/>
        </w:rPr>
      </w:pPr>
      <w:r>
        <w:rPr>
          <w:rFonts w:cs="Arial" w:ascii="Arial" w:hAnsi="Arial"/>
          <w:sz w:val="20"/>
          <w:szCs w:val="20"/>
        </w:rPr>
        <w:t>3)</w:t>
        <w:tab/>
        <w:t>spełniał wymagania techniczne i użytkowe szczegółowo określone w OPZ.</w:t>
      </w:r>
    </w:p>
    <w:p>
      <w:pPr>
        <w:pStyle w:val="Normal"/>
        <w:numPr>
          <w:ilvl w:val="0"/>
          <w:numId w:val="7"/>
        </w:numPr>
        <w:suppressAutoHyphens w:val="false"/>
        <w:spacing w:lineRule="auto" w:line="360" w:before="0" w:after="0"/>
        <w:ind w:hanging="426" w:start="426"/>
        <w:jc w:val="both"/>
        <w:rPr>
          <w:rFonts w:ascii="Arial" w:hAnsi="Arial" w:cs="Arial"/>
          <w:sz w:val="20"/>
          <w:szCs w:val="20"/>
        </w:rPr>
      </w:pPr>
      <w:r>
        <w:rPr>
          <w:rFonts w:eastAsia="Arial" w:ascii="Arial" w:hAnsi="Arial"/>
          <w:sz w:val="20"/>
        </w:rPr>
        <w:t>Wykonawca zrealizuje na własny koszt i ryzyko wszystkie czynności towarzyszące dostawie, w tym załadunek, transport, ubezpieczenie transportu i rozładunek w miejscu dostawy.</w:t>
      </w:r>
    </w:p>
    <w:p>
      <w:pPr>
        <w:pStyle w:val="Normal"/>
        <w:numPr>
          <w:ilvl w:val="0"/>
          <w:numId w:val="7"/>
        </w:numPr>
        <w:suppressAutoHyphens w:val="false"/>
        <w:spacing w:lineRule="auto" w:line="360" w:before="0" w:after="0"/>
        <w:ind w:hanging="426" w:start="426"/>
        <w:jc w:val="both"/>
        <w:rPr>
          <w:rFonts w:ascii="Arial" w:hAnsi="Arial" w:cs="Arial"/>
          <w:sz w:val="20"/>
          <w:szCs w:val="20"/>
        </w:rPr>
      </w:pPr>
      <w:r>
        <w:rPr>
          <w:rFonts w:cs="Arial" w:ascii="Arial" w:hAnsi="Arial"/>
          <w:sz w:val="20"/>
          <w:szCs w:val="20"/>
        </w:rPr>
        <w:t>Wykonawca zapewnia, że koparko – ładowarka będąca przedmiotem umowy jest wolna od wad konstrukcyjnych, materiałowych, wykonawczych i prawnych.</w:t>
      </w:r>
    </w:p>
    <w:p>
      <w:pPr>
        <w:pStyle w:val="Normal"/>
        <w:numPr>
          <w:ilvl w:val="0"/>
          <w:numId w:val="7"/>
        </w:numPr>
        <w:suppressAutoHyphens w:val="false"/>
        <w:spacing w:lineRule="auto" w:line="360" w:before="0" w:after="0"/>
        <w:ind w:hanging="426" w:start="426"/>
        <w:jc w:val="both"/>
        <w:rPr>
          <w:rFonts w:ascii="Arial" w:hAnsi="Arial" w:cs="Arial"/>
          <w:sz w:val="20"/>
          <w:szCs w:val="20"/>
        </w:rPr>
      </w:pPr>
      <w:r>
        <w:rPr>
          <w:rFonts w:cs="Arial" w:ascii="Arial" w:hAnsi="Arial"/>
          <w:sz w:val="20"/>
          <w:szCs w:val="20"/>
        </w:rPr>
        <w:t xml:space="preserve">W okresie gwarancji Wykonawca zapewni reakcję serwisu w terminie nie dłuższym niż 2 dni robocze od zgłoszenia oraz, co do zasady, naprawę w miejscu użytkowania. Jeżeli konieczny będzie transport maszyny do serwisu, organizuje go i ponosi jego koszt oraz ryzyko Wykonawca. Wykonawca zapewnia, że autoryzowany stacjonarny punkt serwisowy napraw gwarancyjnych i pogwarancyjnych znajduje w odległości nie większej niż 150 km od siedziby zamawiającego tj. ul. Wojska Polskiego 71 pod adresem: ………………………………… </w:t>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2</w:t>
      </w:r>
    </w:p>
    <w:p>
      <w:pPr>
        <w:pStyle w:val="ListParagraph"/>
        <w:numPr>
          <w:ilvl w:val="3"/>
          <w:numId w:val="1"/>
        </w:numPr>
        <w:spacing w:lineRule="auto" w:line="360" w:before="0" w:after="0"/>
        <w:ind w:hanging="284" w:start="284"/>
        <w:contextualSpacing/>
        <w:jc w:val="both"/>
        <w:rPr>
          <w:rFonts w:ascii="Arial" w:hAnsi="Arial" w:cs="Arial"/>
          <w:sz w:val="20"/>
          <w:szCs w:val="20"/>
        </w:rPr>
      </w:pPr>
      <w:r>
        <w:rPr>
          <w:rFonts w:cs="Arial" w:ascii="Arial" w:hAnsi="Arial"/>
          <w:sz w:val="20"/>
          <w:szCs w:val="20"/>
        </w:rPr>
        <w:t xml:space="preserve">Obowiązki Wykonawcy: </w:t>
      </w:r>
    </w:p>
    <w:p>
      <w:pPr>
        <w:pStyle w:val="ListParagraph"/>
        <w:numPr>
          <w:ilvl w:val="0"/>
          <w:numId w:val="14"/>
        </w:numPr>
        <w:spacing w:lineRule="auto" w:line="360" w:before="0" w:after="0"/>
        <w:ind w:hanging="283" w:start="567"/>
        <w:contextualSpacing/>
        <w:jc w:val="both"/>
        <w:rPr>
          <w:rFonts w:ascii="Arial" w:hAnsi="Arial" w:cs="Arial"/>
          <w:sz w:val="20"/>
          <w:szCs w:val="20"/>
        </w:rPr>
      </w:pPr>
      <w:r>
        <w:rPr>
          <w:rFonts w:eastAsia="Arial" w:ascii="Arial" w:hAnsi="Arial"/>
          <w:sz w:val="20"/>
        </w:rPr>
        <w:t>Wykonawca wykona wszystkie czynności niezbędne do terminowego i zgodnego z umową dostarczenia, uruchomienia i przekazania przedmiotu umowy, dokumentacji oraz szkolenia.</w:t>
      </w:r>
    </w:p>
    <w:p>
      <w:pPr>
        <w:pStyle w:val="ListParagraph"/>
        <w:numPr>
          <w:ilvl w:val="0"/>
          <w:numId w:val="14"/>
        </w:numPr>
        <w:spacing w:lineRule="auto" w:line="360" w:before="0" w:after="0"/>
        <w:ind w:hanging="283" w:start="567"/>
        <w:contextualSpacing/>
        <w:jc w:val="both"/>
        <w:rPr>
          <w:rFonts w:ascii="Arial" w:hAnsi="Arial" w:cs="Arial"/>
          <w:sz w:val="20"/>
          <w:szCs w:val="20"/>
        </w:rPr>
      </w:pPr>
      <w:r>
        <w:rPr>
          <w:rFonts w:eastAsia="Arial" w:ascii="Arial" w:hAnsi="Arial"/>
          <w:sz w:val="20"/>
        </w:rPr>
        <w:t>Wykonawca wykona umowę z należytą starannością wymaganą od profesjonalisty, zgodnie z przepisami, dokumentacją producenta, zasadami bezpieczeństwa oraz terminami umownymi. Strony są zobowiązane współdziałać przy wykonaniu umowy i niezwłocznie informować się o okolicznościach zagrażających jej realizacji.</w:t>
      </w:r>
    </w:p>
    <w:p>
      <w:pPr>
        <w:pStyle w:val="ListParagraph"/>
        <w:spacing w:lineRule="auto" w:line="360" w:before="0" w:after="0"/>
        <w:ind w:start="0"/>
        <w:contextualSpacing/>
        <w:jc w:val="center"/>
        <w:rPr>
          <w:rFonts w:ascii="Arial" w:hAnsi="Arial" w:cs="Arial"/>
          <w:sz w:val="20"/>
          <w:szCs w:val="20"/>
        </w:rPr>
      </w:pPr>
      <w:bookmarkStart w:id="2" w:name="_Hlk204251791"/>
      <w:bookmarkEnd w:id="2"/>
      <w:r>
        <w:rPr>
          <w:rFonts w:cs="Arial" w:ascii="Arial" w:hAnsi="Arial"/>
          <w:sz w:val="20"/>
          <w:szCs w:val="20"/>
        </w:rPr>
        <w:t>§ 3</w:t>
      </w:r>
    </w:p>
    <w:p>
      <w:pPr>
        <w:pStyle w:val="ListParagraph"/>
        <w:numPr>
          <w:ilvl w:val="0"/>
          <w:numId w:val="2"/>
        </w:numPr>
        <w:tabs>
          <w:tab w:val="clear" w:pos="708"/>
          <w:tab w:val="left" w:pos="284" w:leader="none"/>
        </w:tabs>
        <w:spacing w:lineRule="auto" w:line="360" w:before="0" w:after="0"/>
        <w:ind w:hanging="284" w:start="284"/>
        <w:contextualSpacing/>
        <w:jc w:val="both"/>
        <w:rPr>
          <w:rFonts w:ascii="Arial" w:hAnsi="Arial" w:cs="Arial"/>
          <w:sz w:val="20"/>
          <w:szCs w:val="20"/>
        </w:rPr>
      </w:pPr>
      <w:r>
        <w:rPr>
          <w:rFonts w:cs="Arial" w:ascii="Arial" w:hAnsi="Arial"/>
          <w:sz w:val="20"/>
          <w:szCs w:val="20"/>
        </w:rPr>
        <w:t>Wykonawca oświadcza, że przedmiot umowy jest wolny od wad prawnych, praw osób trzecich, nie toczy się w stosunku do niego żadne postępowanie, a także nie jest on przedmiotem zabezpieczenia, zastawu.</w:t>
      </w:r>
    </w:p>
    <w:p>
      <w:pPr>
        <w:pStyle w:val="ListParagraph"/>
        <w:numPr>
          <w:ilvl w:val="0"/>
          <w:numId w:val="2"/>
        </w:numPr>
        <w:spacing w:lineRule="auto" w:line="360" w:before="0" w:after="0"/>
        <w:ind w:hanging="284" w:start="284"/>
        <w:contextualSpacing/>
        <w:jc w:val="both"/>
        <w:rPr>
          <w:rFonts w:ascii="Arial" w:hAnsi="Arial" w:cs="Arial"/>
          <w:sz w:val="20"/>
          <w:szCs w:val="20"/>
        </w:rPr>
      </w:pPr>
      <w:r>
        <w:rPr>
          <w:rFonts w:cs="Arial" w:ascii="Arial" w:hAnsi="Arial"/>
          <w:sz w:val="20"/>
          <w:szCs w:val="20"/>
        </w:rPr>
        <w:t>Odbiór przedmiotu umowy nastąpi w miejscu dostawy wskazanym przez Zamawiającego</w:t>
      </w:r>
      <w:bookmarkStart w:id="3" w:name="_Hlk204251843"/>
      <w:bookmarkEnd w:id="3"/>
      <w:r>
        <w:rPr>
          <w:rFonts w:cs="Arial" w:ascii="Arial" w:hAnsi="Arial"/>
          <w:sz w:val="20"/>
          <w:szCs w:val="20"/>
        </w:rPr>
        <w:t xml:space="preserve"> w § 1 </w:t>
        <w:br/>
        <w:t>ust. 6 umowy.</w:t>
      </w:r>
    </w:p>
    <w:p>
      <w:pPr>
        <w:pStyle w:val="ListParagraph"/>
        <w:numPr>
          <w:ilvl w:val="0"/>
          <w:numId w:val="2"/>
        </w:numPr>
        <w:spacing w:lineRule="auto" w:line="360" w:before="0" w:after="0"/>
        <w:ind w:hanging="284" w:start="284"/>
        <w:contextualSpacing/>
        <w:jc w:val="both"/>
        <w:rPr>
          <w:rFonts w:ascii="Arial" w:hAnsi="Arial" w:cs="Arial"/>
          <w:sz w:val="20"/>
          <w:szCs w:val="20"/>
        </w:rPr>
      </w:pPr>
      <w:r>
        <w:rPr>
          <w:rFonts w:eastAsia="Arial" w:ascii="Arial" w:hAnsi="Arial"/>
          <w:sz w:val="20"/>
        </w:rPr>
        <w:t>Polecenia organizacyjne Zamawiającego mogą doprecyzowywać sposób wykonania umowy, lecz nie mogą zmieniać przedmiotu, wynagrodzenia ani terminu. Każda zmiana umowy jest dopuszczalna wyłącznie na zasadach określonych w § 10 oraz art. 454–455 Pzp i wymaga zachowania formy wskazanej w umowie.</w:t>
      </w:r>
    </w:p>
    <w:p>
      <w:pPr>
        <w:pStyle w:val="ListParagraph"/>
        <w:spacing w:lineRule="auto" w:line="360" w:before="0" w:after="0"/>
        <w:ind w:hanging="426" w:start="426"/>
        <w:contextualSpacing/>
        <w:jc w:val="center"/>
        <w:rPr>
          <w:rFonts w:ascii="Arial" w:hAnsi="Arial" w:cs="Arial"/>
          <w:sz w:val="20"/>
          <w:szCs w:val="20"/>
        </w:rPr>
      </w:pPr>
      <w:r>
        <w:rPr>
          <w:rFonts w:cs="Arial" w:ascii="Arial" w:hAnsi="Arial"/>
          <w:sz w:val="20"/>
          <w:szCs w:val="20"/>
        </w:rPr>
        <w:t>§ 4</w:t>
      </w:r>
    </w:p>
    <w:p>
      <w:pPr>
        <w:pStyle w:val="Normal"/>
        <w:numPr>
          <w:ilvl w:val="0"/>
          <w:numId w:val="12"/>
        </w:numPr>
        <w:spacing w:lineRule="auto" w:line="360" w:before="0" w:after="0"/>
        <w:jc w:val="both"/>
        <w:rPr/>
      </w:pPr>
      <w:r>
        <w:rPr>
          <w:rFonts w:eastAsia="Arial" w:ascii="Arial" w:hAnsi="Arial"/>
          <w:sz w:val="20"/>
        </w:rPr>
        <w:t>Wykonawca wykona przedmiot umowy w terminie nie później niż do dnia 30 październik 2026 r.</w:t>
      </w:r>
    </w:p>
    <w:p>
      <w:pPr>
        <w:pStyle w:val="ListParagraph"/>
        <w:numPr>
          <w:ilvl w:val="0"/>
          <w:numId w:val="12"/>
        </w:numPr>
        <w:spacing w:lineRule="auto" w:line="360" w:before="0" w:after="0"/>
        <w:contextualSpacing/>
        <w:jc w:val="both"/>
        <w:rPr>
          <w:rFonts w:ascii="Arial" w:hAnsi="Arial" w:cs="Arial"/>
          <w:sz w:val="20"/>
          <w:szCs w:val="20"/>
        </w:rPr>
      </w:pPr>
      <w:r>
        <w:rPr>
          <w:rFonts w:cs="Arial" w:ascii="Arial" w:hAnsi="Arial"/>
          <w:bCs/>
          <w:sz w:val="20"/>
          <w:szCs w:val="20"/>
        </w:rPr>
        <w:t xml:space="preserve">Odbiór przedmiotu umowy zostanie dokonany w siedzibie </w:t>
      </w:r>
      <w:r>
        <w:rPr>
          <w:rFonts w:cs="Arial" w:ascii="Arial" w:hAnsi="Arial"/>
          <w:sz w:val="20"/>
          <w:szCs w:val="20"/>
        </w:rPr>
        <w:t>Gminnego Zakładu Gospodarki Komunalnej w Miłkowicach ul. Rybacka 10 59-222 Miłkowice</w:t>
      </w:r>
      <w:r>
        <w:rPr>
          <w:rFonts w:cs="Arial" w:ascii="Arial" w:hAnsi="Arial"/>
          <w:bCs/>
          <w:sz w:val="20"/>
          <w:szCs w:val="20"/>
        </w:rPr>
        <w:t>.</w:t>
      </w:r>
    </w:p>
    <w:p>
      <w:pPr>
        <w:pStyle w:val="ListParagraph"/>
        <w:numPr>
          <w:ilvl w:val="0"/>
          <w:numId w:val="12"/>
        </w:numPr>
        <w:spacing w:lineRule="auto" w:line="360" w:before="0" w:after="0"/>
        <w:contextualSpacing/>
        <w:jc w:val="both"/>
        <w:rPr>
          <w:rFonts w:ascii="Arial" w:hAnsi="Arial" w:cs="Arial"/>
          <w:sz w:val="20"/>
          <w:szCs w:val="20"/>
        </w:rPr>
      </w:pPr>
      <w:r>
        <w:rPr>
          <w:rFonts w:eastAsia="Arial" w:ascii="Arial" w:hAnsi="Arial"/>
          <w:sz w:val="20"/>
        </w:rPr>
        <w:t>Odbiór nastąpi w dniu roboczym, od poniedziałku do piątku w godz. 7:30–14:00, na podstawie protokołu zdawczo-odbiorczego według wzoru stanowiącego załącznik nr 4 do umowy.</w:t>
      </w:r>
    </w:p>
    <w:p>
      <w:pPr>
        <w:pStyle w:val="ListParagraph"/>
        <w:numPr>
          <w:ilvl w:val="0"/>
          <w:numId w:val="12"/>
        </w:numPr>
        <w:spacing w:lineRule="auto" w:line="360" w:before="0" w:after="0"/>
        <w:contextualSpacing/>
        <w:jc w:val="both"/>
        <w:rPr>
          <w:rFonts w:ascii="Arial" w:hAnsi="Arial" w:cs="Arial"/>
          <w:sz w:val="20"/>
          <w:szCs w:val="20"/>
        </w:rPr>
      </w:pPr>
      <w:r>
        <w:rPr>
          <w:rFonts w:eastAsia="Arial" w:ascii="Arial" w:hAnsi="Arial"/>
          <w:sz w:val="20"/>
        </w:rPr>
        <w:t>Wykonawca powiadomi Zamawiającego o planowanym terminie dostawy co najmniej 2 dni robocze wcześniej, drogą elektroniczną na adresy: sekretariat@ugmilkowice.net oraz zk@ugmilkowice.net. Termin dostawy wymaga potwierdzenia przez Zamawiającego.</w:t>
      </w:r>
    </w:p>
    <w:p>
      <w:pPr>
        <w:pStyle w:val="ListParagraph"/>
        <w:numPr>
          <w:ilvl w:val="0"/>
          <w:numId w:val="12"/>
        </w:numPr>
        <w:spacing w:lineRule="auto" w:line="360" w:before="0" w:after="0"/>
        <w:contextualSpacing/>
        <w:jc w:val="both"/>
        <w:rPr>
          <w:rFonts w:ascii="Arial" w:hAnsi="Arial" w:cs="Arial"/>
          <w:sz w:val="20"/>
          <w:szCs w:val="20"/>
        </w:rPr>
      </w:pPr>
      <w:r>
        <w:rPr>
          <w:rFonts w:cs="Arial" w:ascii="Arial" w:hAnsi="Arial"/>
          <w:sz w:val="20"/>
          <w:szCs w:val="20"/>
        </w:rPr>
        <w:t xml:space="preserve">Strony powołują do wzajemnych kontaktów na etapie realizacji umowy następujące osoby: </w:t>
      </w:r>
    </w:p>
    <w:p>
      <w:pPr>
        <w:pStyle w:val="ListParagraph"/>
        <w:numPr>
          <w:ilvl w:val="0"/>
          <w:numId w:val="13"/>
        </w:numPr>
        <w:spacing w:lineRule="auto" w:line="360" w:before="0" w:after="0"/>
        <w:ind w:hanging="283" w:start="709"/>
        <w:contextualSpacing/>
        <w:jc w:val="both"/>
        <w:rPr>
          <w:rFonts w:ascii="Arial" w:hAnsi="Arial" w:cs="Arial"/>
          <w:sz w:val="20"/>
          <w:szCs w:val="20"/>
        </w:rPr>
      </w:pPr>
      <w:r>
        <w:rPr>
          <w:rFonts w:cs="Arial" w:ascii="Arial" w:hAnsi="Arial"/>
          <w:sz w:val="20"/>
          <w:szCs w:val="20"/>
        </w:rPr>
        <w:t>Przedstawicielem Zamawiającego upoważnionym do kontaktów w sprawie realizacji umowy są:</w:t>
      </w:r>
    </w:p>
    <w:p>
      <w:pPr>
        <w:pStyle w:val="ListParagraph"/>
        <w:numPr>
          <w:ilvl w:val="0"/>
          <w:numId w:val="17"/>
        </w:numPr>
        <w:spacing w:lineRule="auto" w:line="360" w:before="0" w:after="0"/>
        <w:ind w:hanging="284" w:start="993"/>
        <w:contextualSpacing/>
        <w:jc w:val="both"/>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 tel.: ………………………. adres email: ……………….………. </w:t>
      </w:r>
    </w:p>
    <w:p>
      <w:pPr>
        <w:pStyle w:val="ListParagraph"/>
        <w:numPr>
          <w:ilvl w:val="0"/>
          <w:numId w:val="17"/>
        </w:numPr>
        <w:spacing w:lineRule="auto" w:line="360" w:before="0" w:after="0"/>
        <w:ind w:hanging="284" w:start="993"/>
        <w:contextualSpacing/>
        <w:jc w:val="both"/>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 tel.: ………………………. adres email: ……………….………. </w:t>
      </w:r>
    </w:p>
    <w:p>
      <w:pPr>
        <w:pStyle w:val="ListParagraph"/>
        <w:numPr>
          <w:ilvl w:val="0"/>
          <w:numId w:val="13"/>
        </w:numPr>
        <w:spacing w:lineRule="auto" w:line="360" w:before="0" w:after="0"/>
        <w:ind w:hanging="283" w:start="709"/>
        <w:contextualSpacing/>
        <w:jc w:val="both"/>
        <w:rPr>
          <w:rFonts w:ascii="Arial" w:hAnsi="Arial" w:cs="Arial"/>
          <w:sz w:val="20"/>
          <w:szCs w:val="20"/>
        </w:rPr>
      </w:pPr>
      <w:r>
        <w:rPr>
          <w:rFonts w:cs="Arial" w:ascii="Arial" w:hAnsi="Arial"/>
          <w:sz w:val="20"/>
          <w:szCs w:val="20"/>
        </w:rPr>
        <w:t>Przedstawicielem Wykonawcy upoważnionym do kontaktów w sprawie realizacji umowy jest: ……………………………., tel.: ……..…………….. adres email: …………………………………</w:t>
      </w:r>
    </w:p>
    <w:p>
      <w:pPr>
        <w:pStyle w:val="Standard"/>
        <w:numPr>
          <w:ilvl w:val="0"/>
          <w:numId w:val="13"/>
        </w:numPr>
        <w:ind w:hanging="283" w:start="709"/>
        <w:rPr>
          <w:rFonts w:ascii="Arial" w:hAnsi="Arial" w:cs="Arial"/>
          <w:sz w:val="20"/>
          <w:szCs w:val="20"/>
        </w:rPr>
      </w:pPr>
      <w:r>
        <w:rPr>
          <w:rFonts w:eastAsia="Arial" w:ascii="Arial" w:hAnsi="Arial"/>
          <w:sz w:val="20"/>
        </w:rPr>
        <w:t>Zmiana osób lub danych kontaktowych wskazanych w pkt. 1 i 2 wymaga niezwłocznego zawiadomienia drugiej Strony w formie dokumentowej i nie stanowi zmiany umowy.</w:t>
      </w:r>
    </w:p>
    <w:p>
      <w:pPr>
        <w:pStyle w:val="ListParagraph"/>
        <w:numPr>
          <w:ilvl w:val="0"/>
          <w:numId w:val="12"/>
        </w:numPr>
        <w:spacing w:lineRule="auto" w:line="360" w:before="0" w:after="0"/>
        <w:contextualSpacing/>
        <w:jc w:val="both"/>
        <w:rPr>
          <w:rFonts w:ascii="Arial" w:hAnsi="Arial" w:cs="Arial"/>
          <w:sz w:val="20"/>
          <w:szCs w:val="20"/>
        </w:rPr>
      </w:pPr>
      <w:r>
        <w:rPr>
          <w:rFonts w:eastAsia="Arial" w:ascii="Arial" w:hAnsi="Arial"/>
          <w:sz w:val="20"/>
        </w:rPr>
        <w:t>Odbiór obejmuje co najmniej: identyfikację maszyny i osprzętu, kontrolę kompletności i widocznych uszkodzeń, porównanie parametrów z OPZ i ofertą, sprawdzenie dokumentacji, próbne uruchomienie wszystkich funkcji oraz potwierdzenie szkolenia i przekazania dostępu do systemu telematycznego.</w:t>
      </w:r>
    </w:p>
    <w:p>
      <w:pPr>
        <w:pStyle w:val="ListParagraph"/>
        <w:numPr>
          <w:ilvl w:val="0"/>
          <w:numId w:val="12"/>
        </w:numPr>
        <w:spacing w:lineRule="auto" w:line="360" w:before="0" w:after="0"/>
        <w:contextualSpacing/>
        <w:jc w:val="both"/>
        <w:rPr>
          <w:rFonts w:ascii="Arial" w:hAnsi="Arial" w:cs="Arial"/>
          <w:sz w:val="20"/>
          <w:szCs w:val="20"/>
        </w:rPr>
      </w:pPr>
      <w:r>
        <w:rPr>
          <w:rFonts w:eastAsia="Arial" w:ascii="Arial" w:hAnsi="Arial"/>
          <w:sz w:val="20"/>
        </w:rPr>
        <w:t>Przed podpisaniem protokołu Wykonawca przeprowadzi w miejscu dostawy próbne uruchomienie i demonstrację poprawnego działania maszyny, osprzętu oraz systemów objętych dostawą, z zachowaniem zasad bezpieczeństwa.</w:t>
      </w:r>
    </w:p>
    <w:p>
      <w:pPr>
        <w:pStyle w:val="ListParagraph"/>
        <w:numPr>
          <w:ilvl w:val="0"/>
          <w:numId w:val="12"/>
        </w:numPr>
        <w:spacing w:lineRule="auto" w:line="360" w:before="0" w:after="0"/>
        <w:contextualSpacing/>
        <w:jc w:val="both"/>
        <w:rPr>
          <w:rFonts w:ascii="Arial" w:hAnsi="Arial" w:cs="Arial"/>
          <w:sz w:val="20"/>
          <w:szCs w:val="20"/>
        </w:rPr>
      </w:pPr>
      <w:r>
        <w:rPr>
          <w:rFonts w:eastAsia="Arial" w:ascii="Arial" w:hAnsi="Arial"/>
          <w:sz w:val="20"/>
        </w:rPr>
        <w:t>Protokół odbioru podpisują upoważnieni przedstawiciele Stron. Nieobecność Wykonawcy mimo prawidłowego zawiadomienia nie wstrzymuje czynności i uprawnia Zamawiającego do sporządzenia protokołu jednostronnego, który zostanie doręczony Wykonawcy. Nieobecność przedstawiciela Zamawiającego nie stanowi odbioru ani nie uprawnia Wykonawcy do jednostronnego potwierdzenia należytego wykonania.</w:t>
      </w:r>
    </w:p>
    <w:p>
      <w:pPr>
        <w:pStyle w:val="ListParagraph"/>
        <w:numPr>
          <w:ilvl w:val="0"/>
          <w:numId w:val="12"/>
        </w:numPr>
        <w:spacing w:lineRule="auto" w:line="360" w:before="0" w:after="0"/>
        <w:contextualSpacing/>
        <w:jc w:val="both"/>
        <w:rPr>
          <w:rFonts w:ascii="Arial" w:hAnsi="Arial" w:cs="Arial"/>
          <w:sz w:val="20"/>
          <w:szCs w:val="20"/>
        </w:rPr>
      </w:pPr>
      <w:r>
        <w:rPr>
          <w:rFonts w:eastAsia="Arial" w:ascii="Arial" w:hAnsi="Arial"/>
          <w:sz w:val="20"/>
        </w:rPr>
        <w:t>W razie wad istotnych, braku wymaganej dokumentacji albo niezgodności z OPZ lub ofertą Zamawiający odmówi odbioru, wskazując przyczyny i termin ponownego przedstawienia przedmiotu umowy, nie dłuższy niż 5 dni roboczych, z zastrzeżeniem terminu końcowego. Wady nieistotne mogą zostać wpisane do protokołu z terminem usunięcia nie dłuższym niż 5 dni roboczych, bez utraty uprawnień Zamawiającego. Odbiór z wadami istotnymi nie następuje.</w:t>
      </w:r>
    </w:p>
    <w:p>
      <w:pPr>
        <w:pStyle w:val="ListParagraph"/>
        <w:numPr>
          <w:ilvl w:val="0"/>
          <w:numId w:val="12"/>
        </w:numPr>
        <w:spacing w:lineRule="auto" w:line="360" w:before="0" w:after="0"/>
        <w:contextualSpacing/>
        <w:jc w:val="both"/>
        <w:rPr>
          <w:rFonts w:ascii="Arial" w:hAnsi="Arial" w:cs="Arial"/>
          <w:sz w:val="20"/>
          <w:szCs w:val="20"/>
        </w:rPr>
      </w:pPr>
      <w:r>
        <w:rPr>
          <w:rFonts w:eastAsia="Arial" w:ascii="Arial" w:hAnsi="Arial"/>
          <w:sz w:val="20"/>
        </w:rPr>
        <w:t>Stwierdzone wady i braki opisuje się w protokole w dwóch egzemplarzach. Odmowa podpisu przez Wykonawcę nie pozbawia skuteczności protokołu jednostronnego Zamawiającego. Sporządzenie protokołu nie narusza prawa do kar umownych, odszkodowania, rękojmi, gwarancji ani odstąpienia.</w:t>
      </w:r>
    </w:p>
    <w:p>
      <w:pPr>
        <w:pStyle w:val="ListParagraph"/>
        <w:numPr>
          <w:ilvl w:val="0"/>
          <w:numId w:val="12"/>
        </w:numPr>
        <w:spacing w:lineRule="auto" w:line="360" w:before="0" w:after="0"/>
        <w:contextualSpacing/>
        <w:jc w:val="both"/>
        <w:rPr>
          <w:rFonts w:ascii="Arial" w:hAnsi="Arial" w:cs="Arial"/>
          <w:bCs/>
          <w:sz w:val="20"/>
          <w:szCs w:val="20"/>
        </w:rPr>
      </w:pPr>
      <w:r>
        <w:rPr>
          <w:rFonts w:eastAsia="Arial" w:ascii="Arial" w:hAnsi="Arial"/>
          <w:sz w:val="20"/>
        </w:rPr>
        <w:t>Najpóźniej przy odbiorze Wykonawca przekaże co najmniej:</w:t>
      </w:r>
    </w:p>
    <w:p>
      <w:pPr>
        <w:pStyle w:val="Teksttreci"/>
        <w:numPr>
          <w:ilvl w:val="1"/>
          <w:numId w:val="12"/>
        </w:numPr>
        <w:tabs>
          <w:tab w:val="clear" w:pos="708"/>
          <w:tab w:val="left" w:pos="1560" w:leader="none"/>
        </w:tabs>
        <w:spacing w:lineRule="auto" w:line="360" w:before="0" w:after="0"/>
        <w:ind w:hanging="360" w:start="851" w:end="40"/>
        <w:jc w:val="both"/>
        <w:rPr>
          <w:rFonts w:ascii="Arial" w:hAnsi="Arial" w:cs="Arial"/>
          <w:sz w:val="20"/>
          <w:szCs w:val="20"/>
        </w:rPr>
      </w:pPr>
      <w:r>
        <w:rPr>
          <w:rFonts w:eastAsia="Arial" w:ascii="Arial" w:hAnsi="Arial"/>
          <w:sz w:val="20"/>
        </w:rPr>
        <w:t>kartę gwarancyjną i warunki gwarancji w języku polskim, zgodne z umową; w razie sprzeczności pierwszeństwo mają postanowienia umowy;</w:t>
      </w:r>
    </w:p>
    <w:p>
      <w:pPr>
        <w:pStyle w:val="Teksttreci"/>
        <w:numPr>
          <w:ilvl w:val="1"/>
          <w:numId w:val="12"/>
        </w:numPr>
        <w:tabs>
          <w:tab w:val="clear" w:pos="708"/>
          <w:tab w:val="left" w:pos="1560" w:leader="none"/>
        </w:tabs>
        <w:spacing w:lineRule="auto" w:line="360" w:before="0" w:after="0"/>
        <w:ind w:hanging="360" w:start="851" w:end="40"/>
        <w:jc w:val="both"/>
        <w:rPr>
          <w:rFonts w:ascii="Arial" w:hAnsi="Arial" w:cs="Arial"/>
          <w:sz w:val="20"/>
          <w:szCs w:val="20"/>
        </w:rPr>
      </w:pPr>
      <w:r>
        <w:rPr>
          <w:rFonts w:eastAsia="Arial" w:ascii="Arial" w:hAnsi="Arial"/>
          <w:sz w:val="20"/>
        </w:rPr>
        <w:t>dwa komplety kluczyków;</w:t>
      </w:r>
    </w:p>
    <w:p>
      <w:pPr>
        <w:pStyle w:val="Teksttreci"/>
        <w:numPr>
          <w:ilvl w:val="1"/>
          <w:numId w:val="12"/>
        </w:numPr>
        <w:tabs>
          <w:tab w:val="clear" w:pos="708"/>
          <w:tab w:val="left" w:pos="1560" w:leader="none"/>
        </w:tabs>
        <w:spacing w:lineRule="auto" w:line="360" w:before="0" w:after="0"/>
        <w:ind w:hanging="360" w:start="851" w:end="40"/>
        <w:jc w:val="both"/>
        <w:rPr>
          <w:rFonts w:ascii="Arial" w:hAnsi="Arial" w:cs="Arial"/>
          <w:sz w:val="20"/>
          <w:szCs w:val="20"/>
        </w:rPr>
      </w:pPr>
      <w:r>
        <w:rPr>
          <w:rFonts w:eastAsia="Arial" w:ascii="Arial" w:hAnsi="Arial"/>
          <w:sz w:val="20"/>
        </w:rPr>
        <w:t>instrukcję obsługi, konserwacji i bezpieczeństwa oraz książkę serwisową w języku polskim, a także katalog części w postaci papierowej lub elektronicznej;</w:t>
      </w:r>
    </w:p>
    <w:p>
      <w:pPr>
        <w:pStyle w:val="Teksttreci"/>
        <w:numPr>
          <w:ilvl w:val="1"/>
          <w:numId w:val="12"/>
        </w:numPr>
        <w:tabs>
          <w:tab w:val="clear" w:pos="708"/>
          <w:tab w:val="left" w:pos="1560" w:leader="none"/>
        </w:tabs>
        <w:spacing w:lineRule="auto" w:line="360" w:before="0" w:after="0"/>
        <w:ind w:hanging="360" w:start="851" w:end="40"/>
        <w:jc w:val="both"/>
        <w:rPr>
          <w:rFonts w:ascii="Arial" w:hAnsi="Arial" w:cs="Arial"/>
          <w:sz w:val="20"/>
          <w:szCs w:val="20"/>
        </w:rPr>
      </w:pPr>
      <w:r>
        <w:rPr>
          <w:rFonts w:eastAsia="Arial" w:ascii="Arial" w:hAnsi="Arial"/>
          <w:sz w:val="20"/>
        </w:rPr>
        <w:t>oficjalne dane producenta dotyczące zużycia paliwa, jeżeli producent je publikuje;</w:t>
      </w:r>
    </w:p>
    <w:p>
      <w:pPr>
        <w:pStyle w:val="Teksttreci"/>
        <w:numPr>
          <w:ilvl w:val="1"/>
          <w:numId w:val="12"/>
        </w:numPr>
        <w:tabs>
          <w:tab w:val="clear" w:pos="708"/>
          <w:tab w:val="left" w:pos="1560" w:leader="none"/>
        </w:tabs>
        <w:spacing w:lineRule="auto" w:line="360" w:before="0" w:after="0"/>
        <w:ind w:hanging="360" w:start="851" w:end="40"/>
        <w:jc w:val="both"/>
        <w:rPr>
          <w:rFonts w:ascii="Arial" w:hAnsi="Arial" w:cs="Arial"/>
          <w:sz w:val="20"/>
          <w:szCs w:val="20"/>
        </w:rPr>
      </w:pPr>
      <w:r>
        <w:rPr>
          <w:rFonts w:eastAsia="Arial" w:ascii="Arial" w:hAnsi="Arial"/>
          <w:sz w:val="20"/>
        </w:rPr>
        <w:t>deklarację zgodności WE z dyrektywą 2006/42/WE albo — gdy właściwe ze względu na datę wprowadzenia do obrotu — deklarację zgodności UE z rozporządzeniem (UE) 2023/1230, potwierdzenie oznakowania CE i dokumentację techniczną wymaganą do bezpiecznej eksploatacji;</w:t>
      </w:r>
    </w:p>
    <w:p>
      <w:pPr>
        <w:pStyle w:val="Teksttreci"/>
        <w:numPr>
          <w:ilvl w:val="1"/>
          <w:numId w:val="12"/>
        </w:numPr>
        <w:tabs>
          <w:tab w:val="clear" w:pos="708"/>
          <w:tab w:val="left" w:pos="1560" w:leader="none"/>
        </w:tabs>
        <w:spacing w:lineRule="auto" w:line="360" w:before="0" w:after="0"/>
        <w:ind w:hanging="360" w:start="851" w:end="40"/>
        <w:jc w:val="both"/>
        <w:rPr>
          <w:rFonts w:ascii="Arial" w:hAnsi="Arial" w:cs="Arial"/>
          <w:sz w:val="20"/>
          <w:szCs w:val="20"/>
        </w:rPr>
      </w:pPr>
      <w:r>
        <w:rPr>
          <w:rFonts w:eastAsia="Arial" w:ascii="Arial" w:hAnsi="Arial"/>
          <w:sz w:val="20"/>
        </w:rPr>
        <w:t>dokumenty wymagane prawem dla zgodnego z prawem poruszania się oferowanej konfiguracji po drogach publicznych albo pisemne wskazanie podstawy prawnej braku obowiązku homologacji lub rejestracji;</w:t>
      </w:r>
    </w:p>
    <w:p>
      <w:pPr>
        <w:pStyle w:val="Teksttreci"/>
        <w:numPr>
          <w:ilvl w:val="1"/>
          <w:numId w:val="12"/>
        </w:numPr>
        <w:tabs>
          <w:tab w:val="clear" w:pos="708"/>
          <w:tab w:val="left" w:pos="1560" w:leader="none"/>
        </w:tabs>
        <w:spacing w:lineRule="auto" w:line="360" w:before="0" w:after="0"/>
        <w:ind w:hanging="360" w:start="851" w:end="40"/>
        <w:jc w:val="both"/>
        <w:rPr>
          <w:rFonts w:ascii="Arial" w:hAnsi="Arial" w:cs="Arial"/>
          <w:sz w:val="20"/>
          <w:szCs w:val="20"/>
        </w:rPr>
      </w:pPr>
      <w:r>
        <w:rPr>
          <w:rFonts w:eastAsia="Arial" w:ascii="Arial" w:hAnsi="Arial"/>
          <w:sz w:val="20"/>
        </w:rPr>
        <w:t>dane dostępowe i instrukcję do systemu telematycznego, informacje o licencji, retencji i przetwarzaniu danych</w:t>
      </w:r>
      <w:r>
        <w:rPr>
          <w:rFonts w:eastAsia="Arial" w:ascii="Arial" w:hAnsi="Arial"/>
          <w:strike/>
          <w:sz w:val="20"/>
        </w:rPr>
        <w:t>;</w:t>
      </w:r>
    </w:p>
    <w:p>
      <w:pPr>
        <w:pStyle w:val="Teksttreci"/>
        <w:numPr>
          <w:ilvl w:val="1"/>
          <w:numId w:val="12"/>
        </w:numPr>
        <w:tabs>
          <w:tab w:val="clear" w:pos="708"/>
          <w:tab w:val="left" w:pos="1560" w:leader="none"/>
        </w:tabs>
        <w:spacing w:lineRule="auto" w:line="360" w:before="0" w:after="0"/>
        <w:ind w:hanging="360" w:start="851" w:end="40"/>
        <w:jc w:val="both"/>
        <w:rPr>
          <w:rFonts w:ascii="Arial" w:hAnsi="Arial" w:cs="Arial"/>
          <w:sz w:val="20"/>
          <w:szCs w:val="20"/>
        </w:rPr>
      </w:pPr>
      <w:r>
        <w:rPr>
          <w:rFonts w:eastAsia="Arial" w:ascii="Arial" w:hAnsi="Arial"/>
          <w:sz w:val="20"/>
        </w:rPr>
        <w:t>protokół szkolenia oraz wykaz przekazanego osprzętu, narzędzi i wyposażenia;</w:t>
      </w:r>
    </w:p>
    <w:p>
      <w:pPr>
        <w:pStyle w:val="Teksttreci"/>
        <w:tabs>
          <w:tab w:val="clear" w:pos="708"/>
          <w:tab w:val="left" w:pos="1560" w:leader="none"/>
        </w:tabs>
        <w:spacing w:lineRule="auto" w:line="360" w:before="0" w:after="0"/>
        <w:ind w:hanging="0" w:end="40"/>
        <w:jc w:val="both"/>
        <w:rPr>
          <w:rFonts w:ascii="Arial" w:hAnsi="Arial" w:cs="Arial"/>
          <w:sz w:val="20"/>
          <w:szCs w:val="20"/>
        </w:rPr>
      </w:pPr>
      <w:r>
        <w:rPr>
          <w:rFonts w:eastAsia="Arial" w:ascii="Arial" w:hAnsi="Arial"/>
          <w:sz w:val="20"/>
        </w:rPr>
        <w:t>Brak któregokolwiek dokumentu lub elementu niezbędnego do zgodnego z prawem i bezpiecznego użytkowania stanowi wadę istotną i uprawnia Zamawiającego do odmowy odbioru.</w:t>
      </w:r>
    </w:p>
    <w:p>
      <w:pPr>
        <w:pStyle w:val="Normal"/>
        <w:spacing w:lineRule="auto" w:line="360" w:before="0" w:after="0"/>
        <w:jc w:val="center"/>
        <w:rPr>
          <w:rFonts w:ascii="Arial" w:hAnsi="Arial" w:cs="Arial"/>
          <w:sz w:val="20"/>
          <w:szCs w:val="20"/>
        </w:rPr>
      </w:pPr>
      <w:r>
        <w:rPr>
          <w:rFonts w:cs="Arial" w:ascii="Arial" w:hAnsi="Arial"/>
          <w:sz w:val="20"/>
          <w:szCs w:val="20"/>
        </w:rPr>
        <w:t>§ 5</w:t>
      </w:r>
    </w:p>
    <w:p>
      <w:pPr>
        <w:pStyle w:val="Normal"/>
        <w:spacing w:lineRule="auto" w:line="360" w:before="0" w:after="0"/>
        <w:rPr>
          <w:rFonts w:ascii="Arial" w:hAnsi="Arial" w:cs="Arial"/>
          <w:sz w:val="20"/>
          <w:szCs w:val="20"/>
        </w:rPr>
      </w:pPr>
      <w:r>
        <w:rPr>
          <w:rFonts w:cs="Arial" w:ascii="Arial" w:hAnsi="Arial"/>
          <w:sz w:val="20"/>
          <w:szCs w:val="20"/>
        </w:rPr>
        <w:t>Warunki płatności:</w:t>
      </w:r>
    </w:p>
    <w:p>
      <w:pPr>
        <w:pStyle w:val="ListParagraph"/>
        <w:numPr>
          <w:ilvl w:val="0"/>
          <w:numId w:val="3"/>
        </w:numPr>
        <w:spacing w:lineRule="auto" w:line="360" w:before="0" w:after="0"/>
        <w:ind w:hanging="426" w:start="426"/>
        <w:contextualSpacing/>
        <w:jc w:val="both"/>
        <w:rPr>
          <w:rFonts w:ascii="Arial" w:hAnsi="Arial" w:cs="Arial"/>
          <w:sz w:val="20"/>
          <w:szCs w:val="20"/>
        </w:rPr>
      </w:pPr>
      <w:r>
        <w:rPr>
          <w:rFonts w:cs="Arial" w:ascii="Arial" w:hAnsi="Arial"/>
          <w:sz w:val="20"/>
          <w:szCs w:val="20"/>
        </w:rPr>
        <w:t>Za wykonanie przedmiotu umowy Zamawiający zapłaci wynagrodzenie ryczałtowe, które wynosi brutto: ............. zł (słownie: .................................................. ), w tym podatek VAT w stawce ………%, tj. ................... zł, wartość netto: ......................zł (słownie: ...........................................).</w:t>
      </w:r>
    </w:p>
    <w:p>
      <w:pPr>
        <w:pStyle w:val="ListParagraph"/>
        <w:numPr>
          <w:ilvl w:val="0"/>
          <w:numId w:val="3"/>
        </w:numPr>
        <w:spacing w:lineRule="auto" w:line="360" w:before="0" w:after="0"/>
        <w:ind w:hanging="426" w:start="426"/>
        <w:contextualSpacing/>
        <w:jc w:val="both"/>
        <w:rPr>
          <w:rFonts w:ascii="Arial" w:hAnsi="Arial" w:cs="Arial"/>
          <w:sz w:val="20"/>
          <w:szCs w:val="20"/>
        </w:rPr>
      </w:pPr>
      <w:r>
        <w:rPr>
          <w:rFonts w:eastAsia="Arial" w:ascii="Arial" w:hAnsi="Arial"/>
          <w:sz w:val="20"/>
        </w:rPr>
        <w:t>Wynagrodzenie obejmuje wszystkie koszty należytego wykonania umowy, w szczególności zakup maszyny i osprzętu, wymagane prawem dokumenty, transport i ubezpieczenie, rozładunek, uruchomienie, szkolenie, telematykę przez 5 lat, gwarancję, dojazdy oraz 5 przeglądów do 2 000 motogodzin, podatki i opłaty.</w:t>
      </w:r>
    </w:p>
    <w:p>
      <w:pPr>
        <w:pStyle w:val="ListParagraph"/>
        <w:numPr>
          <w:ilvl w:val="0"/>
          <w:numId w:val="3"/>
        </w:numPr>
        <w:spacing w:lineRule="auto" w:line="360" w:before="0" w:after="0"/>
        <w:ind w:hanging="426" w:start="426"/>
        <w:contextualSpacing/>
        <w:jc w:val="both"/>
        <w:rPr>
          <w:rFonts w:ascii="Arial" w:hAnsi="Arial" w:cs="Arial"/>
          <w:sz w:val="20"/>
          <w:szCs w:val="20"/>
        </w:rPr>
      </w:pPr>
      <w:r>
        <w:rPr>
          <w:rFonts w:eastAsia="Arial" w:ascii="Arial" w:hAnsi="Arial"/>
          <w:sz w:val="20"/>
        </w:rPr>
        <w:t>Wynagrodzenie jest stałe, z zastrzeżeniem zmian dopuszczonych w § 10. Jeżeli planowany okres realizacji umowy przekracza 6 miesięcy, wynagrodzenie za niewykonaną część dostawy podlega zmianie na wniosek Strony, nie częściej niż raz na 6 miesięcy, gdy wskaźnik cen towarów i usług konsumpcyjnych ogółem ogłaszany przez Prezesa GUS zmieni się o co najmniej 5% względem miesiąca, w którym upłynął termin składania ofert. Zmiana wynosi 50% zmiany wskaźnika i nie może łącznie przekroczyć +5% ani −5% wynagrodzenia brutto. Wniosek wymaga kalkulacji i dotyczy wyłącznie kosztów powstałych po osiągnięciu progu. Wykonawca odpowiednio zmieni wynagrodzenie podwykonawcy w przypadkach z art. 439 ust. 5 Pzp.</w:t>
      </w:r>
    </w:p>
    <w:p>
      <w:pPr>
        <w:pStyle w:val="ListParagraph"/>
        <w:numPr>
          <w:ilvl w:val="0"/>
          <w:numId w:val="3"/>
        </w:numPr>
        <w:spacing w:lineRule="auto" w:line="360" w:before="0" w:after="0"/>
        <w:ind w:hanging="426" w:start="426"/>
        <w:contextualSpacing/>
        <w:jc w:val="both"/>
        <w:rPr>
          <w:rFonts w:ascii="Arial" w:hAnsi="Arial" w:cs="Arial"/>
          <w:sz w:val="20"/>
          <w:szCs w:val="20"/>
        </w:rPr>
      </w:pPr>
      <w:r>
        <w:rPr>
          <w:rFonts w:eastAsia="Arial" w:ascii="Arial" w:hAnsi="Arial"/>
          <w:sz w:val="20"/>
        </w:rPr>
        <w:t>Rozliczenie nastąpi jedną fakturą końcową. Wykonawca może ją wystawić po podpisaniu przez Zamawiającego protokołu odbioru bez wad istotnych i po przekazaniu kompletu dokumentów.</w:t>
      </w:r>
    </w:p>
    <w:p>
      <w:pPr>
        <w:pStyle w:val="ListParagraph"/>
        <w:numPr>
          <w:ilvl w:val="0"/>
          <w:numId w:val="3"/>
        </w:numPr>
        <w:spacing w:lineRule="auto" w:line="360" w:before="0" w:after="0"/>
        <w:ind w:hanging="426" w:start="426"/>
        <w:contextualSpacing/>
        <w:jc w:val="both"/>
        <w:rPr>
          <w:rFonts w:ascii="Arial" w:hAnsi="Arial" w:cs="Arial"/>
          <w:sz w:val="20"/>
          <w:szCs w:val="20"/>
        </w:rPr>
      </w:pPr>
      <w:r>
        <w:rPr>
          <w:rFonts w:cs="Arial" w:ascii="Arial" w:hAnsi="Arial"/>
          <w:sz w:val="20"/>
          <w:szCs w:val="20"/>
        </w:rPr>
        <w:t>Zapłata będzie dokonana przelewem bankowym na konto wskazane przez Wykonawcę w terminie do 30 dni od dnia złożenia przez Wykonawcę poprawie wystawionej faktury na Gminę Miłkowice, wystawionej na podstawie protokołu podpisanego przez Zamawiającego i Wykonawcę potwierdzającego odbiór przedmiotu umowy. Fakturowanie częściowe jest niedopuszczalne.</w:t>
      </w:r>
    </w:p>
    <w:p>
      <w:pPr>
        <w:pStyle w:val="ListParagraph"/>
        <w:numPr>
          <w:ilvl w:val="0"/>
          <w:numId w:val="3"/>
        </w:numPr>
        <w:spacing w:lineRule="auto" w:line="360" w:before="0" w:after="0"/>
        <w:ind w:hanging="426" w:start="426"/>
        <w:contextualSpacing/>
        <w:jc w:val="both"/>
        <w:rPr>
          <w:rFonts w:ascii="Arial" w:hAnsi="Arial" w:cs="Arial"/>
          <w:sz w:val="20"/>
          <w:szCs w:val="20"/>
        </w:rPr>
      </w:pPr>
      <w:r>
        <w:rPr>
          <w:rFonts w:cs="Arial" w:ascii="Arial" w:hAnsi="Arial"/>
          <w:sz w:val="20"/>
          <w:szCs w:val="20"/>
        </w:rPr>
        <w:t>Wykonawca wystawi fakturę zgodnie z poniższym zapisem:</w:t>
      </w:r>
    </w:p>
    <w:p>
      <w:pPr>
        <w:pStyle w:val="ListParagraph"/>
        <w:spacing w:lineRule="auto" w:line="360" w:before="0" w:after="0"/>
        <w:ind w:start="426"/>
        <w:contextualSpacing/>
        <w:jc w:val="both"/>
        <w:rPr>
          <w:rFonts w:ascii="Arial" w:hAnsi="Arial" w:cs="Arial"/>
          <w:sz w:val="20"/>
          <w:szCs w:val="20"/>
        </w:rPr>
      </w:pPr>
      <w:r>
        <w:rPr>
          <w:rFonts w:cs="Arial" w:ascii="Arial" w:hAnsi="Arial"/>
          <w:b/>
          <w:bCs/>
          <w:sz w:val="20"/>
          <w:szCs w:val="20"/>
        </w:rPr>
        <w:t>Nabywca</w:t>
      </w:r>
      <w:r>
        <w:rPr>
          <w:rFonts w:cs="Arial" w:ascii="Arial" w:hAnsi="Arial"/>
          <w:sz w:val="20"/>
          <w:szCs w:val="20"/>
        </w:rPr>
        <w:t xml:space="preserve"> – Gmina Miłkowice ul. Wojska Polskiego 71, 59-222 Miłkowice, NIP 691-12-23-506, REGON 390647506 </w:t>
      </w:r>
    </w:p>
    <w:p>
      <w:pPr>
        <w:pStyle w:val="ListParagraph"/>
        <w:spacing w:lineRule="auto" w:line="360" w:before="0" w:after="0"/>
        <w:ind w:start="426"/>
        <w:contextualSpacing/>
        <w:jc w:val="both"/>
        <w:rPr>
          <w:rFonts w:ascii="Arial" w:hAnsi="Arial" w:cs="Arial"/>
          <w:sz w:val="20"/>
          <w:szCs w:val="20"/>
        </w:rPr>
      </w:pPr>
      <w:r>
        <w:rPr>
          <w:rFonts w:cs="Arial" w:ascii="Arial" w:hAnsi="Arial"/>
          <w:b/>
          <w:bCs/>
          <w:sz w:val="20"/>
          <w:szCs w:val="20"/>
        </w:rPr>
        <w:t xml:space="preserve">Podmiot inny JST - Odbiorca </w:t>
      </w:r>
      <w:r>
        <w:rPr>
          <w:rFonts w:cs="Arial" w:ascii="Arial" w:hAnsi="Arial"/>
          <w:sz w:val="20"/>
          <w:szCs w:val="20"/>
        </w:rPr>
        <w:t>– Urząd Gminy Miłkowice ul. Wojska Polskiego 71, 59-222 Miłkowice, NIP: 691-21-45-984</w:t>
      </w:r>
    </w:p>
    <w:p>
      <w:pPr>
        <w:pStyle w:val="ListParagraph"/>
        <w:numPr>
          <w:ilvl w:val="0"/>
          <w:numId w:val="3"/>
        </w:numPr>
        <w:spacing w:lineRule="auto" w:line="360" w:before="0" w:after="0"/>
        <w:ind w:hanging="426" w:start="426"/>
        <w:contextualSpacing/>
        <w:jc w:val="both"/>
        <w:rPr>
          <w:rFonts w:ascii="Arial" w:hAnsi="Arial" w:cs="Arial"/>
          <w:sz w:val="20"/>
          <w:szCs w:val="20"/>
        </w:rPr>
      </w:pPr>
      <w:r>
        <w:rPr>
          <w:rFonts w:eastAsia="Arial" w:ascii="Arial" w:hAnsi="Arial"/>
          <w:sz w:val="20"/>
        </w:rPr>
        <w:t>Zapłata nastąpi z zastosowaniem mechanizmu podzielonej płatności, jeżeli jest wymagany, na rachunek wskazany na fakturze i ujawniony w wykazie podatników VAT. Postanowienie nie wydłuża terminu płatności określonego w ust. 5.</w:t>
      </w:r>
    </w:p>
    <w:p>
      <w:pPr>
        <w:pStyle w:val="ListParagraph"/>
        <w:numPr>
          <w:ilvl w:val="0"/>
          <w:numId w:val="3"/>
        </w:numPr>
        <w:spacing w:lineRule="auto" w:line="360" w:before="0" w:after="0"/>
        <w:ind w:hanging="426" w:start="426"/>
        <w:contextualSpacing/>
        <w:rPr>
          <w:rFonts w:ascii="Arial" w:hAnsi="Arial" w:cs="Arial"/>
          <w:sz w:val="20"/>
          <w:szCs w:val="20"/>
        </w:rPr>
      </w:pPr>
      <w:r>
        <w:rPr>
          <w:rFonts w:cs="Arial" w:ascii="Arial" w:hAnsi="Arial"/>
          <w:sz w:val="20"/>
          <w:szCs w:val="20"/>
        </w:rPr>
        <w:t>Za dzień zapłaty uznaje się dzień obciążenia rachunku Zamawiającego.</w:t>
      </w:r>
    </w:p>
    <w:p>
      <w:pPr>
        <w:pStyle w:val="ListParagraph"/>
        <w:numPr>
          <w:ilvl w:val="0"/>
          <w:numId w:val="3"/>
        </w:numPr>
        <w:spacing w:lineRule="auto" w:line="360" w:before="0" w:after="0"/>
        <w:ind w:hanging="426" w:start="426"/>
        <w:contextualSpacing/>
        <w:jc w:val="both"/>
        <w:rPr>
          <w:rFonts w:ascii="Arial" w:hAnsi="Arial" w:cs="Arial"/>
          <w:sz w:val="20"/>
          <w:szCs w:val="20"/>
        </w:rPr>
      </w:pPr>
      <w:r>
        <w:rPr>
          <w:rFonts w:eastAsia="Arial" w:ascii="Arial" w:hAnsi="Arial"/>
          <w:sz w:val="20"/>
        </w:rPr>
        <w:t>Jeżeli w realizacji uczestniczyli podwykonawcy, Wykonawca wraz z fakturą składa ich wykaz i oświadczenie o rozliczeniu wymagalnych należności. Jeżeli podwykonawcy nie uczestniczyli, Wykonawca składa krótkie oświadczenie w tym zakresie. Brak oświadczenia uprawnia Zamawiającego do wezwania z terminem 3 dni roboczych, lecz nie wyłącza ustawowych skutków opóźnienia w zapłacie.</w:t>
      </w:r>
    </w:p>
    <w:p>
      <w:pPr>
        <w:pStyle w:val="ListParagraph"/>
        <w:spacing w:lineRule="auto" w:line="360" w:before="0" w:after="0"/>
        <w:ind w:start="426"/>
        <w:contextualSpacing/>
        <w:jc w:val="both"/>
        <w:rPr>
          <w:rFonts w:ascii="Arial" w:hAnsi="Arial" w:cs="Arial"/>
          <w:sz w:val="20"/>
          <w:szCs w:val="20"/>
        </w:rPr>
      </w:pPr>
      <w:r>
        <w:rPr>
          <w:rFonts w:cs="Arial" w:ascii="Arial" w:hAnsi="Arial"/>
          <w:sz w:val="20"/>
          <w:szCs w:val="20"/>
        </w:rPr>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6</w:t>
      </w:r>
    </w:p>
    <w:p>
      <w:pPr>
        <w:pStyle w:val="Normal"/>
        <w:spacing w:lineRule="auto" w:line="360" w:before="0" w:after="0"/>
        <w:jc w:val="both"/>
        <w:rPr>
          <w:rFonts w:ascii="Arial" w:hAnsi="Arial" w:cs="Arial"/>
          <w:sz w:val="20"/>
          <w:szCs w:val="20"/>
        </w:rPr>
      </w:pPr>
      <w:r>
        <w:rPr>
          <w:rFonts w:cs="Arial" w:ascii="Arial" w:hAnsi="Arial"/>
          <w:sz w:val="20"/>
          <w:szCs w:val="20"/>
        </w:rPr>
        <w:t>Wykonawcy występujący wspólnie ponoszą solidarną odpowiedzialność za wykonanie umowy.</w:t>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7</w:t>
      </w:r>
    </w:p>
    <w:p>
      <w:pPr>
        <w:pStyle w:val="ListParagraph"/>
        <w:spacing w:lineRule="auto" w:line="360" w:before="0" w:after="0"/>
        <w:ind w:start="0"/>
        <w:contextualSpacing/>
        <w:jc w:val="both"/>
        <w:rPr>
          <w:rFonts w:ascii="Arial" w:hAnsi="Arial" w:cs="Arial"/>
          <w:sz w:val="20"/>
          <w:szCs w:val="20"/>
        </w:rPr>
      </w:pPr>
      <w:r>
        <w:rPr>
          <w:rFonts w:cs="Arial" w:ascii="Arial" w:hAnsi="Arial"/>
          <w:sz w:val="20"/>
          <w:szCs w:val="20"/>
        </w:rPr>
        <w:t>Wierzytelność wynikająca z niniejszej umowy nie może być przedmiotem cesji na rzecz osób trzecich bez uprzedniej pisemnej zgody Zamawiającego.</w:t>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8</w:t>
      </w:r>
    </w:p>
    <w:p>
      <w:pPr>
        <w:pStyle w:val="Default"/>
        <w:numPr>
          <w:ilvl w:val="0"/>
          <w:numId w:val="4"/>
        </w:numPr>
        <w:spacing w:lineRule="auto" w:line="360"/>
        <w:jc w:val="both"/>
        <w:rPr>
          <w:rFonts w:ascii="Arial" w:hAnsi="Arial" w:cs="Arial"/>
          <w:color w:val="auto"/>
          <w:sz w:val="20"/>
          <w:szCs w:val="20"/>
        </w:rPr>
      </w:pPr>
      <w:r>
        <w:rPr>
          <w:rFonts w:eastAsia="Arial" w:ascii="Arial" w:hAnsi="Arial"/>
          <w:sz w:val="20"/>
        </w:rPr>
        <w:t>Kary umowne należą się w przypadkach i wysokości wskazanych poniżej. Kara za opóźnienie jest naliczana wyłącznie jako kara za zwłokę, tj. za niewykonanie w terminie z przyczyn, za które odpowiada zobowiązany.</w:t>
      </w:r>
    </w:p>
    <w:p>
      <w:pPr>
        <w:pStyle w:val="ListParagraph"/>
        <w:numPr>
          <w:ilvl w:val="0"/>
          <w:numId w:val="4"/>
        </w:numPr>
        <w:spacing w:lineRule="auto" w:line="360" w:before="0" w:after="0"/>
        <w:contextualSpacing/>
        <w:jc w:val="both"/>
        <w:rPr>
          <w:rFonts w:ascii="Arial" w:hAnsi="Arial" w:cs="Arial"/>
          <w:sz w:val="20"/>
          <w:szCs w:val="20"/>
        </w:rPr>
      </w:pPr>
      <w:r>
        <w:rPr>
          <w:rFonts w:cs="Arial" w:ascii="Arial" w:hAnsi="Arial"/>
          <w:sz w:val="20"/>
          <w:szCs w:val="20"/>
        </w:rPr>
        <w:t xml:space="preserve">Wykonawca zapłaci Zamawiającemu karę umowną: </w:t>
      </w:r>
    </w:p>
    <w:p>
      <w:pPr>
        <w:pStyle w:val="ListParagraph"/>
        <w:numPr>
          <w:ilvl w:val="0"/>
          <w:numId w:val="8"/>
        </w:numPr>
        <w:spacing w:lineRule="auto" w:line="360" w:before="0" w:after="0"/>
        <w:ind w:hanging="425" w:start="709"/>
        <w:contextualSpacing/>
        <w:jc w:val="both"/>
        <w:rPr>
          <w:rFonts w:ascii="Arial" w:hAnsi="Arial" w:cs="Arial"/>
          <w:sz w:val="20"/>
          <w:szCs w:val="20"/>
        </w:rPr>
      </w:pPr>
      <w:r>
        <w:rPr>
          <w:rFonts w:eastAsia="Arial" w:ascii="Arial" w:hAnsi="Arial"/>
          <w:sz w:val="20"/>
        </w:rPr>
        <w:t>za odstąpienie od umowy albo jej wypowiedzenie przez którąkolwiek ze Stron z przyczyn, za które odpowiada Wykonawca — 10% wynagrodzenia brutto wskazanego w § 5 ust. 1;</w:t>
      </w:r>
    </w:p>
    <w:p>
      <w:pPr>
        <w:pStyle w:val="ListParagraph"/>
        <w:numPr>
          <w:ilvl w:val="0"/>
          <w:numId w:val="8"/>
        </w:numPr>
        <w:spacing w:lineRule="auto" w:line="360" w:before="0" w:after="0"/>
        <w:ind w:hanging="425" w:start="709"/>
        <w:contextualSpacing/>
        <w:jc w:val="both"/>
        <w:rPr>
          <w:rFonts w:ascii="Arial" w:hAnsi="Arial" w:cs="Arial"/>
          <w:sz w:val="20"/>
          <w:szCs w:val="20"/>
        </w:rPr>
      </w:pPr>
      <w:r>
        <w:rPr>
          <w:rFonts w:eastAsia="Arial" w:ascii="Arial" w:hAnsi="Arial"/>
          <w:sz w:val="20"/>
        </w:rPr>
        <w:t>za zwłokę w wykonaniu dostawy — 0,1% wynagrodzenia brutto wskazanego w § 5 ust. 1 za każdy dzień zwłoki. Po przekroczeniu 7 dni Zamawiający może skorzystać z prawa odstąpienia na zasadach § 11; naliczenie kary za zwłokę nie wyłącza kary za odstąpienie, lecz łączna suma podlega limitowi z ust. 3;</w:t>
      </w:r>
    </w:p>
    <w:p>
      <w:pPr>
        <w:pStyle w:val="ListParagraph"/>
        <w:numPr>
          <w:ilvl w:val="0"/>
          <w:numId w:val="8"/>
        </w:numPr>
        <w:spacing w:lineRule="auto" w:line="360" w:before="0" w:after="0"/>
        <w:ind w:hanging="425" w:start="709"/>
        <w:contextualSpacing/>
        <w:jc w:val="both"/>
        <w:rPr>
          <w:rFonts w:ascii="Arial" w:hAnsi="Arial" w:cs="Arial"/>
          <w:sz w:val="20"/>
          <w:szCs w:val="20"/>
        </w:rPr>
      </w:pPr>
      <w:r>
        <w:rPr>
          <w:rFonts w:eastAsia="Arial" w:ascii="Arial" w:hAnsi="Arial"/>
          <w:sz w:val="20"/>
        </w:rPr>
        <w:t>za zwłokę w usunięciu wad stwierdzonych przy odbiorze — 0,1% wynagrodzenia brutto za każdy dzień zwłoki; za zwłokę w reakcji serwisu lub zakończeniu naprawy gwarancyjnej — 0,05% wynagrodzenia brutto za każdy dzień zwłoki.</w:t>
      </w:r>
    </w:p>
    <w:p>
      <w:pPr>
        <w:pStyle w:val="ListParagraph"/>
        <w:numPr>
          <w:ilvl w:val="0"/>
          <w:numId w:val="8"/>
        </w:numPr>
        <w:spacing w:lineRule="auto" w:line="360" w:before="0" w:after="0"/>
        <w:ind w:hanging="425" w:start="709"/>
        <w:contextualSpacing/>
        <w:jc w:val="both"/>
        <w:rPr>
          <w:rFonts w:ascii="Arial" w:hAnsi="Arial" w:cs="Arial"/>
          <w:sz w:val="20"/>
          <w:szCs w:val="20"/>
        </w:rPr>
      </w:pPr>
      <w:r>
        <w:rPr>
          <w:rFonts w:eastAsia="Arial" w:ascii="Arial" w:hAnsi="Arial"/>
          <w:sz w:val="20"/>
        </w:rPr>
        <w:t>Zamawiający zapłaci Wykonawcy karę 10% wynagrodzenia brutto za odstąpienie od umowy przez którąkolwiek ze Stron z przyczyn, za które odpowiada Zamawiający, z wyjątkiem odstąpienia na podstawie art. 456 ust. 1 Pzp lub innej ustawowej podstawy wyłączającej odpowiedzialność.</w:t>
      </w:r>
    </w:p>
    <w:p>
      <w:pPr>
        <w:pStyle w:val="ListParagraph"/>
        <w:numPr>
          <w:ilvl w:val="0"/>
          <w:numId w:val="4"/>
        </w:numPr>
        <w:spacing w:lineRule="auto" w:line="360" w:before="0" w:after="0"/>
        <w:contextualSpacing/>
        <w:jc w:val="both"/>
        <w:rPr>
          <w:rFonts w:ascii="Arial" w:hAnsi="Arial" w:cs="Arial"/>
          <w:sz w:val="20"/>
          <w:szCs w:val="20"/>
        </w:rPr>
      </w:pPr>
      <w:r>
        <w:rPr>
          <w:rFonts w:eastAsia="Arial" w:ascii="Arial" w:hAnsi="Arial"/>
          <w:sz w:val="20"/>
        </w:rPr>
        <w:t>Łączna maksymalna wysokość kar umownych, których może dochodzić każda ze Stron, wynosi 20% wynagrodzenia brutto wskazanego w § 5 ust. 1.</w:t>
      </w:r>
    </w:p>
    <w:p>
      <w:pPr>
        <w:pStyle w:val="ListParagraph"/>
        <w:numPr>
          <w:ilvl w:val="0"/>
          <w:numId w:val="4"/>
        </w:numPr>
        <w:spacing w:lineRule="auto" w:line="360" w:before="0" w:after="0"/>
        <w:contextualSpacing/>
        <w:jc w:val="both"/>
        <w:rPr>
          <w:rFonts w:ascii="Arial" w:hAnsi="Arial" w:cs="Arial"/>
          <w:sz w:val="20"/>
          <w:szCs w:val="20"/>
        </w:rPr>
      </w:pPr>
      <w:r>
        <w:rPr>
          <w:rFonts w:cs="Arial" w:ascii="Arial" w:hAnsi="Arial"/>
          <w:sz w:val="20"/>
          <w:szCs w:val="20"/>
        </w:rPr>
        <w:t xml:space="preserve">Strony umowy mają prawo dochodzić odszkodowania uzupełniającego na zasadach określonych w Kodeksie cywilnym, jeżeli szkoda przewyższa wysokość wyżej wymienionych kar umownych. </w:t>
      </w:r>
    </w:p>
    <w:p>
      <w:pPr>
        <w:pStyle w:val="ListParagraph"/>
        <w:numPr>
          <w:ilvl w:val="0"/>
          <w:numId w:val="4"/>
        </w:numPr>
        <w:spacing w:lineRule="auto" w:line="360" w:before="0" w:after="0"/>
        <w:contextualSpacing/>
        <w:jc w:val="both"/>
        <w:rPr>
          <w:rFonts w:ascii="Arial" w:hAnsi="Arial" w:cs="Arial"/>
          <w:sz w:val="20"/>
          <w:szCs w:val="20"/>
        </w:rPr>
      </w:pPr>
      <w:r>
        <w:rPr>
          <w:rFonts w:eastAsia="Arial" w:ascii="Arial" w:hAnsi="Arial"/>
          <w:sz w:val="20"/>
        </w:rPr>
        <w:t>Zamawiający może potrącić wymagalną karę umowną z wynagrodzenia Wykonawcy po doręczeniu noty obciążeniowej zawierającej podstawę i wyliczenie kary, na zasadach określonych w Kodeksie cywilnym.</w:t>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9</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Wykonawca udziela gwarancji jakości na 36 miesięcy albo do osiągnięcia 3 000 motogodzin — w zależności od tego, który limit upłynie wcześniej — licząc od dnia podpisania protokołu odbioru bez wad istotnych. Uprawnienia z rękojmi nie zostają wyłączone ani ograniczone.</w:t>
      </w:r>
    </w:p>
    <w:p>
      <w:pPr>
        <w:pStyle w:val="ListParagraph"/>
        <w:numPr>
          <w:ilvl w:val="0"/>
          <w:numId w:val="5"/>
        </w:numPr>
        <w:spacing w:lineRule="auto" w:line="360" w:before="0" w:after="0"/>
        <w:contextualSpacing/>
        <w:jc w:val="both"/>
        <w:rPr>
          <w:rFonts w:ascii="Arial" w:hAnsi="Arial" w:cs="Arial"/>
          <w:sz w:val="20"/>
          <w:szCs w:val="20"/>
        </w:rPr>
      </w:pPr>
      <w:r>
        <w:rPr>
          <w:rFonts w:cs="Arial" w:ascii="Arial" w:hAnsi="Arial"/>
          <w:sz w:val="20"/>
          <w:szCs w:val="20"/>
        </w:rPr>
        <w:t>Wykonawca w cenie zapewnia pakiet co najmniej 5 obowiązkowych przeglądów serwisowych do osiągniecia 2000 mth wraz z dojazdami w obie strony, robocizną, materiałami eksploatacyjnymi i częściami zamiennymi.</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Świadczenia gwarancyjne wykonuje producent, autoryzowany serwis albo inny profesjonalny podmiot zapewniony przez Wykonawcę, na koszt i ryzyko Wykonawcy, co do zasady w miejscu użytkowania na terenie Gminy Miłkowice. Jeżeli naprawa na miejscu jest technicznie niemożliwa, Wykonawca organizuje i finansuje transport, zabezpieczenie i zwrot maszyny.</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Gwarancja obejmuje niezgodność z umową oraz wady fizyczne wynikające z przyczyn tkwiących w maszynie, osprzęcie lub wykonaniu świadczenia, ujawnione w okresie gwarancji. Postanowienia karty gwarancyjnej nie mogą ograniczać uprawnień wynikających z umowy.</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Czas reakcji serwisu, rozumiany jako potwierdzenie zgłoszenia, diagnoza i — gdy potrzebne — stawiennictwo serwisanta, nie może przekroczyć 2 dni robocze od zgłoszenia pocztą elektroniczną lub telefonicznie. Zgłoszenie uważa się za dokonane z chwilą wysłania na dane kontaktowe wskazane przez Wykonawcę.</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Naprawa gwarancyjna zostanie zakończona w terminie 21 dni roboczych od zgłoszenia. Jeżeli konieczne jest sprowadzenie specjalistycznych części, termin naprawy może zostać wydłużony do 28 dni roboczych. Dłuższy termin wymaga przed jego upływem pisemnego, uzasadnionego protokołu podpisanego przez obie Strony; brak części wynikający z zaniedbań Wykonawcy nie uzasadnia przedłużenia.</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Okres gwarancji dla całej maszyny przedłuża się o czas, w którym z powodu wady nie mogła być używana zgodnie z przeznaczeniem. Dla wymienionego elementu okres gwarancji biegnie na nowo od jego odbioru, zgodnie z art. 581 k.c.</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Przeglądy okresowe w ramach gwarancji są wykonywane po uzgodnieniu terminu, w granicach interwału przewidzianego przez producenta, nie później niż w ciągu 10 dni roboczych od zgłoszenia potrzeby przeglądu. Zgłoszenie awarii podlega terminom z ust. 5 – 6.</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Jeżeli ten sam element ulegnie tej samej lub funkcjonalnie równoważnej wadzie po raz trzeci, Wykonawca wymieni go na nowy, wolny od wad, w terminie właściwym dla naprawy gwarancyjnej.</w:t>
      </w:r>
    </w:p>
    <w:p>
      <w:pPr>
        <w:pStyle w:val="ListParagraph"/>
        <w:numPr>
          <w:ilvl w:val="0"/>
          <w:numId w:val="5"/>
        </w:numPr>
        <w:spacing w:lineRule="auto" w:line="360" w:before="0" w:after="0"/>
        <w:contextualSpacing/>
        <w:jc w:val="both"/>
        <w:rPr>
          <w:rFonts w:ascii="Arial" w:hAnsi="Arial" w:cs="Arial"/>
          <w:sz w:val="20"/>
          <w:szCs w:val="20"/>
        </w:rPr>
      </w:pPr>
      <w:r>
        <w:rPr>
          <w:rFonts w:eastAsia="Arial" w:ascii="Arial" w:hAnsi="Arial"/>
          <w:sz w:val="20"/>
        </w:rPr>
        <w:t>Po bezskutecznym upływie terminu naprawy Zamawiający może, po wyznaczeniu dodatkowego terminu 3 dni roboczych, zlecić usunięcie wady podmiotowi trzeciemu na koszt i ryzyko Wykonawcy, bez utraty gwarancji. Dodatkowy termin nie jest wymagany, gdy zwłoka zagraża bezpieczeństwu albo może spowodować istotną szkodę; Zamawiający niezwłocznie informuje Wykonawcę.</w:t>
      </w:r>
    </w:p>
    <w:p>
      <w:pPr>
        <w:pStyle w:val="ListParagraph"/>
        <w:numPr>
          <w:ilvl w:val="0"/>
          <w:numId w:val="6"/>
        </w:numPr>
        <w:spacing w:lineRule="auto" w:line="360" w:before="0" w:after="0"/>
        <w:contextualSpacing/>
        <w:jc w:val="both"/>
        <w:rPr>
          <w:rFonts w:ascii="Arial" w:hAnsi="Arial" w:cs="Arial"/>
          <w:sz w:val="20"/>
          <w:szCs w:val="20"/>
        </w:rPr>
      </w:pPr>
      <w:r>
        <w:rPr>
          <w:rFonts w:cs="Arial" w:ascii="Arial" w:hAnsi="Arial"/>
          <w:sz w:val="20"/>
          <w:szCs w:val="20"/>
        </w:rPr>
        <w:t xml:space="preserve">Przy odbiorze Wykonawca zobowiązany jest dołączyć dokumenty gwarancyjne. </w:t>
      </w:r>
    </w:p>
    <w:p>
      <w:pPr>
        <w:pStyle w:val="ListParagraph"/>
        <w:numPr>
          <w:ilvl w:val="0"/>
          <w:numId w:val="6"/>
        </w:numPr>
        <w:spacing w:lineRule="auto" w:line="360" w:before="0" w:after="0"/>
        <w:contextualSpacing/>
        <w:jc w:val="both"/>
        <w:rPr>
          <w:rFonts w:ascii="Arial" w:hAnsi="Arial" w:cs="Arial"/>
          <w:sz w:val="20"/>
          <w:szCs w:val="20"/>
        </w:rPr>
      </w:pPr>
      <w:r>
        <w:rPr>
          <w:rFonts w:eastAsia="Arial" w:ascii="Arial" w:hAnsi="Arial"/>
          <w:sz w:val="20"/>
        </w:rPr>
        <w:t>Zamawiający będzie eksploatował maszynę zgodnie z przekazanymi instrukcjami. Ograniczenia gwarancji nie mogą być sprzeczne z umową ani dotyczyć zwykłego zużycia w sposób wyłączający odpowiedzialność za wadę materiałową lub konstrukcyjną.</w:t>
      </w:r>
    </w:p>
    <w:p>
      <w:pPr>
        <w:pStyle w:val="ListParagraph"/>
        <w:numPr>
          <w:ilvl w:val="0"/>
          <w:numId w:val="6"/>
        </w:numPr>
        <w:spacing w:lineRule="auto" w:line="360" w:before="0" w:after="0"/>
        <w:contextualSpacing/>
        <w:jc w:val="both"/>
        <w:rPr>
          <w:rFonts w:ascii="Arial" w:hAnsi="Arial" w:cs="Arial"/>
          <w:sz w:val="20"/>
          <w:szCs w:val="20"/>
        </w:rPr>
      </w:pPr>
      <w:r>
        <w:rPr>
          <w:rFonts w:eastAsia="Arial" w:ascii="Arial" w:hAnsi="Arial"/>
          <w:sz w:val="20"/>
        </w:rPr>
        <w:t>W okresie gwarancji przeglądy mogą wykonywać podmioty wskazane przez Wykonawcę, o ile ich działanie nie ogranicza gwarancji. Za terminowość i jakość przeglądów odpowiada Wykonawca.</w:t>
      </w:r>
    </w:p>
    <w:p>
      <w:pPr>
        <w:pStyle w:val="ListParagraph"/>
        <w:numPr>
          <w:ilvl w:val="0"/>
          <w:numId w:val="6"/>
        </w:numPr>
        <w:spacing w:lineRule="auto" w:line="360" w:before="0" w:after="0"/>
        <w:contextualSpacing/>
        <w:jc w:val="both"/>
        <w:rPr>
          <w:rFonts w:ascii="Arial" w:hAnsi="Arial" w:cs="Arial"/>
          <w:sz w:val="20"/>
          <w:szCs w:val="20"/>
        </w:rPr>
      </w:pPr>
      <w:r>
        <w:rPr>
          <w:rFonts w:eastAsia="Arial" w:ascii="Arial" w:hAnsi="Arial"/>
          <w:sz w:val="20"/>
        </w:rPr>
        <w:t>Gwarancja nie obejmuje uszkodzeń, co do których Wykonawca wykaże, że powstały wyłącznie wskutek użytkowania sprzecznego z przekazaną instrukcją albo umyślnego działania użytkownika. Normalne zużycie nie wyłącza odpowiedzialności za wadę materiałową, konstrukcyjną lub wykonawczą.</w:t>
      </w:r>
    </w:p>
    <w:p>
      <w:pPr>
        <w:pStyle w:val="ListParagraph"/>
        <w:numPr>
          <w:ilvl w:val="0"/>
          <w:numId w:val="6"/>
        </w:numPr>
        <w:spacing w:lineRule="auto" w:line="360" w:before="0" w:after="0"/>
        <w:contextualSpacing/>
        <w:jc w:val="both"/>
        <w:rPr>
          <w:rFonts w:ascii="Arial" w:hAnsi="Arial" w:cs="Arial"/>
          <w:sz w:val="20"/>
          <w:szCs w:val="20"/>
        </w:rPr>
      </w:pPr>
      <w:r>
        <w:rPr>
          <w:rFonts w:eastAsia="Arial" w:ascii="Arial" w:hAnsi="Arial"/>
          <w:sz w:val="20"/>
        </w:rPr>
        <w:t>Najpóźniej przy zawarciu umowy Wykonawca przedstawi dokument potwierdzający, że świadczenia gwarancyjne będą wykonywane przez podmiot posiadający kwalifikacje i dostęp do części oraz diagnostyki niezbędnych dla oferowanego modelu, a ich wykonywanie nie ograniczy gwarancji. Dopuszcza się gwarancję producenta, autoryzowanego serwisu albo samodzielną gwarancję Wykonawcy o zakresie nie węższym niż umowa.</w:t>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10</w:t>
      </w:r>
    </w:p>
    <w:p>
      <w:pPr>
        <w:pStyle w:val="Normal"/>
        <w:spacing w:lineRule="auto" w:line="360" w:before="0" w:after="0"/>
        <w:jc w:val="both"/>
        <w:rPr>
          <w:rFonts w:ascii="Arial" w:hAnsi="Arial" w:cs="Arial"/>
          <w:sz w:val="20"/>
          <w:szCs w:val="20"/>
        </w:rPr>
      </w:pPr>
      <w:r>
        <w:rPr>
          <w:rFonts w:eastAsia="Arial" w:ascii="Arial" w:hAnsi="Arial"/>
          <w:sz w:val="20"/>
        </w:rPr>
        <w:t>Zamawiający przewiduje następujące zmiany umowy w stosunku do oferty, na podstawie art. 455 ust. 1 pkt 1 Pzp, o ile spełnione są opisane niżej warunki:</w:t>
      </w:r>
    </w:p>
    <w:p>
      <w:pPr>
        <w:pStyle w:val="Normal"/>
        <w:numPr>
          <w:ilvl w:val="0"/>
          <w:numId w:val="9"/>
        </w:numPr>
        <w:spacing w:lineRule="auto" w:line="360" w:before="0" w:after="0"/>
        <w:jc w:val="both"/>
        <w:textAlignment w:val="baseline"/>
        <w:rPr>
          <w:rFonts w:ascii="Arial" w:hAnsi="Arial" w:cs="Arial"/>
          <w:sz w:val="20"/>
          <w:szCs w:val="20"/>
        </w:rPr>
      </w:pPr>
      <w:r>
        <w:rPr>
          <w:rFonts w:eastAsia="Arial" w:ascii="Arial" w:hAnsi="Arial"/>
          <w:sz w:val="20"/>
        </w:rPr>
        <w:t>termin może zostać przedłużony o udokumentowany okres rzeczywistego wpływu siły wyższej, tj. zewnętrznego, nadzwyczajnego i niemożliwego do przewidzenia zdarzenia, którego skutkom Strona nie mogła zapobiec mimo należytej staranności; Strona zawiadomi drugą w ciągu 3 dni roboczych od powzięcia wiadomości i będzie minimalizować skutki;</w:t>
      </w:r>
    </w:p>
    <w:p>
      <w:pPr>
        <w:pStyle w:val="Normal"/>
        <w:numPr>
          <w:ilvl w:val="0"/>
          <w:numId w:val="9"/>
        </w:numPr>
        <w:spacing w:lineRule="auto" w:line="360" w:before="0" w:after="0"/>
        <w:jc w:val="both"/>
        <w:textAlignment w:val="baseline"/>
        <w:rPr>
          <w:rFonts w:ascii="Arial" w:hAnsi="Arial" w:cs="Arial"/>
          <w:sz w:val="20"/>
          <w:szCs w:val="20"/>
        </w:rPr>
      </w:pPr>
      <w:r>
        <w:rPr>
          <w:rFonts w:eastAsia="Arial" w:ascii="Arial" w:hAnsi="Arial"/>
          <w:sz w:val="20"/>
        </w:rPr>
        <w:t>model lub element może zostać zastąpiony, gdy po terminie składania ofert zakończono jego produkcję albo stał się obiektywnie niedostępny z przyczyn niezależnych od Wykonawcy; zamiennik musi być fabrycznie nowy, zgodny z OPZ, nie gorszy w żadnym parametrze obligatoryjnym, kompatybilny z osprzętem, objęty nie krótszą gwarancją i nie może podwyższyć wynagrodzenia. Zmiana wymaga uprzedniej pisemnej zgody Zamawiającego oraz dokumentacji porównawczej producenta;</w:t>
      </w:r>
    </w:p>
    <w:p>
      <w:pPr>
        <w:pStyle w:val="Normal"/>
        <w:numPr>
          <w:ilvl w:val="0"/>
          <w:numId w:val="9"/>
        </w:numPr>
        <w:spacing w:lineRule="auto" w:line="360" w:before="0" w:after="0"/>
        <w:jc w:val="both"/>
        <w:textAlignment w:val="baseline"/>
        <w:rPr>
          <w:rFonts w:ascii="Arial" w:hAnsi="Arial" w:cs="Arial"/>
          <w:sz w:val="20"/>
          <w:szCs w:val="20"/>
        </w:rPr>
      </w:pPr>
      <w:r>
        <w:rPr>
          <w:rFonts w:eastAsia="Arial" w:ascii="Arial" w:hAnsi="Arial"/>
          <w:sz w:val="20"/>
        </w:rPr>
        <w:t>w razie ustawowej zmiany stawki VAT wartość netto pozostaje bez zmian, a wartość brutto ulega odpowiedniej zmianie od dnia wejścia w życie nowych przepisów, wyłącznie dla świadczenia wykonanego po tej dacie;</w:t>
      </w:r>
    </w:p>
    <w:p>
      <w:pPr>
        <w:pStyle w:val="Normal"/>
        <w:numPr>
          <w:ilvl w:val="0"/>
          <w:numId w:val="9"/>
        </w:numPr>
        <w:spacing w:lineRule="auto" w:line="360" w:before="0" w:after="0"/>
        <w:jc w:val="both"/>
        <w:textAlignment w:val="baseline"/>
        <w:rPr>
          <w:rFonts w:ascii="Arial" w:hAnsi="Arial" w:cs="Arial"/>
          <w:sz w:val="20"/>
          <w:szCs w:val="20"/>
        </w:rPr>
      </w:pPr>
      <w:r>
        <w:rPr>
          <w:rFonts w:eastAsia="Arial" w:ascii="Arial" w:hAnsi="Arial"/>
          <w:sz w:val="20"/>
        </w:rPr>
        <w:t>inne zmiany są dopuszczalne wyłącznie w przypadkach wskazanych w lit. a–d oraz wprost w art. 455 Pzp:</w:t>
      </w:r>
    </w:p>
    <w:p>
      <w:pPr>
        <w:pStyle w:val="Normal"/>
        <w:numPr>
          <w:ilvl w:val="0"/>
          <w:numId w:val="10"/>
        </w:numPr>
        <w:spacing w:lineRule="auto" w:line="360" w:before="0" w:after="0"/>
        <w:ind w:hanging="284" w:start="993"/>
        <w:jc w:val="both"/>
        <w:rPr>
          <w:rFonts w:ascii="Arial" w:hAnsi="Arial" w:cs="Arial"/>
          <w:sz w:val="20"/>
          <w:szCs w:val="20"/>
        </w:rPr>
      </w:pPr>
      <w:r>
        <w:rPr>
          <w:rFonts w:eastAsia="Arial" w:ascii="Arial" w:hAnsi="Arial"/>
          <w:sz w:val="20"/>
        </w:rPr>
        <w:t>zmiana adresu, reprezentanta lub danych kontaktowych Strony nie wymaga aneksu i jest skuteczna od doręczenia zawiadomienia w formie dokumentowej;</w:t>
      </w:r>
    </w:p>
    <w:p>
      <w:pPr>
        <w:pStyle w:val="Normal"/>
        <w:numPr>
          <w:ilvl w:val="0"/>
          <w:numId w:val="10"/>
        </w:numPr>
        <w:spacing w:lineRule="auto" w:line="360" w:before="0" w:after="0"/>
        <w:ind w:hanging="284" w:start="993"/>
        <w:jc w:val="both"/>
        <w:rPr>
          <w:rFonts w:ascii="Arial" w:hAnsi="Arial" w:cs="Arial"/>
          <w:sz w:val="20"/>
          <w:szCs w:val="20"/>
        </w:rPr>
      </w:pPr>
      <w:r>
        <w:rPr>
          <w:rFonts w:eastAsia="Arial" w:ascii="Arial" w:hAnsi="Arial"/>
          <w:sz w:val="20"/>
        </w:rPr>
        <w:t>w razie zmiany powszechnie obowiązującego prawa mającej bezpośredni, udokumentowany wpływ na sposób wykonania umowy Strony dostosują wyłącznie dotknięty zmianą zakres, bez zmiany ogólnego charakteru umowy;</w:t>
      </w:r>
    </w:p>
    <w:p>
      <w:pPr>
        <w:pStyle w:val="Normal"/>
        <w:numPr>
          <w:ilvl w:val="0"/>
          <w:numId w:val="10"/>
        </w:numPr>
        <w:spacing w:lineRule="auto" w:line="360" w:before="0" w:after="0"/>
        <w:ind w:hanging="284" w:start="993"/>
        <w:jc w:val="both"/>
        <w:rPr>
          <w:rFonts w:ascii="Arial" w:hAnsi="Arial" w:cs="Arial"/>
          <w:sz w:val="20"/>
          <w:szCs w:val="20"/>
        </w:rPr>
      </w:pPr>
      <w:r>
        <w:rPr>
          <w:rFonts w:eastAsia="Arial" w:ascii="Arial" w:hAnsi="Arial"/>
          <w:sz w:val="20"/>
        </w:rPr>
        <w:t>Wykonawcę może zastąpić nowy wykonawca wyłącznie w okolicznościach z art. 455 ust. 1 pkt 2 lit. b Pzp, jeżeli następca spełnia warunki udziału, nie podlega wykluczeniu, zmiana nie pociąga innych istotnych zmian i nie ma na celu obejścia ustawy;</w:t>
      </w:r>
    </w:p>
    <w:p>
      <w:pPr>
        <w:pStyle w:val="Normal"/>
        <w:numPr>
          <w:ilvl w:val="0"/>
          <w:numId w:val="10"/>
        </w:numPr>
        <w:spacing w:lineRule="auto" w:line="360" w:before="0" w:after="0"/>
        <w:ind w:hanging="284" w:start="993"/>
        <w:jc w:val="both"/>
        <w:rPr>
          <w:rFonts w:ascii="Arial" w:hAnsi="Arial" w:cs="Arial"/>
          <w:sz w:val="20"/>
          <w:szCs w:val="20"/>
        </w:rPr>
      </w:pPr>
      <w:r>
        <w:rPr>
          <w:rFonts w:eastAsia="Arial" w:ascii="Arial" w:hAnsi="Arial"/>
          <w:sz w:val="20"/>
        </w:rPr>
        <w:t>przejęcie przez Zamawiającego zobowiązań Wykonawcy wobec podwykonawców jest dopuszczalne wyłącznie w zakresie i na warunkach zgodnych z art. 455 ust. 1 pkt 2 lit. c Pzp albo inną wyraźną podstawą ustawową.</w:t>
      </w:r>
    </w:p>
    <w:p>
      <w:pPr>
        <w:pStyle w:val="Normal"/>
        <w:numPr>
          <w:ilvl w:val="0"/>
          <w:numId w:val="11"/>
        </w:numPr>
        <w:spacing w:lineRule="auto" w:line="360" w:before="0" w:after="0"/>
        <w:jc w:val="both"/>
        <w:rPr>
          <w:rFonts w:ascii="Arial" w:hAnsi="Arial" w:cs="Arial"/>
          <w:sz w:val="20"/>
          <w:szCs w:val="20"/>
        </w:rPr>
      </w:pPr>
      <w:r>
        <w:rPr>
          <w:rFonts w:eastAsia="Arial" w:ascii="Arial" w:hAnsi="Arial"/>
          <w:sz w:val="20"/>
        </w:rPr>
        <w:t>Przedłużenie terminu odpowiada wyłącznie okresowi, w którym udowodniona okoliczność faktycznie uniemożliwiała wykonanie mimo należytej staranności, z uwzględnieniem działań minimalizujących opóźnienie.</w:t>
      </w:r>
    </w:p>
    <w:p>
      <w:pPr>
        <w:pStyle w:val="Normal"/>
        <w:numPr>
          <w:ilvl w:val="0"/>
          <w:numId w:val="11"/>
        </w:numPr>
        <w:spacing w:lineRule="auto" w:line="360" w:before="0" w:after="0"/>
        <w:jc w:val="both"/>
        <w:rPr>
          <w:rFonts w:ascii="Arial" w:hAnsi="Arial" w:cs="Arial"/>
          <w:sz w:val="20"/>
          <w:szCs w:val="20"/>
        </w:rPr>
      </w:pPr>
      <w:r>
        <w:rPr>
          <w:rFonts w:eastAsia="Arial" w:ascii="Arial" w:hAnsi="Arial"/>
          <w:sz w:val="20"/>
        </w:rPr>
        <w:t>Wniosek o rozwiązanie zamienne zawiera: przyczynę niedostępności, dokument producenta lub dystrybutora, tabelę porównawczą wszystkich parametrów, wpływ na eksploatację, gwarancję i termin. Brak zgody Zamawiającego oznacza obowiązek wykonania umowy w pierwotnym zakresie.</w:t>
      </w:r>
    </w:p>
    <w:p>
      <w:pPr>
        <w:pStyle w:val="Normal"/>
        <w:numPr>
          <w:ilvl w:val="0"/>
          <w:numId w:val="11"/>
        </w:numPr>
        <w:spacing w:lineRule="auto" w:line="360" w:before="0" w:after="0"/>
        <w:jc w:val="both"/>
        <w:rPr>
          <w:rFonts w:ascii="Arial" w:hAnsi="Arial" w:cs="Arial"/>
          <w:sz w:val="20"/>
          <w:szCs w:val="20"/>
        </w:rPr>
      </w:pPr>
      <w:r>
        <w:rPr>
          <w:rFonts w:eastAsia="Arial" w:ascii="Arial" w:hAnsi="Arial"/>
          <w:sz w:val="20"/>
        </w:rPr>
        <w:t>Zmiana VAT następuje według zasad z ust. 1 pkt 3 i nie obejmuje należności za świadczenia wykonane przed wejściem w życie nowej stawki.</w:t>
      </w:r>
    </w:p>
    <w:p>
      <w:pPr>
        <w:pStyle w:val="Normal"/>
        <w:numPr>
          <w:ilvl w:val="0"/>
          <w:numId w:val="11"/>
        </w:numPr>
        <w:spacing w:lineRule="auto" w:line="360" w:before="0" w:after="0"/>
        <w:jc w:val="both"/>
        <w:rPr>
          <w:rFonts w:ascii="Arial" w:hAnsi="Arial" w:cs="Arial"/>
          <w:sz w:val="20"/>
          <w:szCs w:val="20"/>
        </w:rPr>
      </w:pPr>
      <w:r>
        <w:rPr>
          <w:rFonts w:eastAsia="Arial" w:ascii="Arial" w:hAnsi="Arial"/>
          <w:sz w:val="20"/>
        </w:rPr>
        <w:t>Wniosek o zmianę wymaga formy dokumentowej, szczegółowego uzasadnienia, dowodów zaistnienia przesłanki, wykazania wpływu na umowę oraz proponowanej treści zmiany. Złożenie wniosku nie wstrzymuje wykonania umowy.</w:t>
      </w:r>
    </w:p>
    <w:p>
      <w:pPr>
        <w:pStyle w:val="Normal"/>
        <w:numPr>
          <w:ilvl w:val="0"/>
          <w:numId w:val="11"/>
        </w:numPr>
        <w:spacing w:lineRule="auto" w:line="360" w:before="0" w:after="0"/>
        <w:jc w:val="both"/>
        <w:rPr>
          <w:rFonts w:ascii="Arial" w:hAnsi="Arial" w:cs="Arial"/>
          <w:sz w:val="20"/>
          <w:szCs w:val="20"/>
        </w:rPr>
      </w:pPr>
      <w:r>
        <w:rPr>
          <w:rFonts w:eastAsia="Arial" w:ascii="Arial" w:hAnsi="Arial"/>
          <w:sz w:val="20"/>
        </w:rPr>
        <w:t>Zmiana umowy wymaga aneksu w formie pisemnej albo elektronicznej z kwalifikowanymi podpisami elektronicznymi, pod rygorem nieważności, chyba że umowa wyraźnie stanowi, iż dana zmiana wymaga jedynie zawiadomienia.</w:t>
      </w:r>
    </w:p>
    <w:p>
      <w:pPr>
        <w:pStyle w:val="Normal"/>
        <w:spacing w:lineRule="auto" w:line="360" w:before="0" w:after="0"/>
        <w:jc w:val="center"/>
        <w:rPr>
          <w:bCs/>
        </w:rPr>
      </w:pPr>
      <w:r>
        <w:rPr>
          <w:rFonts w:eastAsia="Arial" w:ascii="Arial" w:hAnsi="Arial"/>
          <w:bCs/>
          <w:sz w:val="20"/>
        </w:rPr>
        <w:t>§ 11</w:t>
      </w:r>
    </w:p>
    <w:p>
      <w:pPr>
        <w:pStyle w:val="ListParagraph"/>
        <w:numPr>
          <w:ilvl w:val="3"/>
          <w:numId w:val="21"/>
        </w:numPr>
        <w:spacing w:lineRule="auto" w:line="360" w:before="0" w:after="0"/>
        <w:ind w:hanging="426" w:start="426"/>
        <w:contextualSpacing/>
        <w:jc w:val="both"/>
        <w:rPr/>
      </w:pPr>
      <w:r>
        <w:rPr>
          <w:rFonts w:eastAsia="Arial" w:ascii="Arial" w:hAnsi="Arial"/>
          <w:sz w:val="20"/>
        </w:rPr>
        <w:t>Niezależnie od uprawnień ustawowych Zamawiający może odstąpić od niewykonanej części umowy, jeżeli:</w:t>
      </w:r>
    </w:p>
    <w:p>
      <w:pPr>
        <w:pStyle w:val="ListParagraph"/>
        <w:numPr>
          <w:ilvl w:val="0"/>
          <w:numId w:val="22"/>
        </w:numPr>
        <w:spacing w:lineRule="auto" w:line="360" w:before="0" w:after="0"/>
        <w:ind w:hanging="425" w:start="851"/>
        <w:contextualSpacing/>
        <w:jc w:val="both"/>
        <w:rPr/>
      </w:pPr>
      <w:r>
        <w:rPr>
          <w:rFonts w:eastAsia="Arial" w:ascii="Arial" w:hAnsi="Arial"/>
          <w:sz w:val="20"/>
        </w:rPr>
        <w:t>zwłoka Wykonawcy w dostawie przekracza 7 dni i bezskutecznie upłynął dodatkowy termin 3 dni;</w:t>
      </w:r>
    </w:p>
    <w:p>
      <w:pPr>
        <w:pStyle w:val="ListParagraph"/>
        <w:numPr>
          <w:ilvl w:val="0"/>
          <w:numId w:val="22"/>
        </w:numPr>
        <w:spacing w:lineRule="auto" w:line="360" w:before="0" w:after="0"/>
        <w:ind w:hanging="425" w:start="851"/>
        <w:contextualSpacing/>
        <w:jc w:val="both"/>
        <w:rPr/>
      </w:pPr>
      <w:r>
        <w:rPr>
          <w:rFonts w:eastAsia="Arial" w:ascii="Arial" w:hAnsi="Arial"/>
          <w:sz w:val="20"/>
        </w:rPr>
        <w:t>przedmiot przedstawiony do odbioru ma wady istotne lub jest niezgodny z OPZ, a Wykonawca nie doprowadził go do zgodności w terminie wyznaczonym na podstawie § 4;</w:t>
      </w:r>
    </w:p>
    <w:p>
      <w:pPr>
        <w:pStyle w:val="ListParagraph"/>
        <w:numPr>
          <w:ilvl w:val="0"/>
          <w:numId w:val="22"/>
        </w:numPr>
        <w:spacing w:lineRule="auto" w:line="360" w:before="0" w:after="0"/>
        <w:ind w:hanging="425" w:start="851"/>
        <w:contextualSpacing/>
        <w:jc w:val="both"/>
        <w:rPr/>
      </w:pPr>
      <w:r>
        <w:rPr>
          <w:rFonts w:eastAsia="Arial" w:ascii="Arial" w:hAnsi="Arial"/>
          <w:sz w:val="20"/>
        </w:rPr>
        <w:t>Wykonawca oświadczył, że umowy nie wykona.</w:t>
      </w:r>
    </w:p>
    <w:p>
      <w:pPr>
        <w:pStyle w:val="ListParagraph"/>
        <w:numPr>
          <w:ilvl w:val="3"/>
          <w:numId w:val="21"/>
        </w:numPr>
        <w:spacing w:lineRule="auto" w:line="360" w:before="0" w:after="0"/>
        <w:ind w:hanging="426" w:start="426"/>
        <w:contextualSpacing/>
        <w:jc w:val="both"/>
        <w:rPr/>
      </w:pPr>
      <w:r>
        <w:rPr>
          <w:rFonts w:eastAsia="Arial" w:ascii="Arial" w:hAnsi="Arial"/>
          <w:sz w:val="20"/>
        </w:rPr>
        <w:t>Wyznaczenie dodatkowego terminu nie jest wymagane, jeżeli późniejsze wykonanie byłoby bezprzedmiotowe z uwagi na obiektywny, ujawniony w dokumentach zamówienia termin rozliczenia dotacji albo gdy z oświadczenia Wykonawcy jednoznacznie wynika, że nie wykona umowy.</w:t>
      </w:r>
    </w:p>
    <w:p>
      <w:pPr>
        <w:pStyle w:val="ListParagraph"/>
        <w:numPr>
          <w:ilvl w:val="3"/>
          <w:numId w:val="21"/>
        </w:numPr>
        <w:spacing w:lineRule="auto" w:line="360" w:before="0" w:after="0"/>
        <w:ind w:hanging="426" w:start="426"/>
        <w:contextualSpacing/>
        <w:jc w:val="both"/>
        <w:rPr/>
      </w:pPr>
      <w:r>
        <w:rPr>
          <w:rFonts w:eastAsia="Arial" w:ascii="Arial" w:hAnsi="Arial"/>
          <w:sz w:val="20"/>
        </w:rPr>
        <w:t>Z uprawnienia umownego Zamawiający może skorzystać w terminie 30 dni od powzięcia wiadomości o podstawie odstąpienia, nie później jednak niż 60 dni po końcowym terminie dostawy. Oświadczenie wymaga formy pisemnej albo elektronicznej pod rygorem nieważności i wskazania podstawy.</w:t>
      </w:r>
    </w:p>
    <w:p>
      <w:pPr>
        <w:pStyle w:val="ListParagraph"/>
        <w:numPr>
          <w:ilvl w:val="3"/>
          <w:numId w:val="21"/>
        </w:numPr>
        <w:spacing w:lineRule="auto" w:line="360" w:before="0" w:after="0"/>
        <w:ind w:hanging="426" w:start="426"/>
        <w:contextualSpacing/>
        <w:jc w:val="both"/>
        <w:rPr/>
      </w:pPr>
      <w:r>
        <w:rPr>
          <w:rFonts w:eastAsia="Arial" w:ascii="Arial" w:hAnsi="Arial"/>
          <w:sz w:val="20"/>
        </w:rPr>
        <w:t>W przypadku odstąpienia Strony sporządzą inwentaryzację świadczeń. Wykonawcy należy się wynagrodzenie wyłącznie za część należycie wykonaną i przyjętą przez Zamawiającego, z zastrzeżeniem potrąceń i roszczeń Zamawiającego. Art. 456 Pzp stosuje się bezpośrednio.</w:t>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12</w:t>
      </w:r>
    </w:p>
    <w:p>
      <w:pPr>
        <w:pStyle w:val="ListParagraph"/>
        <w:spacing w:lineRule="auto" w:line="360" w:before="0" w:after="0"/>
        <w:ind w:start="0"/>
        <w:contextualSpacing/>
        <w:jc w:val="both"/>
        <w:rPr>
          <w:rFonts w:ascii="Arial" w:hAnsi="Arial" w:cs="Arial"/>
          <w:sz w:val="20"/>
          <w:szCs w:val="20"/>
        </w:rPr>
      </w:pPr>
      <w:r>
        <w:rPr>
          <w:rFonts w:eastAsia="Arial" w:ascii="Arial" w:hAnsi="Arial"/>
          <w:sz w:val="20"/>
        </w:rPr>
        <w:t>W sprawach nieuregulowanych stosuje się w szczególności ustawę Prawo zamówień publicznych, Kodeks cywilny, przepisy o bezpieczeństwie maszyn i ocenie zgodności oraz Prawo o ruchu drogowym. Przepisy o ochronie danych osobowych, w tym RODO, stosuje się w zakresie, w jakim realizacja telematyki lub kontaktów Stron obejmuje dane osobowe.</w:t>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13</w:t>
      </w:r>
    </w:p>
    <w:p>
      <w:pPr>
        <w:pStyle w:val="ListParagraph"/>
        <w:spacing w:lineRule="auto" w:line="360" w:before="0" w:after="0"/>
        <w:ind w:start="0"/>
        <w:contextualSpacing/>
        <w:jc w:val="both"/>
        <w:rPr>
          <w:rFonts w:ascii="Arial" w:hAnsi="Arial" w:eastAsia="Arial"/>
          <w:sz w:val="20"/>
        </w:rPr>
      </w:pPr>
      <w:r>
        <w:rPr>
          <w:rFonts w:eastAsia="Arial" w:ascii="Arial" w:hAnsi="Arial"/>
          <w:sz w:val="20"/>
        </w:rPr>
        <w:t>Strony w pierwszej kolejności podejmą próbę polubownego rozwiązania sporu w terminie 14 dni od pisemnego wezwania. Po bezskutecznym upływie tego terminu spór rozstrzygnie sąd powszechny właściwy miejscowo dla siedziby Zamawiającego.</w:t>
      </w:r>
    </w:p>
    <w:p>
      <w:pPr>
        <w:pStyle w:val="ListParagraph"/>
        <w:spacing w:lineRule="auto" w:line="360" w:before="0" w:after="0"/>
        <w:ind w:start="0"/>
        <w:contextualSpacing/>
        <w:jc w:val="center"/>
        <w:rPr>
          <w:rFonts w:ascii="Arial" w:hAnsi="Arial" w:cs="Arial"/>
          <w:sz w:val="20"/>
          <w:szCs w:val="20"/>
        </w:rPr>
      </w:pPr>
      <w:r>
        <w:rPr>
          <w:rFonts w:cs="Arial" w:ascii="Arial" w:hAnsi="Arial"/>
          <w:sz w:val="20"/>
          <w:szCs w:val="20"/>
        </w:rPr>
        <w:t>§ 14</w:t>
      </w:r>
    </w:p>
    <w:p>
      <w:pPr>
        <w:pStyle w:val="ListParagraph"/>
        <w:numPr>
          <w:ilvl w:val="0"/>
          <w:numId w:val="18"/>
        </w:numPr>
        <w:spacing w:lineRule="auto" w:line="360" w:before="0" w:after="0"/>
        <w:ind w:hanging="284" w:start="284"/>
        <w:contextualSpacing/>
        <w:jc w:val="both"/>
        <w:rPr>
          <w:rFonts w:ascii="Arial" w:hAnsi="Arial" w:cs="Arial"/>
          <w:sz w:val="20"/>
          <w:szCs w:val="20"/>
        </w:rPr>
      </w:pPr>
      <w:r>
        <w:rPr>
          <w:rFonts w:eastAsia="Arial" w:ascii="Arial" w:hAnsi="Arial"/>
          <w:sz w:val="20"/>
        </w:rPr>
        <w:t>Umowę sporządzono w dwóch jednobrzmiących egzemplarzach, po jednym dla każdej ze Stron, albo zawarto w formie elektronicznej przez opatrzenie jej kwalifikowanymi podpisami elektronicznymi.</w:t>
      </w:r>
    </w:p>
    <w:p>
      <w:pPr>
        <w:pStyle w:val="ListParagraph"/>
        <w:numPr>
          <w:ilvl w:val="0"/>
          <w:numId w:val="18"/>
        </w:numPr>
        <w:spacing w:lineRule="auto" w:line="360" w:before="0" w:after="0"/>
        <w:ind w:hanging="284" w:start="284"/>
        <w:contextualSpacing/>
        <w:jc w:val="both"/>
        <w:rPr>
          <w:rFonts w:ascii="Arial" w:hAnsi="Arial" w:cs="Arial"/>
          <w:sz w:val="20"/>
          <w:szCs w:val="20"/>
        </w:rPr>
      </w:pPr>
      <w:r>
        <w:rPr>
          <w:rFonts w:eastAsia="Arial" w:ascii="Arial" w:hAnsi="Arial"/>
          <w:sz w:val="20"/>
        </w:rPr>
        <w:t>Integralne części umowy stanowią, w następującej kolejności:</w:t>
      </w:r>
    </w:p>
    <w:p>
      <w:pPr>
        <w:pStyle w:val="ListParagraph"/>
        <w:numPr>
          <w:ilvl w:val="0"/>
          <w:numId w:val="19"/>
        </w:numPr>
        <w:tabs>
          <w:tab w:val="clear" w:pos="708"/>
          <w:tab w:val="left" w:pos="709" w:leader="none"/>
        </w:tabs>
        <w:spacing w:lineRule="auto" w:line="360" w:before="0" w:after="0"/>
        <w:ind w:hanging="720" w:start="1004"/>
        <w:contextualSpacing/>
        <w:jc w:val="both"/>
        <w:rPr>
          <w:rFonts w:ascii="Arial" w:hAnsi="Arial" w:cs="Arial"/>
          <w:sz w:val="20"/>
          <w:szCs w:val="20"/>
        </w:rPr>
      </w:pPr>
      <w:r>
        <w:rPr>
          <w:rFonts w:eastAsia="Arial" w:ascii="Arial" w:hAnsi="Arial"/>
          <w:sz w:val="20"/>
        </w:rPr>
        <w:t>oferta Wykonawcy — załącznik nr 1;</w:t>
      </w:r>
    </w:p>
    <w:p>
      <w:pPr>
        <w:pStyle w:val="ListParagraph"/>
        <w:numPr>
          <w:ilvl w:val="0"/>
          <w:numId w:val="19"/>
        </w:numPr>
        <w:tabs>
          <w:tab w:val="clear" w:pos="708"/>
          <w:tab w:val="left" w:pos="709" w:leader="none"/>
        </w:tabs>
        <w:spacing w:lineRule="auto" w:line="360" w:before="0" w:after="0"/>
        <w:ind w:hanging="720" w:start="1004"/>
        <w:contextualSpacing/>
        <w:jc w:val="both"/>
        <w:rPr>
          <w:rFonts w:ascii="Arial" w:hAnsi="Arial" w:cs="Arial"/>
          <w:sz w:val="20"/>
          <w:szCs w:val="20"/>
        </w:rPr>
      </w:pPr>
      <w:r>
        <w:rPr>
          <w:rFonts w:eastAsia="Arial" w:ascii="Arial" w:hAnsi="Arial"/>
          <w:sz w:val="20"/>
        </w:rPr>
        <w:t>Specyfikacja Warunków Zamówienia — załącznik nr 2;</w:t>
      </w:r>
    </w:p>
    <w:p>
      <w:pPr>
        <w:pStyle w:val="ListParagraph"/>
        <w:numPr>
          <w:ilvl w:val="0"/>
          <w:numId w:val="19"/>
        </w:numPr>
        <w:tabs>
          <w:tab w:val="clear" w:pos="708"/>
          <w:tab w:val="left" w:pos="709" w:leader="none"/>
        </w:tabs>
        <w:spacing w:lineRule="auto" w:line="360" w:before="0" w:after="0"/>
        <w:ind w:hanging="720" w:start="1004"/>
        <w:contextualSpacing/>
        <w:jc w:val="both"/>
        <w:rPr>
          <w:rFonts w:ascii="Arial" w:hAnsi="Arial" w:cs="Arial"/>
          <w:sz w:val="20"/>
          <w:szCs w:val="20"/>
        </w:rPr>
      </w:pPr>
      <w:r>
        <w:rPr>
          <w:rFonts w:eastAsia="Arial" w:ascii="Arial" w:hAnsi="Arial"/>
          <w:sz w:val="20"/>
        </w:rPr>
        <w:t>Opis Przedmiotu Zamówienia — załącznik nr 3;</w:t>
      </w:r>
    </w:p>
    <w:p>
      <w:pPr>
        <w:pStyle w:val="ListParagraph"/>
        <w:numPr>
          <w:ilvl w:val="0"/>
          <w:numId w:val="19"/>
        </w:numPr>
        <w:tabs>
          <w:tab w:val="clear" w:pos="708"/>
          <w:tab w:val="left" w:pos="709" w:leader="none"/>
        </w:tabs>
        <w:spacing w:lineRule="auto" w:line="360" w:before="0" w:after="0"/>
        <w:ind w:hanging="720" w:start="1004"/>
        <w:contextualSpacing/>
        <w:jc w:val="both"/>
        <w:rPr>
          <w:rFonts w:ascii="Arial" w:hAnsi="Arial" w:cs="Arial"/>
          <w:sz w:val="20"/>
          <w:szCs w:val="20"/>
        </w:rPr>
      </w:pPr>
      <w:r>
        <w:rPr>
          <w:rFonts w:eastAsia="Arial" w:ascii="Arial" w:hAnsi="Arial"/>
          <w:sz w:val="20"/>
        </w:rPr>
        <w:t>wzór protokołu zdawczo-odbiorczego — załącznik nr 4.</w:t>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ind w:firstLine="708"/>
        <w:rPr>
          <w:rFonts w:ascii="Arial" w:hAnsi="Arial" w:cs="Arial"/>
          <w:sz w:val="20"/>
          <w:szCs w:val="20"/>
        </w:rPr>
      </w:pPr>
      <w:r>
        <w:rPr>
          <w:rFonts w:cs="Arial" w:ascii="Arial" w:hAnsi="Arial"/>
          <w:sz w:val="20"/>
          <w:szCs w:val="20"/>
        </w:rPr>
        <w:t>Zamawiający</w:t>
        <w:tab/>
        <w:tab/>
        <w:tab/>
        <w:tab/>
        <w:tab/>
        <w:tab/>
        <w:tab/>
        <w:tab/>
        <w:t>Wykonawca</w:t>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t xml:space="preserve">  ………………………………</w:t>
      </w:r>
      <w:r>
        <w:rPr>
          <w:rFonts w:cs="Arial" w:ascii="Arial" w:hAnsi="Arial"/>
          <w:sz w:val="20"/>
          <w:szCs w:val="20"/>
        </w:rPr>
        <w:t>.</w:t>
        <w:tab/>
        <w:tab/>
        <w:tab/>
        <w:tab/>
        <w:tab/>
        <w:tab/>
        <w:t>………………………………</w:t>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jc w:val="end"/>
        <w:textAlignment w:val="baseline"/>
        <w:rPr>
          <w:rFonts w:ascii="Arial" w:hAnsi="Arial" w:eastAsia="Times New Roman" w:cs="Arial"/>
          <w:kern w:val="2"/>
          <w:sz w:val="20"/>
          <w:szCs w:val="20"/>
        </w:rPr>
      </w:pPr>
      <w:r>
        <w:rPr>
          <w:rFonts w:eastAsia="Arial" w:ascii="Arial" w:hAnsi="Arial"/>
          <w:sz w:val="20"/>
        </w:rPr>
        <w:t>Załącznik nr 4</w:t>
      </w:r>
    </w:p>
    <w:p>
      <w:pPr>
        <w:pStyle w:val="Normal"/>
        <w:spacing w:lineRule="auto" w:line="360" w:before="0" w:after="0"/>
        <w:jc w:val="end"/>
        <w:textAlignment w:val="baseline"/>
        <w:rPr>
          <w:rFonts w:ascii="Arial" w:hAnsi="Arial" w:eastAsia="Times New Roman" w:cs="Arial"/>
          <w:kern w:val="2"/>
          <w:sz w:val="20"/>
          <w:szCs w:val="20"/>
        </w:rPr>
      </w:pPr>
      <w:r>
        <w:rPr>
          <w:rFonts w:eastAsia="Times New Roman" w:cs="Arial" w:ascii="Arial" w:hAnsi="Arial"/>
          <w:kern w:val="2"/>
          <w:sz w:val="20"/>
          <w:szCs w:val="20"/>
        </w:rPr>
        <w:t>do umowy nr ………………</w:t>
      </w:r>
    </w:p>
    <w:p>
      <w:pPr>
        <w:pStyle w:val="Normal"/>
        <w:spacing w:lineRule="auto" w:line="360" w:before="0" w:after="0"/>
        <w:jc w:val="center"/>
        <w:textAlignment w:val="baseline"/>
        <w:rPr>
          <w:rFonts w:ascii="Arial" w:hAnsi="Arial" w:eastAsia="Times New Roman" w:cs="Arial"/>
          <w:b/>
          <w:bCs/>
          <w:kern w:val="2"/>
          <w:sz w:val="20"/>
          <w:szCs w:val="20"/>
        </w:rPr>
      </w:pPr>
      <w:r>
        <w:rPr>
          <w:rFonts w:eastAsia="Times New Roman" w:cs="Arial" w:ascii="Arial" w:hAnsi="Arial"/>
          <w:b/>
          <w:bCs/>
          <w:kern w:val="2"/>
          <w:sz w:val="20"/>
          <w:szCs w:val="20"/>
        </w:rPr>
        <w:t>PROTOKÓŁ ZDAWCZO – ODBIORCZY</w:t>
      </w:r>
    </w:p>
    <w:p>
      <w:pPr>
        <w:pStyle w:val="Normal"/>
        <w:spacing w:lineRule="auto" w:line="360" w:before="0" w:after="0"/>
        <w:jc w:val="center"/>
        <w:textAlignment w:val="baseline"/>
        <w:rPr>
          <w:rFonts w:ascii="Arial" w:hAnsi="Arial" w:eastAsia="Times New Roman" w:cs="Arial"/>
          <w:b/>
          <w:bCs/>
          <w:kern w:val="2"/>
          <w:sz w:val="20"/>
          <w:szCs w:val="20"/>
        </w:rPr>
      </w:pPr>
      <w:r>
        <w:rPr>
          <w:rFonts w:eastAsia="Times New Roman" w:cs="Arial" w:ascii="Arial" w:hAnsi="Arial"/>
          <w:b/>
          <w:bCs/>
          <w:kern w:val="2"/>
          <w:sz w:val="20"/>
          <w:szCs w:val="20"/>
        </w:rPr>
        <w:t>z dnia ………………</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do Umowy nr ………………. z dnia ………. roku, sporządzony przy udziale</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przedstawicieli:</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 xml:space="preserve">       </w:t>
      </w:r>
    </w:p>
    <w:p>
      <w:pPr>
        <w:pStyle w:val="Normal"/>
        <w:spacing w:lineRule="auto" w:line="360" w:before="0" w:after="0"/>
        <w:jc w:val="both"/>
        <w:textAlignment w:val="baseline"/>
        <w:rPr>
          <w:rFonts w:ascii="Arial" w:hAnsi="Arial" w:eastAsia="Times New Roman" w:cs="Arial"/>
          <w:b/>
          <w:bCs/>
          <w:kern w:val="2"/>
          <w:sz w:val="20"/>
          <w:szCs w:val="20"/>
        </w:rPr>
      </w:pPr>
      <w:r>
        <w:rPr>
          <w:rFonts w:eastAsia="Times New Roman" w:cs="Arial" w:ascii="Arial" w:hAnsi="Arial"/>
          <w:b/>
          <w:bCs/>
          <w:kern w:val="2"/>
          <w:sz w:val="20"/>
          <w:szCs w:val="20"/>
        </w:rPr>
        <w:t>Wykonawcy:</w:t>
        <w:tab/>
        <w:tab/>
        <w:tab/>
        <w:tab/>
        <w:tab/>
        <w:tab/>
        <w:tab/>
        <w:tab/>
        <w:t xml:space="preserve"> Zamawiającego:</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w:t>
      </w:r>
      <w:r>
        <w:rPr>
          <w:rFonts w:eastAsia="Times New Roman" w:cs="Arial" w:ascii="Arial" w:hAnsi="Arial"/>
          <w:kern w:val="2"/>
          <w:sz w:val="20"/>
          <w:szCs w:val="20"/>
        </w:rPr>
        <w:t xml:space="preserve">. </w:t>
        <w:tab/>
        <w:tab/>
        <w:tab/>
        <w:tab/>
        <w:tab/>
        <w:tab/>
        <w:t>Gmina Miłkowice</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w:t>
      </w:r>
      <w:r>
        <w:rPr>
          <w:rFonts w:eastAsia="Times New Roman" w:cs="Arial" w:ascii="Arial" w:hAnsi="Arial"/>
          <w:kern w:val="2"/>
          <w:sz w:val="20"/>
          <w:szCs w:val="20"/>
        </w:rPr>
        <w:t xml:space="preserve">. </w:t>
        <w:tab/>
        <w:tab/>
        <w:tab/>
        <w:tab/>
        <w:tab/>
        <w:tab/>
        <w:t>Ul. Wojska Polskiego 71</w:t>
      </w:r>
    </w:p>
    <w:p>
      <w:pPr>
        <w:pStyle w:val="Normal"/>
        <w:spacing w:lineRule="auto" w:line="360" w:before="0" w:after="0"/>
        <w:textAlignment w:val="baseline"/>
        <w:rPr>
          <w:rFonts w:ascii="Arial" w:hAnsi="Arial" w:eastAsia="Times New Roman" w:cs="Arial"/>
          <w:kern w:val="2"/>
          <w:sz w:val="20"/>
          <w:szCs w:val="20"/>
        </w:rPr>
      </w:pPr>
      <w:r>
        <w:rPr>
          <w:rFonts w:eastAsia="Times New Roman" w:cs="Arial" w:ascii="Arial" w:hAnsi="Arial"/>
          <w:kern w:val="2"/>
          <w:sz w:val="20"/>
          <w:szCs w:val="20"/>
        </w:rPr>
        <w:t>……………………………</w:t>
      </w:r>
      <w:r>
        <w:rPr>
          <w:rFonts w:eastAsia="Times New Roman" w:cs="Arial" w:ascii="Arial" w:hAnsi="Arial"/>
          <w:kern w:val="2"/>
          <w:sz w:val="20"/>
          <w:szCs w:val="20"/>
        </w:rPr>
        <w:t xml:space="preserve">. </w:t>
        <w:tab/>
        <w:tab/>
        <w:tab/>
        <w:tab/>
        <w:tab/>
        <w:tab/>
        <w:t>59-222 Miłkowice</w:t>
      </w:r>
    </w:p>
    <w:p>
      <w:pPr>
        <w:pStyle w:val="Normal"/>
        <w:spacing w:lineRule="auto" w:line="360" w:before="0" w:after="0"/>
        <w:jc w:val="end"/>
        <w:textAlignment w:val="baseline"/>
        <w:rPr>
          <w:rFonts w:ascii="Arial" w:hAnsi="Arial" w:eastAsia="Times New Roman" w:cs="Arial"/>
          <w:kern w:val="2"/>
          <w:sz w:val="20"/>
          <w:szCs w:val="20"/>
        </w:rPr>
      </w:pPr>
      <w:r>
        <w:rPr>
          <w:rFonts w:eastAsia="Times New Roman" w:cs="Arial" w:ascii="Arial" w:hAnsi="Arial"/>
          <w:kern w:val="2"/>
          <w:sz w:val="20"/>
          <w:szCs w:val="20"/>
        </w:rPr>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Imię i nazwisko przedstawiciela                                Imię i nazwisko przedstawiciela</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1. ………………………………….                        1. ………………………………….</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2. ………………………………….                        2. ………………………………….</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3. ………………………………….                        3. ………………………………….</w:t>
      </w:r>
    </w:p>
    <w:p>
      <w:pPr>
        <w:pStyle w:val="ListParagraph"/>
        <w:numPr>
          <w:ilvl w:val="2"/>
          <w:numId w:val="16"/>
        </w:numPr>
        <w:tabs>
          <w:tab w:val="clear" w:pos="708"/>
          <w:tab w:val="left" w:pos="284" w:leader="none"/>
        </w:tabs>
        <w:spacing w:lineRule="auto" w:line="360" w:before="0" w:after="0"/>
        <w:ind w:hanging="1440" w:start="1440"/>
        <w:contextualSpacing/>
        <w:jc w:val="both"/>
        <w:textAlignment w:val="baseline"/>
        <w:rPr>
          <w:rFonts w:ascii="Arial" w:hAnsi="Arial" w:eastAsia="Times New Roman" w:cs="Arial"/>
          <w:kern w:val="2"/>
          <w:sz w:val="20"/>
          <w:szCs w:val="20"/>
        </w:rPr>
      </w:pPr>
      <w:r>
        <w:rPr>
          <w:rFonts w:eastAsia="Times New Roman" w:cs="Arial" w:ascii="Arial" w:hAnsi="Arial"/>
          <w:kern w:val="2"/>
          <w:sz w:val="20"/>
          <w:szCs w:val="20"/>
        </w:rPr>
        <w:t>Strony oświadczają, że przedmiot umowy koparko - ładowarka:</w:t>
      </w:r>
    </w:p>
    <w:p>
      <w:pPr>
        <w:pStyle w:val="Normal"/>
        <w:spacing w:lineRule="auto" w:line="360" w:before="0" w:after="0"/>
        <w:ind w:start="284"/>
        <w:jc w:val="both"/>
        <w:textAlignment w:val="baseline"/>
        <w:rPr>
          <w:rFonts w:ascii="Arial" w:hAnsi="Arial" w:eastAsia="Times New Roman" w:cs="Arial"/>
          <w:kern w:val="2"/>
          <w:sz w:val="20"/>
          <w:szCs w:val="20"/>
        </w:rPr>
      </w:pPr>
      <w:r>
        <w:rPr>
          <w:rFonts w:eastAsia="Times New Roman" w:cs="Arial" w:ascii="Arial" w:hAnsi="Arial"/>
          <w:kern w:val="2"/>
          <w:sz w:val="20"/>
          <w:szCs w:val="20"/>
        </w:rPr>
        <w:t>a) producent/marka: ………….…….</w:t>
      </w:r>
    </w:p>
    <w:p>
      <w:pPr>
        <w:pStyle w:val="Normal"/>
        <w:spacing w:lineRule="auto" w:line="360" w:before="0" w:after="0"/>
        <w:ind w:start="284"/>
        <w:jc w:val="both"/>
        <w:textAlignment w:val="baseline"/>
        <w:rPr>
          <w:rFonts w:ascii="Arial" w:hAnsi="Arial" w:eastAsia="Times New Roman" w:cs="Arial"/>
          <w:kern w:val="2"/>
          <w:sz w:val="20"/>
          <w:szCs w:val="20"/>
        </w:rPr>
      </w:pPr>
      <w:r>
        <w:rPr>
          <w:rFonts w:eastAsia="Times New Roman" w:cs="Arial" w:ascii="Arial" w:hAnsi="Arial"/>
          <w:kern w:val="2"/>
          <w:sz w:val="20"/>
          <w:szCs w:val="20"/>
        </w:rPr>
        <w:t>b) model: ………………...................</w:t>
      </w:r>
    </w:p>
    <w:p>
      <w:pPr>
        <w:pStyle w:val="Normal"/>
        <w:spacing w:lineRule="auto" w:line="360" w:before="0" w:after="0"/>
        <w:ind w:start="284"/>
        <w:jc w:val="both"/>
        <w:textAlignment w:val="baseline"/>
        <w:rPr>
          <w:rFonts w:ascii="Arial" w:hAnsi="Arial" w:eastAsia="Times New Roman" w:cs="Arial"/>
          <w:kern w:val="2"/>
          <w:sz w:val="20"/>
          <w:szCs w:val="20"/>
        </w:rPr>
      </w:pPr>
      <w:r>
        <w:rPr>
          <w:rFonts w:eastAsia="Times New Roman" w:cs="Arial" w:ascii="Arial" w:hAnsi="Arial"/>
          <w:kern w:val="2"/>
          <w:sz w:val="20"/>
          <w:szCs w:val="20"/>
        </w:rPr>
        <w:t>c) rok produkcji: ……………………..</w:t>
      </w:r>
    </w:p>
    <w:p>
      <w:pPr>
        <w:pStyle w:val="Normal"/>
        <w:spacing w:lineRule="auto" w:line="360" w:before="0" w:after="0"/>
        <w:jc w:val="both"/>
        <w:textAlignment w:val="baseline"/>
        <w:rPr>
          <w:rFonts w:ascii="Arial" w:hAnsi="Arial" w:eastAsia="Times New Roman" w:cs="Arial"/>
          <w:kern w:val="2"/>
          <w:sz w:val="20"/>
          <w:szCs w:val="20"/>
        </w:rPr>
      </w:pPr>
      <w:r>
        <w:rPr>
          <w:rFonts w:eastAsia="Arial" w:ascii="Arial" w:hAnsi="Arial"/>
          <w:sz w:val="20"/>
        </w:rPr>
        <w:t>został przedstawiony do odbioru i poddany czynnościom określonym w § 4 umowy; zgodność z OPZ (załącznik nr 3) oceniono: TAK / NIE / Z ZASTRZEŻENIAMI*.</w:t>
      </w:r>
    </w:p>
    <w:p>
      <w:pPr>
        <w:pStyle w:val="ListParagraph"/>
        <w:numPr>
          <w:ilvl w:val="2"/>
          <w:numId w:val="20"/>
        </w:numPr>
        <w:spacing w:lineRule="auto" w:line="360" w:before="0" w:after="0"/>
        <w:ind w:hanging="284" w:start="284"/>
        <w:contextualSpacing/>
        <w:textAlignment w:val="baseline"/>
        <w:rPr>
          <w:rFonts w:ascii="Arial" w:hAnsi="Arial" w:eastAsia="Times New Roman" w:cs="Arial"/>
          <w:kern w:val="2"/>
          <w:sz w:val="20"/>
          <w:szCs w:val="20"/>
        </w:rPr>
      </w:pPr>
      <w:r>
        <w:rPr>
          <w:rFonts w:eastAsia="Arial" w:ascii="Arial" w:hAnsi="Arial"/>
          <w:sz w:val="20"/>
        </w:rPr>
        <w:t>Wynik prób technicznych i demonstracji funkcji: …………………………………………………………</w:t>
        <w:br/>
        <w:t>…………………………………………………………………………………………………………………</w:t>
      </w:r>
    </w:p>
    <w:p>
      <w:pPr>
        <w:pStyle w:val="ListParagraph"/>
        <w:numPr>
          <w:ilvl w:val="2"/>
          <w:numId w:val="20"/>
        </w:numPr>
        <w:spacing w:lineRule="auto" w:line="360" w:before="0" w:after="0"/>
        <w:ind w:hanging="284" w:start="284"/>
        <w:contextualSpacing/>
        <w:textAlignment w:val="baseline"/>
        <w:rPr>
          <w:rFonts w:ascii="Arial" w:hAnsi="Arial" w:eastAsia="Times New Roman" w:cs="Arial"/>
          <w:kern w:val="2"/>
          <w:sz w:val="20"/>
          <w:szCs w:val="20"/>
        </w:rPr>
      </w:pPr>
      <w:r>
        <w:rPr>
          <w:rFonts w:eastAsia="Arial" w:ascii="Arial" w:hAnsi="Arial"/>
          <w:sz w:val="20"/>
        </w:rPr>
        <w:t>Gwarancja: 36 miesięcy albo 3 000 motogodzin — w zależności od tego, który limit upłynie wcześniej — od dnia odbioru bez wad istotnych.</w:t>
      </w:r>
    </w:p>
    <w:p>
      <w:pPr>
        <w:pStyle w:val="ListParagraph"/>
        <w:numPr>
          <w:ilvl w:val="2"/>
          <w:numId w:val="20"/>
        </w:numPr>
        <w:spacing w:lineRule="auto" w:line="360" w:before="0" w:after="0"/>
        <w:ind w:hanging="284" w:start="284"/>
        <w:contextualSpacing/>
        <w:textAlignment w:val="baseline"/>
        <w:rPr>
          <w:rFonts w:ascii="Arial" w:hAnsi="Arial" w:eastAsia="Times New Roman" w:cs="Arial"/>
          <w:kern w:val="2"/>
          <w:sz w:val="20"/>
          <w:szCs w:val="20"/>
        </w:rPr>
      </w:pPr>
      <w:r>
        <w:rPr>
          <w:rFonts w:eastAsia="Arial" w:ascii="Arial" w:hAnsi="Arial"/>
          <w:sz w:val="20"/>
        </w:rPr>
        <w:t>Szkolenie przeprowadzono dla …… osób w dniu ……………… przez …… godzin; protokół/listę obecności dołączono: TAK / NIE*.</w:t>
      </w:r>
    </w:p>
    <w:p>
      <w:pPr>
        <w:pStyle w:val="ListParagraph"/>
        <w:numPr>
          <w:ilvl w:val="2"/>
          <w:numId w:val="20"/>
        </w:numPr>
        <w:spacing w:lineRule="auto" w:line="360" w:before="0" w:after="0"/>
        <w:ind w:hanging="284" w:start="284"/>
        <w:contextualSpacing/>
        <w:textAlignment w:val="baseline"/>
        <w:rPr>
          <w:rFonts w:ascii="Arial" w:hAnsi="Arial" w:eastAsia="Times New Roman" w:cs="Arial"/>
          <w:kern w:val="2"/>
          <w:sz w:val="20"/>
          <w:szCs w:val="20"/>
        </w:rPr>
      </w:pPr>
      <w:r>
        <w:rPr>
          <w:rFonts w:eastAsia="Arial" w:ascii="Arial" w:hAnsi="Arial"/>
          <w:sz w:val="20"/>
        </w:rPr>
        <w:t>Przekazano komplet dokumentów, kluczyków, dostęp do telematyki, osprzęt i wyposażenie wymienione w § 4: TAK / NIE*; braki: …………………………………………………………………………</w:t>
      </w:r>
    </w:p>
    <w:p>
      <w:pPr>
        <w:pStyle w:val="ListParagraph"/>
        <w:numPr>
          <w:ilvl w:val="2"/>
          <w:numId w:val="20"/>
        </w:numPr>
        <w:spacing w:lineRule="auto" w:line="360" w:before="0" w:after="0"/>
        <w:ind w:hanging="284" w:start="284"/>
        <w:contextualSpacing/>
        <w:textAlignment w:val="baseline"/>
        <w:rPr>
          <w:rFonts w:ascii="Arial" w:hAnsi="Arial" w:eastAsia="Times New Roman" w:cs="Arial"/>
          <w:kern w:val="2"/>
          <w:sz w:val="20"/>
          <w:szCs w:val="20"/>
        </w:rPr>
      </w:pPr>
      <w:r>
        <w:rPr>
          <w:rFonts w:eastAsia="Arial" w:ascii="Arial" w:hAnsi="Arial"/>
          <w:sz w:val="20"/>
        </w:rPr>
        <w:t>Decyzja Zamawiającego: ODBIÓR BEZ WAD ISTOTNYCH / ODBIÓR Z WADAMI NIEISTOTNYMI / ODMOWA ODBIORU*. Termin usunięcia wad nieistotnych albo ponownego przedstawienia do odbioru: ……………………………………………………………………………………………..………</w:t>
      </w:r>
    </w:p>
    <w:p>
      <w:pPr>
        <w:pStyle w:val="ListParagraph"/>
        <w:numPr>
          <w:ilvl w:val="2"/>
          <w:numId w:val="20"/>
        </w:numPr>
        <w:spacing w:lineRule="auto" w:line="360" w:before="0" w:after="0"/>
        <w:ind w:hanging="284" w:start="284"/>
        <w:contextualSpacing/>
        <w:textAlignment w:val="baseline"/>
        <w:rPr>
          <w:rFonts w:ascii="Arial" w:hAnsi="Arial" w:eastAsia="Times New Roman" w:cs="Arial"/>
          <w:kern w:val="2"/>
          <w:sz w:val="20"/>
          <w:szCs w:val="20"/>
        </w:rPr>
      </w:pPr>
      <w:r>
        <w:rPr>
          <w:rFonts w:eastAsia="Arial" w:ascii="Arial" w:hAnsi="Arial"/>
          <w:sz w:val="20"/>
        </w:rPr>
        <w:t>Uwagi, wykaz wad i załączniki do protokołu: ………………………………………………………………</w:t>
      </w:r>
    </w:p>
    <w:p>
      <w:pPr>
        <w:pStyle w:val="Normal"/>
        <w:spacing w:lineRule="auto" w:line="360" w:before="0" w:after="0"/>
        <w:textAlignment w:val="baseline"/>
        <w:rPr>
          <w:rFonts w:ascii="Arial" w:hAnsi="Arial" w:eastAsia="Times New Roman" w:cs="Arial"/>
          <w:kern w:val="2"/>
          <w:sz w:val="20"/>
          <w:szCs w:val="20"/>
        </w:rPr>
      </w:pPr>
      <w:r>
        <w:rPr>
          <w:rFonts w:eastAsia="Arial" w:ascii="Arial" w:hAnsi="Arial"/>
          <w:sz w:val="20"/>
        </w:rPr>
        <w:t>Stan licznika motogodzin przy odbiorze: …………… mth.</w:t>
      </w:r>
    </w:p>
    <w:p>
      <w:pPr>
        <w:pStyle w:val="Normal"/>
        <w:spacing w:lineRule="auto" w:line="360" w:before="0" w:after="0"/>
        <w:textAlignment w:val="baseline"/>
        <w:rPr>
          <w:rFonts w:ascii="Arial" w:hAnsi="Arial" w:eastAsia="Arial"/>
          <w:sz w:val="20"/>
        </w:rPr>
      </w:pPr>
      <w:r>
        <w:rPr>
          <w:rFonts w:eastAsia="Arial" w:ascii="Arial" w:hAnsi="Arial"/>
          <w:sz w:val="20"/>
        </w:rPr>
        <w:t>Numer seryjny/VIN maszyny: …………………………………; numery seryjne głównego osprzętu: ………………………………………………………………</w:t>
      </w:r>
    </w:p>
    <w:p>
      <w:pPr>
        <w:pStyle w:val="Normal"/>
        <w:spacing w:lineRule="auto" w:line="360" w:before="0" w:after="0"/>
        <w:textAlignment w:val="baseline"/>
        <w:rPr>
          <w:rFonts w:ascii="Arial" w:hAnsi="Arial" w:eastAsia="Times New Roman" w:cs="Arial"/>
          <w:kern w:val="2"/>
          <w:sz w:val="18"/>
          <w:szCs w:val="18"/>
        </w:rPr>
      </w:pPr>
      <w:r>
        <w:rPr>
          <w:rFonts w:eastAsia="Arial" w:ascii="Arial" w:hAnsi="Arial"/>
          <w:sz w:val="18"/>
          <w:szCs w:val="18"/>
        </w:rPr>
        <w:t>*niepotrzebne skreślić</w:t>
      </w:r>
    </w:p>
    <w:p>
      <w:pPr>
        <w:pStyle w:val="Normal"/>
        <w:spacing w:lineRule="auto" w:line="360" w:before="0" w:after="0"/>
        <w:textAlignment w:val="baseline"/>
        <w:rPr>
          <w:rFonts w:ascii="Arial" w:hAnsi="Arial" w:eastAsia="Times New Roman" w:cs="Arial"/>
          <w:kern w:val="2"/>
          <w:sz w:val="20"/>
          <w:szCs w:val="20"/>
        </w:rPr>
      </w:pPr>
      <w:r>
        <w:rPr>
          <w:rFonts w:eastAsia="Arial" w:ascii="Arial" w:hAnsi="Arial"/>
          <w:sz w:val="20"/>
        </w:rPr>
        <w:t>Podpis Wykonawcy nie oznacza zrzeczenia się zastrzeżeń wpisanych do protokołu, a odmowa podpisu przez Wykonawcę nie pozbawia skuteczności protokołu jednostronnego Zamawiającego.</w:t>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r>
    </w:p>
    <w:p>
      <w:pPr>
        <w:pStyle w:val="Normal"/>
        <w:spacing w:lineRule="auto" w:line="360" w:before="0" w:after="0"/>
        <w:jc w:val="both"/>
        <w:textAlignment w:val="baseline"/>
        <w:rPr>
          <w:rFonts w:ascii="Arial" w:hAnsi="Arial" w:eastAsia="Times New Roman" w:cs="Arial"/>
          <w:kern w:val="2"/>
          <w:sz w:val="20"/>
          <w:szCs w:val="20"/>
        </w:rPr>
      </w:pPr>
      <w:r>
        <w:rPr>
          <w:rFonts w:eastAsia="Times New Roman" w:cs="Arial" w:ascii="Arial" w:hAnsi="Arial"/>
          <w:kern w:val="2"/>
          <w:sz w:val="20"/>
          <w:szCs w:val="20"/>
        </w:rPr>
        <w:t xml:space="preserve">w imieniu Zamawiającego </w:t>
        <w:tab/>
        <w:tab/>
        <w:tab/>
        <w:tab/>
        <w:tab/>
        <w:tab/>
        <w:tab/>
        <w:t>w imieniu Wykonawcy</w:t>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18"/>
          <w:szCs w:val="18"/>
        </w:rPr>
      </w:pPr>
      <w:r>
        <w:rPr>
          <w:rFonts w:cs="Arial" w:ascii="Arial" w:hAnsi="Arial"/>
          <w:sz w:val="18"/>
          <w:szCs w:val="18"/>
        </w:rPr>
        <w:t>*niepotrzebne skreślić</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426" w:top="947" w:footer="708" w:bottom="993"/>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Calibri Light">
    <w:charset w:val="ee" w:characterSet="windows-1250"/>
    <w:family w:val="swiss"/>
    <w:pitch w:val="variable"/>
  </w:font>
  <w:font w:name="OpenSymbol">
    <w:altName w:val="Arial Unicode MS"/>
    <w:charset w:val="02"/>
    <w:family w:val="roman"/>
    <w:pitch w:val="variable"/>
  </w:font>
  <w:font w:name="Arial">
    <w:charset w:val="ee" w:characterSet="windows-1250"/>
    <w:family w:val="swiss"/>
    <w:pitch w:val="variable"/>
  </w:font>
  <w:font w:name="Times New Roman">
    <w:charset w:val="ee" w:characterSet="windows-1250"/>
    <w:family w:val="roman"/>
    <w:pitch w:val="variable"/>
  </w:font>
  <w:font w:name="Liberation Sans">
    <w:altName w:val="Arial"/>
    <w:charset w:val="ee" w:characterSet="windows-1250"/>
    <w:family w:val="swiss"/>
    <w:pitch w:val="variable"/>
  </w:font>
  <w:font w:name="Verdana">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9397320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9397320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i/>
        <w:iCs/>
        <w:sz w:val="18"/>
        <w:szCs w:val="18"/>
      </w:rPr>
    </w:pPr>
    <w:r>
      <w:rPr/>
      <w:drawing>
        <wp:inline distT="0" distB="0" distL="0" distR="0">
          <wp:extent cx="2276475" cy="5048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2276475" cy="504825"/>
                  </a:xfrm>
                  <a:prstGeom prst="rect">
                    <a:avLst/>
                  </a:prstGeom>
                  <a:noFill/>
                </pic:spPr>
              </pic:pic>
            </a:graphicData>
          </a:graphic>
        </wp:inline>
      </w:drawing>
    </w:r>
  </w:p>
  <w:p>
    <w:pPr>
      <w:pStyle w:val="Footer"/>
      <w:jc w:val="center"/>
      <w:rPr>
        <w:rFonts w:ascii="Arial" w:hAnsi="Arial" w:cs="Arial"/>
        <w:i/>
        <w:iCs/>
        <w:sz w:val="18"/>
        <w:szCs w:val="18"/>
      </w:rPr>
    </w:pPr>
    <w:r>
      <w:rPr>
        <w:rFonts w:cs="Arial" w:ascii="Arial" w:hAnsi="Arial"/>
        <w:i/>
        <w:iCs/>
        <w:sz w:val="18"/>
        <w:szCs w:val="18"/>
      </w:rPr>
      <w:t>Zadanie realizowane ze środków Programu Ochrony Ludności i Obrony Cywilnej na lata 2025-2026</w:t>
    </w:r>
  </w:p>
  <w:p>
    <w:pPr>
      <w:pStyle w:val="Footer"/>
      <w:jc w:val="center"/>
      <w:rPr>
        <w:rFonts w:ascii="Arial" w:hAnsi="Arial" w:cs="Arial"/>
        <w:i/>
        <w:iCs/>
        <w:sz w:val="18"/>
        <w:szCs w:val="18"/>
      </w:rPr>
    </w:pPr>
    <w:r>
      <w:rPr>
        <w:rFonts w:cs="Arial" w:ascii="Arial" w:hAnsi="Arial"/>
        <w:i/>
        <w:iCs/>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i/>
        <w:iCs/>
        <w:sz w:val="18"/>
        <w:szCs w:val="18"/>
      </w:rPr>
    </w:pPr>
    <w:r>
      <w:rPr/>
      <w:drawing>
        <wp:inline distT="0" distB="0" distL="0" distR="0">
          <wp:extent cx="2276475" cy="50482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1"/>
                  <a:stretch>
                    <a:fillRect/>
                  </a:stretch>
                </pic:blipFill>
                <pic:spPr bwMode="auto">
                  <a:xfrm>
                    <a:off x="0" y="0"/>
                    <a:ext cx="2276475" cy="504825"/>
                  </a:xfrm>
                  <a:prstGeom prst="rect">
                    <a:avLst/>
                  </a:prstGeom>
                  <a:noFill/>
                </pic:spPr>
              </pic:pic>
            </a:graphicData>
          </a:graphic>
        </wp:inline>
      </w:drawing>
    </w:r>
  </w:p>
  <w:p>
    <w:pPr>
      <w:pStyle w:val="Footer"/>
      <w:jc w:val="center"/>
      <w:rPr>
        <w:rFonts w:ascii="Arial" w:hAnsi="Arial" w:cs="Arial"/>
        <w:i/>
        <w:iCs/>
        <w:sz w:val="18"/>
        <w:szCs w:val="18"/>
      </w:rPr>
    </w:pPr>
    <w:r>
      <w:rPr>
        <w:rFonts w:cs="Arial" w:ascii="Arial" w:hAnsi="Arial"/>
        <w:i/>
        <w:iCs/>
        <w:sz w:val="18"/>
        <w:szCs w:val="18"/>
      </w:rPr>
      <w:t>Zadanie realizowane ze środków Programu Ochrony Ludności i Obrony Cywilnej na lata 2025-2026</w:t>
    </w:r>
  </w:p>
  <w:p>
    <w:pPr>
      <w:pStyle w:val="Footer"/>
      <w:jc w:val="center"/>
      <w:rPr>
        <w:rFonts w:ascii="Arial" w:hAnsi="Arial" w:cs="Arial"/>
        <w:i/>
        <w:iCs/>
        <w:sz w:val="18"/>
        <w:szCs w:val="18"/>
      </w:rPr>
    </w:pPr>
    <w:r>
      <w:rPr>
        <w:rFonts w:cs="Arial" w:ascii="Arial" w:hAnsi="Arial"/>
        <w:i/>
        <w:iCs/>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142"/>
        </w:tabs>
        <w:ind w:start="786" w:hanging="360"/>
      </w:pPr>
      <w:rPr/>
    </w:lvl>
    <w:lvl w:ilvl="1">
      <w:start w:val="1"/>
      <w:numFmt w:val="lowerLetter"/>
      <w:lvlText w:val="%2."/>
      <w:lvlJc w:val="start"/>
      <w:pPr>
        <w:tabs>
          <w:tab w:val="num" w:pos="142"/>
        </w:tabs>
        <w:ind w:start="1506" w:hanging="360"/>
      </w:pPr>
      <w:rPr>
        <w:rFonts w:cs="Times New Roman"/>
      </w:rPr>
    </w:lvl>
    <w:lvl w:ilvl="2">
      <w:start w:val="1"/>
      <w:numFmt w:val="lowerRoman"/>
      <w:lvlText w:val="%3."/>
      <w:lvlJc w:val="end"/>
      <w:pPr>
        <w:tabs>
          <w:tab w:val="num" w:pos="142"/>
        </w:tabs>
        <w:ind w:start="2226" w:hanging="180"/>
      </w:pPr>
      <w:rPr>
        <w:rFonts w:cs="Times New Roman"/>
      </w:rPr>
    </w:lvl>
    <w:lvl w:ilvl="3">
      <w:start w:val="1"/>
      <w:numFmt w:val="decimal"/>
      <w:lvlText w:val="%4."/>
      <w:lvlJc w:val="start"/>
      <w:pPr>
        <w:tabs>
          <w:tab w:val="num" w:pos="142"/>
        </w:tabs>
        <w:ind w:start="2946" w:hanging="360"/>
      </w:pPr>
      <w:rPr>
        <w:rFonts w:cs="Times New Roman"/>
      </w:rPr>
    </w:lvl>
    <w:lvl w:ilvl="4">
      <w:start w:val="1"/>
      <w:numFmt w:val="lowerLetter"/>
      <w:lvlText w:val="%5."/>
      <w:lvlJc w:val="start"/>
      <w:pPr>
        <w:tabs>
          <w:tab w:val="num" w:pos="142"/>
        </w:tabs>
        <w:ind w:start="3666" w:hanging="360"/>
      </w:pPr>
      <w:rPr>
        <w:rFonts w:cs="Times New Roman"/>
      </w:rPr>
    </w:lvl>
    <w:lvl w:ilvl="5">
      <w:start w:val="1"/>
      <w:numFmt w:val="lowerRoman"/>
      <w:lvlText w:val="%6."/>
      <w:lvlJc w:val="end"/>
      <w:pPr>
        <w:tabs>
          <w:tab w:val="num" w:pos="142"/>
        </w:tabs>
        <w:ind w:start="4386" w:hanging="180"/>
      </w:pPr>
      <w:rPr>
        <w:rFonts w:cs="Times New Roman"/>
      </w:rPr>
    </w:lvl>
    <w:lvl w:ilvl="6">
      <w:start w:val="1"/>
      <w:numFmt w:val="decimal"/>
      <w:lvlText w:val="%7."/>
      <w:lvlJc w:val="start"/>
      <w:pPr>
        <w:tabs>
          <w:tab w:val="num" w:pos="142"/>
        </w:tabs>
        <w:ind w:start="5106" w:hanging="360"/>
      </w:pPr>
      <w:rPr>
        <w:rFonts w:cs="Times New Roman"/>
      </w:rPr>
    </w:lvl>
    <w:lvl w:ilvl="7">
      <w:start w:val="1"/>
      <w:numFmt w:val="lowerLetter"/>
      <w:lvlText w:val="%8."/>
      <w:lvlJc w:val="start"/>
      <w:pPr>
        <w:tabs>
          <w:tab w:val="num" w:pos="142"/>
        </w:tabs>
        <w:ind w:start="5826" w:hanging="360"/>
      </w:pPr>
      <w:rPr>
        <w:rFonts w:cs="Times New Roman"/>
      </w:rPr>
    </w:lvl>
    <w:lvl w:ilvl="8">
      <w:start w:val="1"/>
      <w:numFmt w:val="lowerRoman"/>
      <w:lvlText w:val="%9."/>
      <w:lvlJc w:val="end"/>
      <w:pPr>
        <w:tabs>
          <w:tab w:val="num" w:pos="142"/>
        </w:tabs>
        <w:ind w:start="6546" w:hanging="180"/>
      </w:pPr>
      <w:rPr>
        <w:rFonts w:cs="Times New Roman"/>
      </w:rPr>
    </w:lvl>
  </w:abstractNum>
  <w:abstractNum w:abstractNumId="2">
    <w:lvl w:ilvl="0">
      <w:start w:val="1"/>
      <w:numFmt w:val="decimal"/>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3">
    <w:lvl w:ilvl="0">
      <w:start w:val="1"/>
      <w:numFmt w:val="decimal"/>
      <w:lvlText w:val="%1."/>
      <w:lvlJc w:val="start"/>
      <w:pPr>
        <w:tabs>
          <w:tab w:val="num" w:pos="0"/>
        </w:tabs>
        <w:ind w:start="1080" w:hanging="360"/>
      </w:pPr>
      <w:rPr>
        <w:rFonts w:cs="Times New Roman"/>
      </w:rPr>
    </w:lvl>
    <w:lvl w:ilvl="1">
      <w:start w:val="1"/>
      <w:numFmt w:val="lowerLetter"/>
      <w:lvlText w:val="%2."/>
      <w:lvlJc w:val="start"/>
      <w:pPr>
        <w:tabs>
          <w:tab w:val="num" w:pos="0"/>
        </w:tabs>
        <w:ind w:start="1800" w:hanging="360"/>
      </w:pPr>
      <w:rPr>
        <w:rFonts w:cs="Times New Roman"/>
      </w:rPr>
    </w:lvl>
    <w:lvl w:ilvl="2">
      <w:start w:val="1"/>
      <w:numFmt w:val="lowerRoman"/>
      <w:lvlText w:val="%3."/>
      <w:lvlJc w:val="end"/>
      <w:pPr>
        <w:tabs>
          <w:tab w:val="num" w:pos="0"/>
        </w:tabs>
        <w:ind w:start="2520" w:hanging="180"/>
      </w:pPr>
      <w:rPr>
        <w:rFonts w:cs="Times New Roman"/>
      </w:rPr>
    </w:lvl>
    <w:lvl w:ilvl="3">
      <w:start w:val="1"/>
      <w:numFmt w:val="decimal"/>
      <w:lvlText w:val="%4."/>
      <w:lvlJc w:val="start"/>
      <w:pPr>
        <w:tabs>
          <w:tab w:val="num" w:pos="0"/>
        </w:tabs>
        <w:ind w:start="3240" w:hanging="360"/>
      </w:pPr>
      <w:rPr>
        <w:rFonts w:cs="Times New Roman"/>
      </w:rPr>
    </w:lvl>
    <w:lvl w:ilvl="4">
      <w:start w:val="1"/>
      <w:numFmt w:val="lowerLetter"/>
      <w:lvlText w:val="%5."/>
      <w:lvlJc w:val="start"/>
      <w:pPr>
        <w:tabs>
          <w:tab w:val="num" w:pos="0"/>
        </w:tabs>
        <w:ind w:start="3960" w:hanging="360"/>
      </w:pPr>
      <w:rPr>
        <w:rFonts w:cs="Times New Roman"/>
      </w:rPr>
    </w:lvl>
    <w:lvl w:ilvl="5">
      <w:start w:val="1"/>
      <w:numFmt w:val="lowerRoman"/>
      <w:lvlText w:val="%6."/>
      <w:lvlJc w:val="end"/>
      <w:pPr>
        <w:tabs>
          <w:tab w:val="num" w:pos="0"/>
        </w:tabs>
        <w:ind w:start="4680" w:hanging="180"/>
      </w:pPr>
      <w:rPr>
        <w:rFonts w:cs="Times New Roman"/>
      </w:rPr>
    </w:lvl>
    <w:lvl w:ilvl="6">
      <w:start w:val="1"/>
      <w:numFmt w:val="decimal"/>
      <w:lvlText w:val="%7."/>
      <w:lvlJc w:val="start"/>
      <w:pPr>
        <w:tabs>
          <w:tab w:val="num" w:pos="0"/>
        </w:tabs>
        <w:ind w:start="5400" w:hanging="360"/>
      </w:pPr>
      <w:rPr>
        <w:rFonts w:cs="Times New Roman"/>
      </w:rPr>
    </w:lvl>
    <w:lvl w:ilvl="7">
      <w:start w:val="1"/>
      <w:numFmt w:val="lowerLetter"/>
      <w:lvlText w:val="%8."/>
      <w:lvlJc w:val="start"/>
      <w:pPr>
        <w:tabs>
          <w:tab w:val="num" w:pos="0"/>
        </w:tabs>
        <w:ind w:start="6120" w:hanging="360"/>
      </w:pPr>
      <w:rPr>
        <w:rFonts w:cs="Times New Roman"/>
      </w:rPr>
    </w:lvl>
    <w:lvl w:ilvl="8">
      <w:start w:val="1"/>
      <w:numFmt w:val="lowerRoman"/>
      <w:lvlText w:val="%9."/>
      <w:lvlJc w:val="end"/>
      <w:pPr>
        <w:tabs>
          <w:tab w:val="num" w:pos="0"/>
        </w:tabs>
        <w:ind w:start="6840" w:hanging="180"/>
      </w:pPr>
      <w:rPr>
        <w:rFonts w:cs="Times New Roman"/>
      </w:rPr>
    </w:lvl>
  </w:abstractNum>
  <w:abstractNum w:abstractNumId="4">
    <w:lvl w:ilvl="0">
      <w:start w:val="1"/>
      <w:numFmt w:val="decimal"/>
      <w:lvlText w:val="%1."/>
      <w:lvlJc w:val="start"/>
      <w:pPr>
        <w:tabs>
          <w:tab w:val="num" w:pos="0"/>
        </w:tabs>
        <w:ind w:start="360" w:hanging="360"/>
      </w:pPr>
      <w:rPr>
        <w:rFonts w:ascii="Arial" w:hAnsi="Arial" w:cs="Arial"/>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5">
    <w:lvl w:ilvl="0">
      <w:start w:val="1"/>
      <w:numFmt w:val="decimal"/>
      <w:lvlText w:val="%1."/>
      <w:lvlJc w:val="start"/>
      <w:pPr>
        <w:tabs>
          <w:tab w:val="num" w:pos="0"/>
        </w:tabs>
        <w:ind w:start="360" w:hanging="360"/>
      </w:pPr>
      <w:rPr>
        <w:rFonts w:cs="Times New Roman"/>
      </w:rPr>
    </w:lvl>
    <w:lvl w:ilvl="1">
      <w:start w:val="1"/>
      <w:numFmt w:val="lowerLetter"/>
      <w:lvlText w:val="%2."/>
      <w:lvlJc w:val="start"/>
      <w:pPr>
        <w:tabs>
          <w:tab w:val="num" w:pos="0"/>
        </w:tabs>
        <w:ind w:start="1080" w:hanging="360"/>
      </w:pPr>
      <w:rPr>
        <w:rFonts w:cs="Times New Roman"/>
      </w:rPr>
    </w:lvl>
    <w:lvl w:ilvl="2">
      <w:start w:val="1"/>
      <w:numFmt w:val="lowerRoman"/>
      <w:lvlText w:val="%3."/>
      <w:lvlJc w:val="end"/>
      <w:pPr>
        <w:tabs>
          <w:tab w:val="num" w:pos="0"/>
        </w:tabs>
        <w:ind w:start="1800" w:hanging="180"/>
      </w:pPr>
      <w:rPr>
        <w:rFonts w:cs="Times New Roman"/>
      </w:rPr>
    </w:lvl>
    <w:lvl w:ilvl="3">
      <w:start w:val="1"/>
      <w:numFmt w:val="decimal"/>
      <w:lvlText w:val="%4."/>
      <w:lvlJc w:val="start"/>
      <w:pPr>
        <w:tabs>
          <w:tab w:val="num" w:pos="0"/>
        </w:tabs>
        <w:ind w:start="2520" w:hanging="360"/>
      </w:pPr>
      <w:rPr>
        <w:rFonts w:cs="Times New Roman"/>
      </w:rPr>
    </w:lvl>
    <w:lvl w:ilvl="4">
      <w:start w:val="1"/>
      <w:numFmt w:val="lowerLetter"/>
      <w:lvlText w:val="%5."/>
      <w:lvlJc w:val="start"/>
      <w:pPr>
        <w:tabs>
          <w:tab w:val="num" w:pos="0"/>
        </w:tabs>
        <w:ind w:start="3240" w:hanging="360"/>
      </w:pPr>
      <w:rPr>
        <w:rFonts w:cs="Times New Roman"/>
      </w:rPr>
    </w:lvl>
    <w:lvl w:ilvl="5">
      <w:start w:val="1"/>
      <w:numFmt w:val="lowerRoman"/>
      <w:lvlText w:val="%6."/>
      <w:lvlJc w:val="end"/>
      <w:pPr>
        <w:tabs>
          <w:tab w:val="num" w:pos="0"/>
        </w:tabs>
        <w:ind w:start="3960" w:hanging="180"/>
      </w:pPr>
      <w:rPr>
        <w:rFonts w:cs="Times New Roman"/>
      </w:rPr>
    </w:lvl>
    <w:lvl w:ilvl="6">
      <w:start w:val="1"/>
      <w:numFmt w:val="decimal"/>
      <w:lvlText w:val="%7."/>
      <w:lvlJc w:val="start"/>
      <w:pPr>
        <w:tabs>
          <w:tab w:val="num" w:pos="0"/>
        </w:tabs>
        <w:ind w:start="4680" w:hanging="360"/>
      </w:pPr>
      <w:rPr>
        <w:rFonts w:cs="Times New Roman"/>
      </w:rPr>
    </w:lvl>
    <w:lvl w:ilvl="7">
      <w:start w:val="1"/>
      <w:numFmt w:val="lowerLetter"/>
      <w:lvlText w:val="%8."/>
      <w:lvlJc w:val="start"/>
      <w:pPr>
        <w:tabs>
          <w:tab w:val="num" w:pos="0"/>
        </w:tabs>
        <w:ind w:start="5400" w:hanging="360"/>
      </w:pPr>
      <w:rPr>
        <w:rFonts w:cs="Times New Roman"/>
      </w:rPr>
    </w:lvl>
    <w:lvl w:ilvl="8">
      <w:start w:val="1"/>
      <w:numFmt w:val="lowerRoman"/>
      <w:lvlText w:val="%9."/>
      <w:lvlJc w:val="end"/>
      <w:pPr>
        <w:tabs>
          <w:tab w:val="num" w:pos="0"/>
        </w:tabs>
        <w:ind w:start="6120" w:hanging="180"/>
      </w:pPr>
      <w:rPr>
        <w:rFonts w:cs="Times New Roman"/>
      </w:rPr>
    </w:lvl>
  </w:abstractNum>
  <w:abstractNum w:abstractNumId="6">
    <w:lvl w:ilvl="0">
      <w:start w:val="11"/>
      <w:numFmt w:val="decimal"/>
      <w:lvlText w:val="%1."/>
      <w:lvlJc w:val="start"/>
      <w:pPr>
        <w:tabs>
          <w:tab w:val="num" w:pos="0"/>
        </w:tabs>
        <w:ind w:start="360" w:hanging="360"/>
      </w:pPr>
      <w:rPr>
        <w:rFonts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7">
    <w:lvl w:ilvl="0">
      <w:start w:val="1"/>
      <w:numFmt w:val="decimal"/>
      <w:lvlText w:val="%1."/>
      <w:lvlJc w:val="start"/>
      <w:pPr>
        <w:tabs>
          <w:tab w:val="num" w:pos="0"/>
        </w:tabs>
        <w:ind w:start="360" w:hanging="360"/>
      </w:pPr>
      <w:rPr>
        <w:b w:val="false"/>
        <w:bCs w:val="false"/>
        <w:i w:val="false"/>
        <w:iCs w:val="false"/>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8">
    <w:lvl w:ilvl="0">
      <w:start w:val="1"/>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9">
    <w:lvl w:ilvl="0">
      <w:start w:val="1"/>
      <w:numFmt w:val="decimal"/>
      <w:lvlText w:val="%1)"/>
      <w:lvlJc w:val="start"/>
      <w:pPr>
        <w:tabs>
          <w:tab w:val="num" w:pos="0"/>
        </w:tabs>
        <w:ind w:start="720" w:hanging="360"/>
      </w:pPr>
      <w:rPr>
        <w:rFonts w:ascii="Arial" w:hAnsi="Arial" w:cs="Arial"/>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lowerLetter"/>
      <w:lvlText w:val="%1)"/>
      <w:lvlJc w:val="start"/>
      <w:pPr>
        <w:tabs>
          <w:tab w:val="num" w:pos="0"/>
        </w:tabs>
        <w:ind w:start="720" w:hanging="360"/>
      </w:pPr>
      <w:rPr>
        <w:rFonts w:ascii="Arial" w:hAnsi="Arial" w:cs="Arial"/>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2"/>
      <w:numFmt w:val="decimal"/>
      <w:lvlText w:val="%1."/>
      <w:lvlJc w:val="start"/>
      <w:pPr>
        <w:tabs>
          <w:tab w:val="num" w:pos="0"/>
        </w:tabs>
        <w:ind w:start="360" w:hanging="360"/>
      </w:pPr>
      <w:rPr>
        <w:rFonts w:ascii="Arial" w:hAnsi="Arial" w:cs="Arial"/>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decimal"/>
      <w:lvlText w:val="%1."/>
      <w:lvlJc w:val="start"/>
      <w:pPr>
        <w:tabs>
          <w:tab w:val="num" w:pos="360"/>
        </w:tabs>
        <w:ind w:start="360" w:hanging="360"/>
      </w:pPr>
      <w:rPr>
        <w:rFonts w:ascii="Arial" w:hAnsi="Arial"/>
      </w:rPr>
    </w:lvl>
    <w:lvl w:ilvl="1">
      <w:start w:val="1"/>
      <w:numFmt w:val="decimal"/>
      <w:lvlText w:val="%2)"/>
      <w:lvlJc w:val="start"/>
      <w:pPr>
        <w:tabs>
          <w:tab w:val="num" w:pos="0"/>
        </w:tabs>
        <w:ind w:start="851" w:hanging="360"/>
      </w:pPr>
      <w:rPr/>
    </w:lvl>
    <w:lvl w:ilvl="2">
      <w:start w:val="1"/>
      <w:numFmt w:val="decimal"/>
      <w:lvlText w:val="%3."/>
      <w:lvlJc w:val="start"/>
      <w:pPr>
        <w:tabs>
          <w:tab w:val="num" w:pos="1080"/>
        </w:tabs>
        <w:ind w:start="1080" w:hanging="360"/>
      </w:pPr>
      <w:rPr>
        <w:rFonts w:ascii="Arial" w:hAnsi="Arial"/>
      </w:rPr>
    </w:lvl>
    <w:lvl w:ilvl="3">
      <w:start w:val="1"/>
      <w:numFmt w:val="decimal"/>
      <w:lvlText w:val="%4."/>
      <w:lvlJc w:val="start"/>
      <w:pPr>
        <w:tabs>
          <w:tab w:val="num" w:pos="1440"/>
        </w:tabs>
        <w:ind w:start="1440" w:hanging="360"/>
      </w:pPr>
      <w:rPr>
        <w:rFonts w:ascii="Arial" w:hAnsi="Arial"/>
      </w:rPr>
    </w:lvl>
    <w:lvl w:ilvl="4">
      <w:start w:val="1"/>
      <w:numFmt w:val="decimal"/>
      <w:lvlText w:val="%5."/>
      <w:lvlJc w:val="start"/>
      <w:pPr>
        <w:tabs>
          <w:tab w:val="num" w:pos="1800"/>
        </w:tabs>
        <w:ind w:start="1800" w:hanging="360"/>
      </w:pPr>
      <w:rPr>
        <w:rFonts w:ascii="Arial" w:hAnsi="Arial"/>
      </w:rPr>
    </w:lvl>
    <w:lvl w:ilvl="5">
      <w:start w:val="1"/>
      <w:numFmt w:val="decimal"/>
      <w:lvlText w:val="%6."/>
      <w:lvlJc w:val="start"/>
      <w:pPr>
        <w:tabs>
          <w:tab w:val="num" w:pos="2160"/>
        </w:tabs>
        <w:ind w:start="2160" w:hanging="360"/>
      </w:pPr>
      <w:rPr>
        <w:rFonts w:ascii="Arial" w:hAnsi="Arial"/>
      </w:rPr>
    </w:lvl>
    <w:lvl w:ilvl="6">
      <w:start w:val="1"/>
      <w:numFmt w:val="decimal"/>
      <w:lvlText w:val="%7."/>
      <w:lvlJc w:val="start"/>
      <w:pPr>
        <w:tabs>
          <w:tab w:val="num" w:pos="2520"/>
        </w:tabs>
        <w:ind w:start="2520" w:hanging="360"/>
      </w:pPr>
      <w:rPr>
        <w:rFonts w:ascii="Arial" w:hAnsi="Arial"/>
      </w:rPr>
    </w:lvl>
    <w:lvl w:ilvl="7">
      <w:start w:val="1"/>
      <w:numFmt w:val="decimal"/>
      <w:lvlText w:val="%8."/>
      <w:lvlJc w:val="start"/>
      <w:pPr>
        <w:tabs>
          <w:tab w:val="num" w:pos="2880"/>
        </w:tabs>
        <w:ind w:start="2880" w:hanging="360"/>
      </w:pPr>
      <w:rPr>
        <w:rFonts w:ascii="Arial" w:hAnsi="Arial"/>
      </w:rPr>
    </w:lvl>
    <w:lvl w:ilvl="8">
      <w:start w:val="1"/>
      <w:numFmt w:val="decimal"/>
      <w:lvlText w:val="%9."/>
      <w:lvlJc w:val="start"/>
      <w:pPr>
        <w:tabs>
          <w:tab w:val="num" w:pos="3240"/>
        </w:tabs>
        <w:ind w:start="3240" w:hanging="360"/>
      </w:pPr>
      <w:rPr>
        <w:rFonts w:ascii="Arial" w:hAnsi="Arial"/>
      </w:rPr>
    </w:lvl>
  </w:abstractNum>
  <w:abstractNum w:abstractNumId="13">
    <w:lvl w:ilvl="0">
      <w:start w:val="1"/>
      <w:numFmt w:val="decimal"/>
      <w:lvlText w:val="%1)"/>
      <w:lvlJc w:val="start"/>
      <w:pPr>
        <w:tabs>
          <w:tab w:val="num" w:pos="0"/>
        </w:tabs>
        <w:ind w:start="1070" w:hanging="360"/>
      </w:pPr>
      <w:rPr/>
    </w:lvl>
    <w:lvl w:ilvl="1">
      <w:start w:val="1"/>
      <w:numFmt w:val="lowerLetter"/>
      <w:lvlText w:val="%2."/>
      <w:lvlJc w:val="start"/>
      <w:pPr>
        <w:tabs>
          <w:tab w:val="num" w:pos="0"/>
        </w:tabs>
        <w:ind w:start="1790" w:hanging="360"/>
      </w:pPr>
      <w:rPr/>
    </w:lvl>
    <w:lvl w:ilvl="2">
      <w:start w:val="1"/>
      <w:numFmt w:val="lowerRoman"/>
      <w:lvlText w:val="%3."/>
      <w:lvlJc w:val="end"/>
      <w:pPr>
        <w:tabs>
          <w:tab w:val="num" w:pos="0"/>
        </w:tabs>
        <w:ind w:start="2510" w:hanging="180"/>
      </w:pPr>
      <w:rPr/>
    </w:lvl>
    <w:lvl w:ilvl="3">
      <w:start w:val="1"/>
      <w:numFmt w:val="decimal"/>
      <w:lvlText w:val="%4."/>
      <w:lvlJc w:val="start"/>
      <w:pPr>
        <w:tabs>
          <w:tab w:val="num" w:pos="0"/>
        </w:tabs>
        <w:ind w:start="3230" w:hanging="360"/>
      </w:pPr>
      <w:rPr/>
    </w:lvl>
    <w:lvl w:ilvl="4">
      <w:start w:val="1"/>
      <w:numFmt w:val="lowerLetter"/>
      <w:lvlText w:val="%5."/>
      <w:lvlJc w:val="start"/>
      <w:pPr>
        <w:tabs>
          <w:tab w:val="num" w:pos="0"/>
        </w:tabs>
        <w:ind w:start="3950" w:hanging="360"/>
      </w:pPr>
      <w:rPr/>
    </w:lvl>
    <w:lvl w:ilvl="5">
      <w:start w:val="1"/>
      <w:numFmt w:val="lowerRoman"/>
      <w:lvlText w:val="%6."/>
      <w:lvlJc w:val="end"/>
      <w:pPr>
        <w:tabs>
          <w:tab w:val="num" w:pos="0"/>
        </w:tabs>
        <w:ind w:start="4670" w:hanging="180"/>
      </w:pPr>
      <w:rPr/>
    </w:lvl>
    <w:lvl w:ilvl="6">
      <w:start w:val="1"/>
      <w:numFmt w:val="decimal"/>
      <w:lvlText w:val="%7."/>
      <w:lvlJc w:val="start"/>
      <w:pPr>
        <w:tabs>
          <w:tab w:val="num" w:pos="0"/>
        </w:tabs>
        <w:ind w:start="5390" w:hanging="360"/>
      </w:pPr>
      <w:rPr/>
    </w:lvl>
    <w:lvl w:ilvl="7">
      <w:start w:val="1"/>
      <w:numFmt w:val="lowerLetter"/>
      <w:lvlText w:val="%8."/>
      <w:lvlJc w:val="start"/>
      <w:pPr>
        <w:tabs>
          <w:tab w:val="num" w:pos="0"/>
        </w:tabs>
        <w:ind w:start="6110" w:hanging="360"/>
      </w:pPr>
      <w:rPr/>
    </w:lvl>
    <w:lvl w:ilvl="8">
      <w:start w:val="1"/>
      <w:numFmt w:val="lowerRoman"/>
      <w:lvlText w:val="%9."/>
      <w:lvlJc w:val="end"/>
      <w:pPr>
        <w:tabs>
          <w:tab w:val="num" w:pos="0"/>
        </w:tabs>
        <w:ind w:start="6830" w:hanging="180"/>
      </w:pPr>
      <w:rPr/>
    </w:lvl>
  </w:abstractNum>
  <w:abstractNum w:abstractNumId="14">
    <w:lvl w:ilvl="0">
      <w:start w:val="1"/>
      <w:numFmt w:val="decimal"/>
      <w:lvlText w:val="%1)"/>
      <w:lvlJc w:val="start"/>
      <w:pPr>
        <w:tabs>
          <w:tab w:val="num" w:pos="142"/>
        </w:tabs>
        <w:ind w:start="786" w:hanging="360"/>
      </w:pPr>
      <w:rPr/>
    </w:lvl>
    <w:lvl w:ilvl="1">
      <w:start w:val="1"/>
      <w:numFmt w:val="lowerLetter"/>
      <w:lvlText w:val="%2."/>
      <w:lvlJc w:val="start"/>
      <w:pPr>
        <w:tabs>
          <w:tab w:val="num" w:pos="142"/>
        </w:tabs>
        <w:ind w:start="1506" w:hanging="360"/>
      </w:pPr>
      <w:rPr>
        <w:rFonts w:cs="Times New Roman"/>
      </w:rPr>
    </w:lvl>
    <w:lvl w:ilvl="2">
      <w:start w:val="1"/>
      <w:numFmt w:val="lowerRoman"/>
      <w:lvlText w:val="%3."/>
      <w:lvlJc w:val="end"/>
      <w:pPr>
        <w:tabs>
          <w:tab w:val="num" w:pos="142"/>
        </w:tabs>
        <w:ind w:start="2226" w:hanging="180"/>
      </w:pPr>
      <w:rPr>
        <w:rFonts w:cs="Times New Roman"/>
      </w:rPr>
    </w:lvl>
    <w:lvl w:ilvl="3">
      <w:start w:val="1"/>
      <w:numFmt w:val="decimal"/>
      <w:lvlText w:val="%4."/>
      <w:lvlJc w:val="start"/>
      <w:pPr>
        <w:tabs>
          <w:tab w:val="num" w:pos="142"/>
        </w:tabs>
        <w:ind w:start="2946" w:hanging="360"/>
      </w:pPr>
      <w:rPr>
        <w:rFonts w:cs="Times New Roman"/>
      </w:rPr>
    </w:lvl>
    <w:lvl w:ilvl="4">
      <w:start w:val="1"/>
      <w:numFmt w:val="lowerLetter"/>
      <w:lvlText w:val="%5."/>
      <w:lvlJc w:val="start"/>
      <w:pPr>
        <w:tabs>
          <w:tab w:val="num" w:pos="142"/>
        </w:tabs>
        <w:ind w:start="3666" w:hanging="360"/>
      </w:pPr>
      <w:rPr>
        <w:rFonts w:cs="Times New Roman"/>
      </w:rPr>
    </w:lvl>
    <w:lvl w:ilvl="5">
      <w:start w:val="1"/>
      <w:numFmt w:val="lowerRoman"/>
      <w:lvlText w:val="%6."/>
      <w:lvlJc w:val="end"/>
      <w:pPr>
        <w:tabs>
          <w:tab w:val="num" w:pos="142"/>
        </w:tabs>
        <w:ind w:start="4386" w:hanging="180"/>
      </w:pPr>
      <w:rPr>
        <w:rFonts w:cs="Times New Roman"/>
      </w:rPr>
    </w:lvl>
    <w:lvl w:ilvl="6">
      <w:start w:val="1"/>
      <w:numFmt w:val="decimal"/>
      <w:lvlText w:val="%7."/>
      <w:lvlJc w:val="start"/>
      <w:pPr>
        <w:tabs>
          <w:tab w:val="num" w:pos="142"/>
        </w:tabs>
        <w:ind w:start="5106" w:hanging="360"/>
      </w:pPr>
      <w:rPr>
        <w:rFonts w:cs="Times New Roman"/>
      </w:rPr>
    </w:lvl>
    <w:lvl w:ilvl="7">
      <w:start w:val="1"/>
      <w:numFmt w:val="lowerLetter"/>
      <w:lvlText w:val="%8."/>
      <w:lvlJc w:val="start"/>
      <w:pPr>
        <w:tabs>
          <w:tab w:val="num" w:pos="142"/>
        </w:tabs>
        <w:ind w:start="5826" w:hanging="360"/>
      </w:pPr>
      <w:rPr>
        <w:rFonts w:cs="Times New Roman"/>
      </w:rPr>
    </w:lvl>
    <w:lvl w:ilvl="8">
      <w:start w:val="1"/>
      <w:numFmt w:val="lowerRoman"/>
      <w:lvlText w:val="%9."/>
      <w:lvlJc w:val="end"/>
      <w:pPr>
        <w:tabs>
          <w:tab w:val="num" w:pos="142"/>
        </w:tabs>
        <w:ind w:start="6546" w:hanging="180"/>
      </w:pPr>
      <w:rPr>
        <w:rFonts w:cs="Times New Roman"/>
      </w:rPr>
    </w:lvl>
  </w:abstractNum>
  <w:abstractNum w:abstractNumId="15">
    <w:lvl w:ilvl="0">
      <w:start w:val="1"/>
      <w:numFmt w:val="decimal"/>
      <w:lvlText w:val="%1)"/>
      <w:lvlJc w:val="start"/>
      <w:pPr>
        <w:tabs>
          <w:tab w:val="num" w:pos="0"/>
        </w:tabs>
        <w:ind w:start="786" w:hanging="360"/>
      </w:pPr>
      <w:rPr/>
    </w:lvl>
    <w:lvl w:ilvl="1">
      <w:start w:val="1"/>
      <w:numFmt w:val="lowerLetter"/>
      <w:lvlText w:val="%2."/>
      <w:lvlJc w:val="start"/>
      <w:pPr>
        <w:tabs>
          <w:tab w:val="num" w:pos="0"/>
        </w:tabs>
        <w:ind w:start="1506" w:hanging="360"/>
      </w:pPr>
      <w:rPr/>
    </w:lvl>
    <w:lvl w:ilvl="2">
      <w:start w:val="1"/>
      <w:numFmt w:val="lowerRoman"/>
      <w:lvlText w:val="%3."/>
      <w:lvlJc w:val="end"/>
      <w:pPr>
        <w:tabs>
          <w:tab w:val="num" w:pos="0"/>
        </w:tabs>
        <w:ind w:start="2226" w:hanging="180"/>
      </w:pPr>
      <w:rPr/>
    </w:lvl>
    <w:lvl w:ilvl="3">
      <w:start w:val="1"/>
      <w:numFmt w:val="decimal"/>
      <w:lvlText w:val="%4."/>
      <w:lvlJc w:val="start"/>
      <w:pPr>
        <w:tabs>
          <w:tab w:val="num" w:pos="0"/>
        </w:tabs>
        <w:ind w:start="2946" w:hanging="360"/>
      </w:pPr>
      <w:rPr/>
    </w:lvl>
    <w:lvl w:ilvl="4">
      <w:start w:val="1"/>
      <w:numFmt w:val="lowerLetter"/>
      <w:lvlText w:val="%5."/>
      <w:lvlJc w:val="start"/>
      <w:pPr>
        <w:tabs>
          <w:tab w:val="num" w:pos="0"/>
        </w:tabs>
        <w:ind w:start="3666" w:hanging="360"/>
      </w:pPr>
      <w:rPr/>
    </w:lvl>
    <w:lvl w:ilvl="5">
      <w:start w:val="1"/>
      <w:numFmt w:val="lowerRoman"/>
      <w:lvlText w:val="%6."/>
      <w:lvlJc w:val="end"/>
      <w:pPr>
        <w:tabs>
          <w:tab w:val="num" w:pos="0"/>
        </w:tabs>
        <w:ind w:start="4386" w:hanging="180"/>
      </w:pPr>
      <w:rPr/>
    </w:lvl>
    <w:lvl w:ilvl="6">
      <w:start w:val="1"/>
      <w:numFmt w:val="decimal"/>
      <w:lvlText w:val="%7."/>
      <w:lvlJc w:val="start"/>
      <w:pPr>
        <w:tabs>
          <w:tab w:val="num" w:pos="0"/>
        </w:tabs>
        <w:ind w:start="5106" w:hanging="360"/>
      </w:pPr>
      <w:rPr/>
    </w:lvl>
    <w:lvl w:ilvl="7">
      <w:start w:val="1"/>
      <w:numFmt w:val="lowerLetter"/>
      <w:lvlText w:val="%8."/>
      <w:lvlJc w:val="start"/>
      <w:pPr>
        <w:tabs>
          <w:tab w:val="num" w:pos="0"/>
        </w:tabs>
        <w:ind w:start="5826" w:hanging="360"/>
      </w:pPr>
      <w:rPr/>
    </w:lvl>
    <w:lvl w:ilvl="8">
      <w:start w:val="1"/>
      <w:numFmt w:val="lowerRoman"/>
      <w:lvlText w:val="%9."/>
      <w:lvlJc w:val="end"/>
      <w:pPr>
        <w:tabs>
          <w:tab w:val="num" w:pos="0"/>
        </w:tabs>
        <w:ind w:start="6546" w:hanging="180"/>
      </w:pPr>
      <w:rPr/>
    </w:lvl>
  </w:abstractNum>
  <w:abstractNum w:abstractNumId="16">
    <w:lvl w:ilvl="0">
      <w:start w:val="1"/>
      <w:numFmt w:val="decimal"/>
      <w:lvlText w:val="%1)"/>
      <w:lvlJc w:val="start"/>
      <w:pPr>
        <w:tabs>
          <w:tab w:val="num" w:pos="720"/>
        </w:tabs>
        <w:ind w:start="720" w:hanging="360"/>
      </w:pPr>
      <w:rPr/>
    </w:lvl>
    <w:lvl w:ilvl="1">
      <w:start w:val="1"/>
      <w:numFmt w:val="decimal"/>
      <w:lvlText w:val="%2)"/>
      <w:lvlJc w:val="start"/>
      <w:pPr>
        <w:tabs>
          <w:tab w:val="num" w:pos="0"/>
        </w:tabs>
        <w:ind w:start="1080" w:hanging="360"/>
      </w:pPr>
      <w:rPr/>
    </w:lvl>
    <w:lvl w:ilvl="2">
      <w:start w:val="1"/>
      <w:numFmt w:val="decimal"/>
      <w:lvlText w:val="%3."/>
      <w:lvlJc w:val="start"/>
      <w:pPr>
        <w:tabs>
          <w:tab w:val="num" w:pos="1440"/>
        </w:tabs>
        <w:ind w:start="1440" w:hanging="360"/>
      </w:pPr>
      <w:rPr>
        <w:rFonts w:ascii="Arial" w:hAnsi="Arial"/>
      </w:rPr>
    </w:lvl>
    <w:lvl w:ilvl="3">
      <w:start w:val="1"/>
      <w:numFmt w:val="decimal"/>
      <w:lvlText w:val="%4."/>
      <w:lvlJc w:val="start"/>
      <w:pPr>
        <w:tabs>
          <w:tab w:val="num" w:pos="1800"/>
        </w:tabs>
        <w:ind w:start="1800" w:hanging="360"/>
      </w:pPr>
      <w:rPr>
        <w:rFonts w:ascii="Arial" w:hAnsi="Arial"/>
      </w:rPr>
    </w:lvl>
    <w:lvl w:ilvl="4">
      <w:start w:val="1"/>
      <w:numFmt w:val="decimal"/>
      <w:lvlText w:val="%5."/>
      <w:lvlJc w:val="start"/>
      <w:pPr>
        <w:tabs>
          <w:tab w:val="num" w:pos="2160"/>
        </w:tabs>
        <w:ind w:start="2160" w:hanging="360"/>
      </w:pPr>
      <w:rPr>
        <w:rFonts w:ascii="Arial" w:hAnsi="Arial"/>
      </w:rPr>
    </w:lvl>
    <w:lvl w:ilvl="5">
      <w:start w:val="1"/>
      <w:numFmt w:val="decimal"/>
      <w:lvlText w:val="%6."/>
      <w:lvlJc w:val="start"/>
      <w:pPr>
        <w:tabs>
          <w:tab w:val="num" w:pos="2520"/>
        </w:tabs>
        <w:ind w:start="2520" w:hanging="360"/>
      </w:pPr>
      <w:rPr>
        <w:rFonts w:ascii="Arial" w:hAnsi="Arial"/>
      </w:rPr>
    </w:lvl>
    <w:lvl w:ilvl="6">
      <w:start w:val="1"/>
      <w:numFmt w:val="decimal"/>
      <w:lvlText w:val="%7."/>
      <w:lvlJc w:val="start"/>
      <w:pPr>
        <w:tabs>
          <w:tab w:val="num" w:pos="2880"/>
        </w:tabs>
        <w:ind w:start="2880" w:hanging="360"/>
      </w:pPr>
      <w:rPr>
        <w:rFonts w:ascii="Arial" w:hAnsi="Arial"/>
      </w:rPr>
    </w:lvl>
    <w:lvl w:ilvl="7">
      <w:start w:val="1"/>
      <w:numFmt w:val="decimal"/>
      <w:lvlText w:val="%8."/>
      <w:lvlJc w:val="start"/>
      <w:pPr>
        <w:tabs>
          <w:tab w:val="num" w:pos="3240"/>
        </w:tabs>
        <w:ind w:start="3240" w:hanging="360"/>
      </w:pPr>
      <w:rPr>
        <w:rFonts w:ascii="Arial" w:hAnsi="Arial"/>
      </w:rPr>
    </w:lvl>
    <w:lvl w:ilvl="8">
      <w:start w:val="1"/>
      <w:numFmt w:val="decimal"/>
      <w:lvlText w:val="%9."/>
      <w:lvlJc w:val="start"/>
      <w:pPr>
        <w:tabs>
          <w:tab w:val="num" w:pos="3600"/>
        </w:tabs>
        <w:ind w:start="3600" w:hanging="360"/>
      </w:pPr>
      <w:rPr>
        <w:rFonts w:ascii="Arial" w:hAnsi="Arial"/>
      </w:rPr>
    </w:lvl>
  </w:abstractNum>
  <w:abstractNum w:abstractNumId="17">
    <w:lvl w:ilvl="0">
      <w:start w:val="1"/>
      <w:numFmt w:val="lowerLetter"/>
      <w:lvlText w:val="%1)"/>
      <w:lvlJc w:val="start"/>
      <w:pPr>
        <w:tabs>
          <w:tab w:val="num" w:pos="0"/>
        </w:tabs>
        <w:ind w:start="1429" w:hanging="360"/>
      </w:pPr>
      <w:rPr/>
    </w:lvl>
    <w:lvl w:ilvl="1">
      <w:start w:val="1"/>
      <w:numFmt w:val="lowerLetter"/>
      <w:lvlText w:val="%2."/>
      <w:lvlJc w:val="start"/>
      <w:pPr>
        <w:tabs>
          <w:tab w:val="num" w:pos="0"/>
        </w:tabs>
        <w:ind w:start="2149" w:hanging="360"/>
      </w:pPr>
      <w:rPr/>
    </w:lvl>
    <w:lvl w:ilvl="2">
      <w:start w:val="1"/>
      <w:numFmt w:val="lowerRoman"/>
      <w:lvlText w:val="%3."/>
      <w:lvlJc w:val="end"/>
      <w:pPr>
        <w:tabs>
          <w:tab w:val="num" w:pos="0"/>
        </w:tabs>
        <w:ind w:start="2869" w:hanging="180"/>
      </w:pPr>
      <w:rPr/>
    </w:lvl>
    <w:lvl w:ilvl="3">
      <w:start w:val="1"/>
      <w:numFmt w:val="decimal"/>
      <w:lvlText w:val="%4."/>
      <w:lvlJc w:val="start"/>
      <w:pPr>
        <w:tabs>
          <w:tab w:val="num" w:pos="0"/>
        </w:tabs>
        <w:ind w:start="3589" w:hanging="360"/>
      </w:pPr>
      <w:rPr/>
    </w:lvl>
    <w:lvl w:ilvl="4">
      <w:start w:val="1"/>
      <w:numFmt w:val="lowerLetter"/>
      <w:lvlText w:val="%5."/>
      <w:lvlJc w:val="start"/>
      <w:pPr>
        <w:tabs>
          <w:tab w:val="num" w:pos="0"/>
        </w:tabs>
        <w:ind w:start="4309" w:hanging="360"/>
      </w:pPr>
      <w:rPr/>
    </w:lvl>
    <w:lvl w:ilvl="5">
      <w:start w:val="1"/>
      <w:numFmt w:val="lowerRoman"/>
      <w:lvlText w:val="%6."/>
      <w:lvlJc w:val="end"/>
      <w:pPr>
        <w:tabs>
          <w:tab w:val="num" w:pos="0"/>
        </w:tabs>
        <w:ind w:start="5029" w:hanging="180"/>
      </w:pPr>
      <w:rPr/>
    </w:lvl>
    <w:lvl w:ilvl="6">
      <w:start w:val="1"/>
      <w:numFmt w:val="decimal"/>
      <w:lvlText w:val="%7."/>
      <w:lvlJc w:val="start"/>
      <w:pPr>
        <w:tabs>
          <w:tab w:val="num" w:pos="0"/>
        </w:tabs>
        <w:ind w:start="5749" w:hanging="360"/>
      </w:pPr>
      <w:rPr/>
    </w:lvl>
    <w:lvl w:ilvl="7">
      <w:start w:val="1"/>
      <w:numFmt w:val="lowerLetter"/>
      <w:lvlText w:val="%8."/>
      <w:lvlJc w:val="start"/>
      <w:pPr>
        <w:tabs>
          <w:tab w:val="num" w:pos="0"/>
        </w:tabs>
        <w:ind w:start="6469" w:hanging="360"/>
      </w:pPr>
      <w:rPr/>
    </w:lvl>
    <w:lvl w:ilvl="8">
      <w:start w:val="1"/>
      <w:numFmt w:val="lowerRoman"/>
      <w:lvlText w:val="%9."/>
      <w:lvlJc w:val="end"/>
      <w:pPr>
        <w:tabs>
          <w:tab w:val="num" w:pos="0"/>
        </w:tabs>
        <w:ind w:start="7189" w:hanging="180"/>
      </w:pPr>
      <w:rPr/>
    </w:lvl>
  </w:abstractNum>
  <w:abstractNum w:abstractNumId="1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decimal"/>
      <w:lvlText w:val="%1)"/>
      <w:lvlJc w:val="start"/>
      <w:pPr>
        <w:tabs>
          <w:tab w:val="num" w:pos="0"/>
        </w:tabs>
        <w:ind w:start="1004" w:hanging="360"/>
      </w:pPr>
      <w:rPr/>
    </w:lvl>
    <w:lvl w:ilvl="1">
      <w:start w:val="1"/>
      <w:numFmt w:val="lowerLetter"/>
      <w:lvlText w:val="%2."/>
      <w:lvlJc w:val="start"/>
      <w:pPr>
        <w:tabs>
          <w:tab w:val="num" w:pos="0"/>
        </w:tabs>
        <w:ind w:start="1724" w:hanging="360"/>
      </w:pPr>
      <w:rPr/>
    </w:lvl>
    <w:lvl w:ilvl="2">
      <w:start w:val="1"/>
      <w:numFmt w:val="lowerRoman"/>
      <w:lvlText w:val="%3."/>
      <w:lvlJc w:val="end"/>
      <w:pPr>
        <w:tabs>
          <w:tab w:val="num" w:pos="0"/>
        </w:tabs>
        <w:ind w:start="2444" w:hanging="180"/>
      </w:pPr>
      <w:rPr/>
    </w:lvl>
    <w:lvl w:ilvl="3">
      <w:start w:val="1"/>
      <w:numFmt w:val="decimal"/>
      <w:lvlText w:val="%4."/>
      <w:lvlJc w:val="start"/>
      <w:pPr>
        <w:tabs>
          <w:tab w:val="num" w:pos="0"/>
        </w:tabs>
        <w:ind w:start="3164" w:hanging="360"/>
      </w:pPr>
      <w:rPr/>
    </w:lvl>
    <w:lvl w:ilvl="4">
      <w:start w:val="1"/>
      <w:numFmt w:val="lowerLetter"/>
      <w:lvlText w:val="%5."/>
      <w:lvlJc w:val="start"/>
      <w:pPr>
        <w:tabs>
          <w:tab w:val="num" w:pos="0"/>
        </w:tabs>
        <w:ind w:start="3884" w:hanging="360"/>
      </w:pPr>
      <w:rPr/>
    </w:lvl>
    <w:lvl w:ilvl="5">
      <w:start w:val="1"/>
      <w:numFmt w:val="lowerRoman"/>
      <w:lvlText w:val="%6."/>
      <w:lvlJc w:val="end"/>
      <w:pPr>
        <w:tabs>
          <w:tab w:val="num" w:pos="0"/>
        </w:tabs>
        <w:ind w:start="4604" w:hanging="180"/>
      </w:pPr>
      <w:rPr/>
    </w:lvl>
    <w:lvl w:ilvl="6">
      <w:start w:val="1"/>
      <w:numFmt w:val="decimal"/>
      <w:lvlText w:val="%7."/>
      <w:lvlJc w:val="start"/>
      <w:pPr>
        <w:tabs>
          <w:tab w:val="num" w:pos="0"/>
        </w:tabs>
        <w:ind w:start="5324" w:hanging="360"/>
      </w:pPr>
      <w:rPr/>
    </w:lvl>
    <w:lvl w:ilvl="7">
      <w:start w:val="1"/>
      <w:numFmt w:val="lowerLetter"/>
      <w:lvlText w:val="%8."/>
      <w:lvlJc w:val="start"/>
      <w:pPr>
        <w:tabs>
          <w:tab w:val="num" w:pos="0"/>
        </w:tabs>
        <w:ind w:start="6044" w:hanging="360"/>
      </w:pPr>
      <w:rPr/>
    </w:lvl>
    <w:lvl w:ilvl="8">
      <w:start w:val="1"/>
      <w:numFmt w:val="lowerRoman"/>
      <w:lvlText w:val="%9."/>
      <w:lvlJc w:val="end"/>
      <w:pPr>
        <w:tabs>
          <w:tab w:val="num" w:pos="0"/>
        </w:tabs>
        <w:ind w:start="6764" w:hanging="180"/>
      </w:pPr>
      <w:rPr/>
    </w:lvl>
  </w:abstractNum>
  <w:abstractNum w:abstractNumId="2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decimal"/>
      <w:lvlText w:val="%3."/>
      <w:lvlJc w:val="start"/>
      <w:pPr>
        <w:tabs>
          <w:tab w:val="num" w:pos="0"/>
        </w:tabs>
        <w:ind w:start="720" w:hanging="36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1">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2">
    <w:lvl w:ilvl="0">
      <w:start w:val="1"/>
      <w:numFmt w:val="decimal"/>
      <w:lvlText w:val="%1)"/>
      <w:lvlJc w:val="start"/>
      <w:pPr>
        <w:tabs>
          <w:tab w:val="num" w:pos="0"/>
        </w:tabs>
        <w:ind w:start="1146" w:hanging="360"/>
      </w:pPr>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2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96"/>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pl-P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692d"/>
    <w:pPr>
      <w:widowControl/>
      <w:suppressAutoHyphens w:val="true"/>
      <w:bidi w:val="0"/>
      <w:spacing w:lineRule="auto" w:line="276" w:before="0" w:after="200"/>
      <w:jc w:val="start"/>
    </w:pPr>
    <w:rPr>
      <w:rFonts w:ascii="Calibri" w:hAnsi="Calibri" w:eastAsia="Calibri" w:cs=""/>
      <w:color w:val="auto"/>
      <w:kern w:val="0"/>
      <w:sz w:val="22"/>
      <w:szCs w:val="22"/>
      <w:lang w:val="pl-PL" w:eastAsia="en-US" w:bidi="ar-SA"/>
      <w14:ligatures w14:val="none"/>
    </w:rPr>
  </w:style>
  <w:style w:type="paragraph" w:styleId="Heading1">
    <w:name w:val="heading 1"/>
    <w:basedOn w:val="Normal"/>
    <w:next w:val="Normal"/>
    <w:link w:val="Nagwek1Znak"/>
    <w:uiPriority w:val="9"/>
    <w:qFormat/>
    <w:rsid w:val="00d0692d"/>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Nagwek2Znak"/>
    <w:uiPriority w:val="9"/>
    <w:semiHidden/>
    <w:unhideWhenUsed/>
    <w:qFormat/>
    <w:rsid w:val="00d0692d"/>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Nagwek3Znak"/>
    <w:uiPriority w:val="9"/>
    <w:semiHidden/>
    <w:unhideWhenUsed/>
    <w:qFormat/>
    <w:rsid w:val="00d0692d"/>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Nagwek4Znak"/>
    <w:uiPriority w:val="9"/>
    <w:semiHidden/>
    <w:unhideWhenUsed/>
    <w:qFormat/>
    <w:rsid w:val="00d0692d"/>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Nagwek5Znak"/>
    <w:uiPriority w:val="9"/>
    <w:semiHidden/>
    <w:unhideWhenUsed/>
    <w:qFormat/>
    <w:rsid w:val="00d0692d"/>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Nagwek6Znak"/>
    <w:uiPriority w:val="9"/>
    <w:semiHidden/>
    <w:unhideWhenUsed/>
    <w:qFormat/>
    <w:rsid w:val="00d0692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gwek7Znak"/>
    <w:uiPriority w:val="9"/>
    <w:semiHidden/>
    <w:unhideWhenUsed/>
    <w:qFormat/>
    <w:rsid w:val="00d0692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gwek8Znak"/>
    <w:uiPriority w:val="9"/>
    <w:semiHidden/>
    <w:unhideWhenUsed/>
    <w:qFormat/>
    <w:rsid w:val="00d0692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Nagwek9Znak"/>
    <w:uiPriority w:val="9"/>
    <w:semiHidden/>
    <w:unhideWhenUsed/>
    <w:qFormat/>
    <w:rsid w:val="00d0692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uiPriority w:val="9"/>
    <w:qFormat/>
    <w:rsid w:val="00d0692d"/>
    <w:rPr>
      <w:rFonts w:ascii="Calibri Light" w:hAnsi="Calibri Light" w:eastAsia="" w:cs="" w:asciiTheme="majorHAnsi" w:cstheme="majorBidi" w:eastAsiaTheme="majorEastAsia" w:hAnsiTheme="majorHAnsi"/>
      <w:color w:themeColor="accent1" w:themeShade="bf" w:val="2F5496"/>
      <w:sz w:val="40"/>
      <w:szCs w:val="40"/>
    </w:rPr>
  </w:style>
  <w:style w:type="character" w:styleId="Nagwek2Znak" w:customStyle="1">
    <w:name w:val="Nagłówek 2 Znak"/>
    <w:basedOn w:val="DefaultParagraphFont"/>
    <w:uiPriority w:val="9"/>
    <w:semiHidden/>
    <w:qFormat/>
    <w:rsid w:val="00d0692d"/>
    <w:rPr>
      <w:rFonts w:ascii="Calibri Light" w:hAnsi="Calibri Light" w:eastAsia="" w:cs="" w:asciiTheme="majorHAnsi" w:cstheme="majorBidi" w:eastAsiaTheme="majorEastAsia" w:hAnsiTheme="majorHAnsi"/>
      <w:color w:themeColor="accent1" w:themeShade="bf" w:val="2F5496"/>
      <w:sz w:val="32"/>
      <w:szCs w:val="32"/>
    </w:rPr>
  </w:style>
  <w:style w:type="character" w:styleId="Nagwek3Znak" w:customStyle="1">
    <w:name w:val="Nagłówek 3 Znak"/>
    <w:basedOn w:val="DefaultParagraphFont"/>
    <w:uiPriority w:val="9"/>
    <w:semiHidden/>
    <w:qFormat/>
    <w:rsid w:val="00d0692d"/>
    <w:rPr>
      <w:rFonts w:eastAsia="" w:cs="" w:cstheme="majorBidi" w:eastAsiaTheme="majorEastAsia"/>
      <w:color w:themeColor="accent1" w:themeShade="bf" w:val="2F5496"/>
      <w:sz w:val="28"/>
      <w:szCs w:val="28"/>
    </w:rPr>
  </w:style>
  <w:style w:type="character" w:styleId="Nagwek4Znak" w:customStyle="1">
    <w:name w:val="Nagłówek 4 Znak"/>
    <w:basedOn w:val="DefaultParagraphFont"/>
    <w:uiPriority w:val="9"/>
    <w:semiHidden/>
    <w:qFormat/>
    <w:rsid w:val="00d0692d"/>
    <w:rPr>
      <w:rFonts w:eastAsia="" w:cs="" w:cstheme="majorBidi" w:eastAsiaTheme="majorEastAsia"/>
      <w:i/>
      <w:iCs/>
      <w:color w:themeColor="accent1" w:themeShade="bf" w:val="2F5496"/>
    </w:rPr>
  </w:style>
  <w:style w:type="character" w:styleId="Nagwek5Znak" w:customStyle="1">
    <w:name w:val="Nagłówek 5 Znak"/>
    <w:basedOn w:val="DefaultParagraphFont"/>
    <w:uiPriority w:val="9"/>
    <w:semiHidden/>
    <w:qFormat/>
    <w:rsid w:val="00d0692d"/>
    <w:rPr>
      <w:rFonts w:eastAsia="" w:cs="" w:cstheme="majorBidi" w:eastAsiaTheme="majorEastAsia"/>
      <w:color w:themeColor="accent1" w:themeShade="bf" w:val="2F5496"/>
    </w:rPr>
  </w:style>
  <w:style w:type="character" w:styleId="Nagwek6Znak" w:customStyle="1">
    <w:name w:val="Nagłówek 6 Znak"/>
    <w:basedOn w:val="DefaultParagraphFont"/>
    <w:uiPriority w:val="9"/>
    <w:semiHidden/>
    <w:qFormat/>
    <w:rsid w:val="00d0692d"/>
    <w:rPr>
      <w:rFonts w:eastAsia="" w:cs="" w:cstheme="majorBidi" w:eastAsiaTheme="majorEastAsia"/>
      <w:i/>
      <w:iCs/>
      <w:color w:themeColor="text1" w:themeTint="a6" w:val="595959"/>
    </w:rPr>
  </w:style>
  <w:style w:type="character" w:styleId="Nagwek7Znak" w:customStyle="1">
    <w:name w:val="Nagłówek 7 Znak"/>
    <w:basedOn w:val="DefaultParagraphFont"/>
    <w:uiPriority w:val="9"/>
    <w:semiHidden/>
    <w:qFormat/>
    <w:rsid w:val="00d0692d"/>
    <w:rPr>
      <w:rFonts w:eastAsia="" w:cs="" w:cstheme="majorBidi" w:eastAsiaTheme="majorEastAsia"/>
      <w:color w:themeColor="text1" w:themeTint="a6" w:val="595959"/>
    </w:rPr>
  </w:style>
  <w:style w:type="character" w:styleId="Nagwek8Znak" w:customStyle="1">
    <w:name w:val="Nagłówek 8 Znak"/>
    <w:basedOn w:val="DefaultParagraphFont"/>
    <w:uiPriority w:val="9"/>
    <w:semiHidden/>
    <w:qFormat/>
    <w:rsid w:val="00d0692d"/>
    <w:rPr>
      <w:rFonts w:eastAsia="" w:cs="" w:cstheme="majorBidi" w:eastAsiaTheme="majorEastAsia"/>
      <w:i/>
      <w:iCs/>
      <w:color w:themeColor="text1" w:themeTint="d8" w:val="272727"/>
    </w:rPr>
  </w:style>
  <w:style w:type="character" w:styleId="Nagwek9Znak" w:customStyle="1">
    <w:name w:val="Nagłówek 9 Znak"/>
    <w:basedOn w:val="DefaultParagraphFont"/>
    <w:uiPriority w:val="9"/>
    <w:semiHidden/>
    <w:qFormat/>
    <w:rsid w:val="00d0692d"/>
    <w:rPr>
      <w:rFonts w:eastAsia="" w:cs="" w:cstheme="majorBidi" w:eastAsiaTheme="majorEastAsia"/>
      <w:color w:themeColor="text1" w:themeTint="d8" w:val="272727"/>
    </w:rPr>
  </w:style>
  <w:style w:type="character" w:styleId="TytuZnak" w:customStyle="1">
    <w:name w:val="Tytuł Znak"/>
    <w:basedOn w:val="DefaultParagraphFont"/>
    <w:uiPriority w:val="10"/>
    <w:qFormat/>
    <w:rsid w:val="00d0692d"/>
    <w:rPr>
      <w:rFonts w:ascii="Calibri Light" w:hAnsi="Calibri Light" w:eastAsia="" w:cs="" w:asciiTheme="majorHAnsi" w:cstheme="majorBidi" w:eastAsiaTheme="majorEastAsia" w:hAnsiTheme="majorHAnsi"/>
      <w:spacing w:val="-10"/>
      <w:kern w:val="2"/>
      <w:sz w:val="56"/>
      <w:szCs w:val="56"/>
    </w:rPr>
  </w:style>
  <w:style w:type="character" w:styleId="PodtytuZnak" w:customStyle="1">
    <w:name w:val="Podtytuł Znak"/>
    <w:basedOn w:val="DefaultParagraphFont"/>
    <w:uiPriority w:val="11"/>
    <w:qFormat/>
    <w:rsid w:val="00d0692d"/>
    <w:rPr>
      <w:rFonts w:eastAsia="" w:cs="" w:cstheme="majorBidi" w:eastAsiaTheme="majorEastAsia"/>
      <w:color w:themeColor="text1" w:themeTint="a6" w:val="595959"/>
      <w:spacing w:val="15"/>
      <w:sz w:val="28"/>
      <w:szCs w:val="28"/>
    </w:rPr>
  </w:style>
  <w:style w:type="character" w:styleId="CytatZnak" w:customStyle="1">
    <w:name w:val="Cytat Znak"/>
    <w:basedOn w:val="DefaultParagraphFont"/>
    <w:link w:val="Quote"/>
    <w:uiPriority w:val="29"/>
    <w:qFormat/>
    <w:rsid w:val="00d0692d"/>
    <w:rPr>
      <w:i/>
      <w:iCs/>
      <w:color w:themeColor="text1" w:themeTint="bf" w:val="404040"/>
    </w:rPr>
  </w:style>
  <w:style w:type="character" w:styleId="IntenseEmphasis">
    <w:name w:val="Intense Emphasis"/>
    <w:basedOn w:val="DefaultParagraphFont"/>
    <w:uiPriority w:val="21"/>
    <w:qFormat/>
    <w:rsid w:val="00d0692d"/>
    <w:rPr>
      <w:i/>
      <w:iCs/>
      <w:color w:themeColor="accent1" w:themeShade="bf" w:val="2F5496"/>
    </w:rPr>
  </w:style>
  <w:style w:type="character" w:styleId="CytatintensywnyZnak" w:customStyle="1">
    <w:name w:val="Cytat intensywny Znak"/>
    <w:basedOn w:val="DefaultParagraphFont"/>
    <w:link w:val="IntenseQuote"/>
    <w:uiPriority w:val="30"/>
    <w:qFormat/>
    <w:rsid w:val="00d0692d"/>
    <w:rPr>
      <w:i/>
      <w:iCs/>
      <w:color w:themeColor="accent1" w:themeShade="bf" w:val="2F5496"/>
    </w:rPr>
  </w:style>
  <w:style w:type="character" w:styleId="IntenseReference">
    <w:name w:val="Intense Reference"/>
    <w:basedOn w:val="DefaultParagraphFont"/>
    <w:uiPriority w:val="32"/>
    <w:qFormat/>
    <w:rsid w:val="00d0692d"/>
    <w:rPr>
      <w:b/>
      <w:bCs/>
      <w:smallCaps/>
      <w:color w:themeColor="accent1" w:themeShade="bf" w:val="2F5496"/>
      <w:spacing w:val="5"/>
    </w:rPr>
  </w:style>
  <w:style w:type="character" w:styleId="AkapitzlistZnak" w:customStyle="1">
    <w:name w:val="Akapit z listą Znak"/>
    <w:link w:val="ListParagraph"/>
    <w:uiPriority w:val="34"/>
    <w:qFormat/>
    <w:locked/>
    <w:rsid w:val="00d0692d"/>
    <w:rPr/>
  </w:style>
  <w:style w:type="character" w:styleId="NagwekZnak" w:customStyle="1">
    <w:name w:val="Nagłówek Znak"/>
    <w:uiPriority w:val="99"/>
    <w:qFormat/>
    <w:locked/>
    <w:rsid w:val="00d0692d"/>
    <w:rPr>
      <w:rFonts w:cs="Times New Roman"/>
    </w:rPr>
  </w:style>
  <w:style w:type="character" w:styleId="NagwekZnak1" w:customStyle="1">
    <w:name w:val="Nagłówek Znak1"/>
    <w:basedOn w:val="DefaultParagraphFont"/>
    <w:uiPriority w:val="99"/>
    <w:semiHidden/>
    <w:qFormat/>
    <w:rsid w:val="00d0692d"/>
    <w:rPr>
      <w:kern w:val="0"/>
      <w14:ligatures w14:val="none"/>
    </w:rPr>
  </w:style>
  <w:style w:type="character" w:styleId="TekstpodstawowyZnak" w:customStyle="1">
    <w:name w:val="Tekst podstawowy Znak"/>
    <w:basedOn w:val="DefaultParagraphFont"/>
    <w:uiPriority w:val="99"/>
    <w:semiHidden/>
    <w:qFormat/>
    <w:rsid w:val="00d0692d"/>
    <w:rPr>
      <w:kern w:val="0"/>
      <w14:ligatures w14:val="none"/>
    </w:rPr>
  </w:style>
  <w:style w:type="character" w:styleId="StopkaZnak" w:customStyle="1">
    <w:name w:val="Stopka Znak"/>
    <w:basedOn w:val="DefaultParagraphFont"/>
    <w:uiPriority w:val="99"/>
    <w:qFormat/>
    <w:rsid w:val="00b355b8"/>
    <w:rPr>
      <w:kern w:val="0"/>
      <w14:ligatures w14:val="none"/>
    </w:rPr>
  </w:style>
  <w:style w:type="character" w:styleId="Znakiwypunktowaniauser" w:customStyle="1">
    <w:name w:val="Znaki wypunktowania (user)"/>
    <w:qFormat/>
    <w:rPr>
      <w:rFonts w:ascii="OpenSymbol" w:hAnsi="OpenSymbol" w:eastAsia="OpenSymbol" w:cs="OpenSymbol"/>
    </w:rPr>
  </w:style>
  <w:style w:type="character" w:styleId="Znakinumeracjiuser" w:customStyle="1">
    <w:name w:val="Znaki numeracji (user)"/>
    <w:qFormat/>
    <w:rPr>
      <w:rFonts w:ascii="Arial" w:hAnsi="Arial"/>
    </w:rPr>
  </w:style>
  <w:style w:type="character" w:styleId="CommentReference">
    <w:name w:val="annotation reference"/>
    <w:basedOn w:val="DefaultParagraphFont"/>
    <w:uiPriority w:val="99"/>
    <w:semiHidden/>
    <w:unhideWhenUsed/>
    <w:qFormat/>
    <w:rsid w:val="00272ac9"/>
    <w:rPr>
      <w:sz w:val="16"/>
      <w:szCs w:val="16"/>
    </w:rPr>
  </w:style>
  <w:style w:type="character" w:styleId="TekstkomentarzaZnak" w:customStyle="1">
    <w:name w:val="Tekst komentarza Znak"/>
    <w:basedOn w:val="DefaultParagraphFont"/>
    <w:link w:val="CommentText"/>
    <w:uiPriority w:val="99"/>
    <w:qFormat/>
    <w:rsid w:val="00272ac9"/>
    <w:rPr>
      <w:rFonts w:ascii="Calibri" w:hAnsi="Calibri" w:eastAsia="Calibri"/>
      <w:kern w:val="0"/>
      <w:sz w:val="20"/>
      <w:szCs w:val="20"/>
      <w14:ligatures w14:val="none"/>
    </w:rPr>
  </w:style>
  <w:style w:type="character" w:styleId="TematkomentarzaZnak" w:customStyle="1">
    <w:name w:val="Temat komentarza Znak"/>
    <w:basedOn w:val="TekstkomentarzaZnak"/>
    <w:link w:val="annotationsubject"/>
    <w:uiPriority w:val="99"/>
    <w:semiHidden/>
    <w:qFormat/>
    <w:rsid w:val="00272ac9"/>
    <w:rPr>
      <w:rFonts w:ascii="Calibri" w:hAnsi="Calibri" w:eastAsia="Calibri"/>
      <w:b/>
      <w:bCs/>
      <w:kern w:val="0"/>
      <w:sz w:val="20"/>
      <w:szCs w:val="20"/>
      <w14:ligatures w14:val="none"/>
    </w:rPr>
  </w:style>
  <w:style w:type="character" w:styleId="TekstprzypisudolnegoZnak" w:customStyle="1">
    <w:name w:val="Tekst przypisu dolnego Znak"/>
    <w:basedOn w:val="DefaultParagraphFont"/>
    <w:uiPriority w:val="99"/>
    <w:semiHidden/>
    <w:qFormat/>
    <w:rsid w:val="00475221"/>
    <w:rPr>
      <w:rFonts w:ascii="Times New Roman" w:hAnsi="Times New Roman" w:eastAsia="Times New Roman" w:cs="Times New Roman"/>
      <w:kern w:val="2"/>
      <w:sz w:val="20"/>
      <w:szCs w:val="20"/>
      <w:lang w:eastAsia="pl-PL"/>
      <w14:ligatures w14:val="none"/>
    </w:rPr>
  </w:style>
  <w:style w:type="character" w:styleId="Znakiprzypiswdolnych" w:customStyle="1">
    <w:name w:val="Znaki przypisów dolnych"/>
    <w:qFormat/>
    <w:rPr>
      <w:vertAlign w:val="superscript"/>
    </w:rPr>
  </w:style>
  <w:style w:type="character" w:styleId="Znakiprzypiswdolnychuser">
    <w:name w:val="Znaki przypisów dolnych (user)"/>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semiHidden/>
    <w:unhideWhenUsed/>
    <w:qFormat/>
    <w:rsid w:val="00475221"/>
    <w:rPr>
      <w:vertAlign w:val="superscript"/>
    </w:rPr>
  </w:style>
  <w:style w:type="character" w:styleId="Hyperlink">
    <w:name w:val="Hyperlink"/>
    <w:basedOn w:val="DefaultParagraphFont"/>
    <w:uiPriority w:val="99"/>
    <w:unhideWhenUsed/>
    <w:rsid w:val="00123796"/>
    <w:rPr>
      <w:color w:themeColor="hyperlink" w:val="0563C1"/>
      <w:u w:val="single"/>
    </w:rPr>
  </w:style>
  <w:style w:type="character" w:styleId="UnresolvedMention">
    <w:name w:val="Unresolved Mention"/>
    <w:basedOn w:val="DefaultParagraphFont"/>
    <w:uiPriority w:val="99"/>
    <w:semiHidden/>
    <w:unhideWhenUsed/>
    <w:qFormat/>
    <w:rsid w:val="00123796"/>
    <w:rPr>
      <w:color w:val="605E5C"/>
      <w:shd w:fill="E1DFDD" w:val="clear"/>
    </w:rPr>
  </w:style>
  <w:style w:type="character" w:styleId="TekstprzypisukocowegoZnak" w:customStyle="1">
    <w:name w:val="Tekst przypisu końcowego Znak"/>
    <w:basedOn w:val="DefaultParagraphFont"/>
    <w:uiPriority w:val="99"/>
    <w:semiHidden/>
    <w:qFormat/>
    <w:rsid w:val="00943b81"/>
    <w:rPr>
      <w:rFonts w:ascii="Calibri" w:hAnsi="Calibri" w:eastAsia="Calibri"/>
      <w:kern w:val="0"/>
      <w:sz w:val="20"/>
      <w:szCs w:val="20"/>
      <w14:ligatures w14:val="none"/>
    </w:rPr>
  </w:style>
  <w:style w:type="character" w:styleId="Znakiprzypiswkocowych" w:customStyle="1">
    <w:name w:val="Znaki przypisów końcowych"/>
    <w:uiPriority w:val="99"/>
    <w:semiHidden/>
    <w:unhideWhenUsed/>
    <w:qFormat/>
    <w:rsid w:val="00943b81"/>
    <w:rPr>
      <w:vertAlign w:val="superscript"/>
    </w:rPr>
  </w:style>
  <w:style w:type="character" w:styleId="Znakiprzypiswkocowychuser">
    <w:name w:val="Znaki przypisów końcowych (user)"/>
    <w:qFormat/>
    <w:rPr>
      <w:vertAlign w:val="superscript"/>
    </w:rPr>
  </w:style>
  <w:style w:type="character" w:styleId="EndnoteReference">
    <w:name w:val="endnote reference"/>
    <w:rPr>
      <w:vertAlign w:val="superscript"/>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kstpodstawowyZnak"/>
    <w:uiPriority w:val="99"/>
    <w:semiHidden/>
    <w:unhideWhenUsed/>
    <w:rsid w:val="00d0692d"/>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Lucida Sans"/>
    </w:rPr>
  </w:style>
  <w:style w:type="paragraph" w:styleId="Nagwekuser">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customStyle="1">
    <w:name w:val="Indeks (user)"/>
    <w:basedOn w:val="Normal"/>
    <w:qFormat/>
    <w:pPr>
      <w:suppressLineNumbers/>
    </w:pPr>
    <w:rPr>
      <w:rFonts w:cs="Arial"/>
    </w:rPr>
  </w:style>
  <w:style w:type="paragraph" w:styleId="Gwkaistopkauser" w:customStyle="1">
    <w:name w:val="Główka i stopka (user)"/>
    <w:basedOn w:val="Normal"/>
    <w:qFormat/>
    <w:pPr/>
    <w:rPr/>
  </w:style>
  <w:style w:type="paragraph" w:styleId="Gwkaistopka" w:customStyle="1">
    <w:name w:val="Główka i stopka"/>
    <w:basedOn w:val="Normal"/>
    <w:qFormat/>
    <w:pPr/>
    <w:rPr/>
  </w:style>
  <w:style w:type="paragraph" w:styleId="Header">
    <w:name w:val="header"/>
    <w:basedOn w:val="Normal"/>
    <w:next w:val="BodyText"/>
    <w:link w:val="NagwekZnak"/>
    <w:uiPriority w:val="99"/>
    <w:rsid w:val="00d0692d"/>
    <w:pPr>
      <w:keepNext w:val="true"/>
      <w:spacing w:lineRule="auto" w:line="259" w:before="240" w:after="120"/>
    </w:pPr>
    <w:rPr>
      <w:rFonts w:cs="Times New Roman"/>
      <w:kern w:val="2"/>
      <w14:ligatures w14:val="standardContextual"/>
    </w:rPr>
  </w:style>
  <w:style w:type="paragraph" w:styleId="Title">
    <w:name w:val="Title"/>
    <w:basedOn w:val="Normal"/>
    <w:next w:val="Normal"/>
    <w:link w:val="TytuZnak"/>
    <w:uiPriority w:val="10"/>
    <w:qFormat/>
    <w:rsid w:val="00d0692d"/>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PodtytuZnak"/>
    <w:uiPriority w:val="11"/>
    <w:qFormat/>
    <w:rsid w:val="00d0692d"/>
    <w:pPr/>
    <w:rPr>
      <w:rFonts w:eastAsia="" w:cs="" w:cstheme="majorBidi" w:eastAsiaTheme="majorEastAsia"/>
      <w:color w:themeColor="text1" w:themeTint="a6" w:val="595959"/>
      <w:spacing w:val="15"/>
      <w:sz w:val="28"/>
      <w:szCs w:val="28"/>
    </w:rPr>
  </w:style>
  <w:style w:type="paragraph" w:styleId="Quote">
    <w:name w:val="Quote"/>
    <w:basedOn w:val="Normal"/>
    <w:next w:val="Normal"/>
    <w:link w:val="CytatZnak"/>
    <w:uiPriority w:val="29"/>
    <w:qFormat/>
    <w:rsid w:val="00d0692d"/>
    <w:pPr>
      <w:spacing w:before="160" w:after="200"/>
      <w:jc w:val="center"/>
    </w:pPr>
    <w:rPr>
      <w:i/>
      <w:iCs/>
      <w:color w:themeColor="text1" w:themeTint="bf" w:val="404040"/>
    </w:rPr>
  </w:style>
  <w:style w:type="paragraph" w:styleId="ListParagraph">
    <w:name w:val="List Paragraph"/>
    <w:basedOn w:val="Normal"/>
    <w:link w:val="AkapitzlistZnak"/>
    <w:uiPriority w:val="1"/>
    <w:qFormat/>
    <w:rsid w:val="00d0692d"/>
    <w:pPr>
      <w:spacing w:before="0" w:after="200"/>
      <w:ind w:start="720"/>
      <w:contextualSpacing/>
    </w:pPr>
    <w:rPr/>
  </w:style>
  <w:style w:type="paragraph" w:styleId="IntenseQuote">
    <w:name w:val="Intense Quote"/>
    <w:basedOn w:val="Normal"/>
    <w:next w:val="Normal"/>
    <w:link w:val="CytatintensywnyZnak"/>
    <w:uiPriority w:val="30"/>
    <w:qFormat/>
    <w:rsid w:val="00d0692d"/>
    <w:pPr>
      <w:pBdr>
        <w:top w:val="single" w:sz="4" w:space="10" w:color="2F5496"/>
        <w:bottom w:val="single" w:sz="4" w:space="10" w:color="2F5496"/>
      </w:pBdr>
      <w:spacing w:before="360" w:after="360"/>
      <w:ind w:start="864" w:end="864"/>
      <w:jc w:val="center"/>
    </w:pPr>
    <w:rPr>
      <w:i/>
      <w:iCs/>
      <w:color w:themeColor="accent1" w:themeShade="bf" w:val="2F5496"/>
    </w:rPr>
  </w:style>
  <w:style w:type="paragraph" w:styleId="WW-Tekstpodstawowy2" w:customStyle="1">
    <w:name w:val="WW-Tekst podstawowy 2"/>
    <w:basedOn w:val="Normal"/>
    <w:qFormat/>
    <w:rsid w:val="00d0692d"/>
    <w:pPr>
      <w:widowControl w:val="false"/>
      <w:spacing w:lineRule="auto" w:line="240" w:before="120" w:after="0"/>
      <w:jc w:val="both"/>
    </w:pPr>
    <w:rPr>
      <w:rFonts w:ascii="Verdana" w:hAnsi="Verdana" w:eastAsia="Lucida Sans Unicode" w:cs="Times New Roman"/>
      <w:sz w:val="16"/>
      <w:szCs w:val="20"/>
      <w:lang w:eastAsia="ar-SA"/>
    </w:rPr>
  </w:style>
  <w:style w:type="paragraph" w:styleId="Default" w:customStyle="1">
    <w:name w:val="Default"/>
    <w:qFormat/>
    <w:rsid w:val="00385065"/>
    <w:pPr>
      <w:widowControl/>
      <w:suppressAutoHyphens w:val="true"/>
      <w:bidi w:val="0"/>
      <w:spacing w:before="0" w:after="0"/>
      <w:jc w:val="start"/>
    </w:pPr>
    <w:rPr>
      <w:rFonts w:ascii="Times New Roman" w:hAnsi="Times New Roman" w:eastAsia="Calibri" w:cs="Times New Roman"/>
      <w:color w:val="000000"/>
      <w:kern w:val="0"/>
      <w:sz w:val="24"/>
      <w:szCs w:val="24"/>
      <w:lang w:val="pl-PL" w:eastAsia="pl-PL" w:bidi="ar-SA"/>
      <w14:ligatures w14:val="none"/>
    </w:rPr>
  </w:style>
  <w:style w:type="paragraph" w:styleId="Footer">
    <w:name w:val="footer"/>
    <w:basedOn w:val="Normal"/>
    <w:link w:val="StopkaZnak"/>
    <w:uiPriority w:val="99"/>
    <w:unhideWhenUsed/>
    <w:rsid w:val="00b355b8"/>
    <w:pPr>
      <w:tabs>
        <w:tab w:val="clear" w:pos="708"/>
        <w:tab w:val="center" w:pos="4536" w:leader="none"/>
        <w:tab w:val="right" w:pos="9072" w:leader="none"/>
      </w:tabs>
      <w:spacing w:lineRule="auto" w:line="240" w:before="0" w:after="0"/>
    </w:pPr>
    <w:rPr/>
  </w:style>
  <w:style w:type="paragraph" w:styleId="Teksttreci" w:customStyle="1">
    <w:name w:val="Tekst treści"/>
    <w:basedOn w:val="Normal"/>
    <w:qFormat/>
    <w:pPr>
      <w:shd w:val="clear" w:color="auto" w:fill="FFFFFF"/>
      <w:spacing w:lineRule="exact" w:line="252" w:before="0" w:after="480"/>
      <w:ind w:hanging="1380"/>
    </w:pPr>
    <w:rPr>
      <w:sz w:val="21"/>
      <w:szCs w:val="21"/>
    </w:rPr>
  </w:style>
  <w:style w:type="paragraph" w:styleId="CommentText">
    <w:name w:val="annotation text"/>
    <w:basedOn w:val="Normal"/>
    <w:link w:val="TekstkomentarzaZnak"/>
    <w:uiPriority w:val="99"/>
    <w:unhideWhenUsed/>
    <w:rsid w:val="00272ac9"/>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272ac9"/>
    <w:pPr/>
    <w:rPr>
      <w:b/>
      <w:bCs/>
    </w:rPr>
  </w:style>
  <w:style w:type="paragraph" w:styleId="NoSpacing">
    <w:name w:val="No Spacing"/>
    <w:uiPriority w:val="1"/>
    <w:qFormat/>
    <w:rsid w:val="00ed1ab1"/>
    <w:pPr>
      <w:widowControl/>
      <w:suppressAutoHyphens w:val="true"/>
      <w:bidi w:val="0"/>
      <w:spacing w:before="0" w:after="0"/>
      <w:jc w:val="start"/>
    </w:pPr>
    <w:rPr>
      <w:rFonts w:ascii="Calibri" w:hAnsi="Calibri" w:eastAsia="Calibri" w:cs=""/>
      <w:color w:val="auto"/>
      <w:kern w:val="0"/>
      <w:sz w:val="22"/>
      <w:szCs w:val="22"/>
      <w:lang w:val="pl-PL" w:eastAsia="en-US" w:bidi="ar-SA"/>
      <w14:ligatures w14:val="none"/>
    </w:rPr>
  </w:style>
  <w:style w:type="paragraph" w:styleId="FootnoteText">
    <w:name w:val="footnote text"/>
    <w:basedOn w:val="Normal"/>
    <w:link w:val="TekstprzypisudolnegoZnak"/>
    <w:uiPriority w:val="99"/>
    <w:semiHidden/>
    <w:unhideWhenUsed/>
    <w:rsid w:val="00475221"/>
    <w:pPr>
      <w:widowControl w:val="false"/>
      <w:spacing w:lineRule="auto" w:line="240" w:before="0" w:after="0"/>
      <w:textAlignment w:val="baseline"/>
    </w:pPr>
    <w:rPr>
      <w:rFonts w:ascii="Times New Roman" w:hAnsi="Times New Roman" w:eastAsia="Times New Roman" w:cs="Times New Roman"/>
      <w:kern w:val="2"/>
      <w:sz w:val="20"/>
      <w:szCs w:val="20"/>
      <w:lang w:eastAsia="pl-PL"/>
    </w:rPr>
  </w:style>
  <w:style w:type="paragraph" w:styleId="Standard" w:customStyle="1">
    <w:name w:val="Standard"/>
    <w:qFormat/>
    <w:rsid w:val="00983d83"/>
    <w:pPr>
      <w:widowControl/>
      <w:suppressAutoHyphens w:val="true"/>
      <w:bidi w:val="0"/>
      <w:spacing w:lineRule="auto" w:line="360" w:before="0" w:after="0"/>
      <w:jc w:val="start"/>
      <w:textAlignment w:val="baseline"/>
    </w:pPr>
    <w:rPr>
      <w:rFonts w:ascii="Times New Roman" w:hAnsi="Times New Roman" w:eastAsia="Times New Roman" w:cs="Times New Roman"/>
      <w:color w:val="auto"/>
      <w:kern w:val="2"/>
      <w:sz w:val="24"/>
      <w:szCs w:val="24"/>
      <w:lang w:val="pl-PL" w:eastAsia="en-US" w:bidi="ar-SA"/>
      <w14:ligatures w14:val="none"/>
    </w:rPr>
  </w:style>
  <w:style w:type="paragraph" w:styleId="EndnoteText">
    <w:name w:val="endnote text"/>
    <w:basedOn w:val="Normal"/>
    <w:link w:val="TekstprzypisukocowegoZnak"/>
    <w:uiPriority w:val="99"/>
    <w:semiHidden/>
    <w:unhideWhenUsed/>
    <w:rsid w:val="00943b81"/>
    <w:pPr>
      <w:spacing w:lineRule="auto" w:line="240" w:before="0" w:after="0"/>
    </w:pPr>
    <w:rPr>
      <w:sz w:val="20"/>
      <w:szCs w:val="20"/>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494DA-64D0-4997-9EF0-BF4F572A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Application>LibreOffice/26.2.5.2$Windows_X86_64 LibreOffice_project/cd7284b4cbbfeb507e630c1aac019f4157393acb</Application>
  <AppVersion>15.0000</AppVersion>
  <Pages>13</Pages>
  <Words>3636</Words>
  <Characters>23702</Characters>
  <CharactersWithSpaces>27240</CharactersWithSpaces>
  <Paragraphs>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2026-07-28T06:51:00Z</dcterms:created>
  <dc:creator>Michaela Lukoszek</dc:creator>
  <dc:description/>
  <dc:language>pl-PL</dc:language>
  <cp:lastModifiedBy/>
  <cp:lastPrinted>2025-10-17T06:02:00Z</cp:lastPrinted>
  <dcterms:modified xsi:type="dcterms:W3CDTF">2026-08-06T08:37:03Z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