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0" w:end="0"/>
        <w:jc w:val="end"/>
        <w:rPr>
          <w:rFonts w:ascii="Calibri" w:hAnsi="Calibri"/>
          <w:sz w:val="22"/>
          <w:szCs w:val="22"/>
        </w:rPr>
      </w:pPr>
      <w:r>
        <w:rPr>
          <w:rFonts w:eastAsia="Times New Roman" w:cs="Cambria"/>
          <w:sz w:val="22"/>
          <w:szCs w:val="22"/>
          <w:lang w:eastAsia="pl-PL"/>
        </w:rPr>
        <w:t>Miłkowice, dnia 10.08.2026r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rPr>
          <w:rFonts w:ascii="Calibri" w:hAnsi="Calibri" w:eastAsia="Times New Roman" w:cs="Cambria"/>
          <w:b/>
          <w:sz w:val="22"/>
          <w:szCs w:val="22"/>
          <w:lang w:eastAsia="pl-PL"/>
        </w:rPr>
      </w:pPr>
      <w:r>
        <w:rPr>
          <w:rFonts w:eastAsia="Times New Roman" w:cs="Cambria"/>
          <w:b/>
          <w:sz w:val="22"/>
          <w:szCs w:val="22"/>
          <w:lang w:eastAsia="pl-PL"/>
        </w:rPr>
        <w:t>Zamawiający: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rPr>
          <w:rFonts w:ascii="Calibri" w:hAnsi="Calibri" w:eastAsia="Times New Roman" w:cs="Cambria"/>
          <w:b/>
          <w:sz w:val="22"/>
          <w:szCs w:val="22"/>
          <w:lang w:eastAsia="pl-PL"/>
        </w:rPr>
      </w:pPr>
      <w:r>
        <w:rPr>
          <w:rFonts w:eastAsia="Times New Roman" w:cs="Cambria"/>
          <w:b/>
          <w:sz w:val="22"/>
          <w:szCs w:val="22"/>
          <w:lang w:eastAsia="pl-PL"/>
        </w:rPr>
        <w:t>Gmina Miłkowice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rPr>
          <w:rFonts w:ascii="Calibri" w:hAnsi="Calibri" w:cs="Cambria"/>
          <w:sz w:val="22"/>
          <w:szCs w:val="22"/>
        </w:rPr>
      </w:pPr>
      <w:r>
        <w:rPr>
          <w:rFonts w:cs="Cambria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rPr>
          <w:rFonts w:ascii="Calibri" w:hAnsi="Calibri" w:cs="Cambria"/>
          <w:b/>
          <w:bCs/>
          <w:sz w:val="22"/>
          <w:szCs w:val="22"/>
          <w:lang w:eastAsia="pl-PL"/>
        </w:rPr>
      </w:pPr>
      <w:r>
        <w:rPr>
          <w:rFonts w:cs="Cambria"/>
          <w:b/>
          <w:bCs/>
          <w:sz w:val="22"/>
          <w:szCs w:val="22"/>
          <w:lang w:eastAsia="pl-PL"/>
        </w:rPr>
        <w:t>Odpowiedzi na zapytania wykonawców dotyczące treści SWZ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rPr>
          <w:rFonts w:ascii="Calibri" w:hAnsi="Calibri" w:cs="Cambria"/>
          <w:b/>
          <w:bCs/>
          <w:sz w:val="22"/>
          <w:szCs w:val="22"/>
          <w:lang w:eastAsia="pl-PL"/>
        </w:rPr>
      </w:pPr>
      <w:r>
        <w:rPr>
          <w:rFonts w:cs="Cambria"/>
          <w:b/>
          <w:bCs/>
          <w:sz w:val="22"/>
          <w:szCs w:val="22"/>
          <w:lang w:eastAsia="pl-PL"/>
        </w:rPr>
      </w:r>
      <w:bookmarkStart w:id="0" w:name="_Hlk62481551"/>
      <w:bookmarkEnd w:id="0"/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Calibri" w:hAnsi="Calibri" w:eastAsia="Times New Roman" w:cs="Cambria"/>
          <w:b/>
          <w:bCs/>
          <w:sz w:val="22"/>
          <w:szCs w:val="22"/>
          <w:lang w:eastAsia="pl-PL"/>
        </w:rPr>
      </w:pPr>
      <w:r>
        <w:rPr>
          <w:rFonts w:eastAsia="Times New Roman" w:cs="Cambria"/>
          <w:b/>
          <w:bCs/>
          <w:sz w:val="22"/>
          <w:szCs w:val="22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Calibri" w:hAnsi="Calibri"/>
          <w:sz w:val="22"/>
          <w:szCs w:val="22"/>
        </w:rPr>
      </w:pPr>
      <w:r>
        <w:rPr>
          <w:rFonts w:eastAsia="Calibri" w:cs="Cambria"/>
          <w:b w:val="false"/>
          <w:bCs w:val="false"/>
          <w:sz w:val="22"/>
          <w:szCs w:val="22"/>
        </w:rPr>
        <w:t xml:space="preserve">Dotyczy postępowania pn: </w:t>
      </w:r>
      <w:r>
        <w:rPr>
          <w:rFonts w:eastAsia="Calibri" w:cs="Cambria"/>
          <w:b/>
          <w:bCs w:val="false"/>
          <w:i w:val="false"/>
          <w:sz w:val="22"/>
          <w:szCs w:val="22"/>
          <w:lang w:val="pl-PL"/>
        </w:rPr>
        <w:t>Zakup i dostawa fabrycznie nowej koparko-ładowarki na potrzeby ochrony ludności i obrony Cywilnej Gminy Miłkowice.</w:t>
      </w:r>
      <w:r>
        <w:rPr>
          <w:rFonts w:eastAsia="Calibri" w:cs="Cambria"/>
          <w:b w:val="false"/>
          <w:bCs w:val="false"/>
          <w:sz w:val="22"/>
          <w:szCs w:val="22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Calibri" w:hAnsi="Calibri" w:eastAsia="Times New Roman" w:cs="Times New Roman"/>
          <w:b/>
          <w:color w:val="002060"/>
          <w:sz w:val="22"/>
          <w:szCs w:val="22"/>
          <w:lang w:eastAsia="pl-PL"/>
        </w:rPr>
      </w:pPr>
      <w:r>
        <w:rPr>
          <w:rFonts w:eastAsia="Times New Roman" w:cs="Times New Roman"/>
          <w:b/>
          <w:color w:val="002060"/>
          <w:sz w:val="22"/>
          <w:szCs w:val="22"/>
          <w:lang w:eastAsia="pl-PL"/>
        </w:rPr>
      </w:r>
    </w:p>
    <w:p>
      <w:pPr>
        <w:pStyle w:val="Normal"/>
        <w:widowControl w:val="false"/>
        <w:numPr>
          <w:ilvl w:val="0"/>
          <w:numId w:val="0"/>
        </w:numPr>
        <w:spacing w:lineRule="atLeast" w:line="120" w:before="0" w:after="0"/>
        <w:ind w:hanging="0" w:start="0"/>
        <w:jc w:val="both"/>
        <w:rPr>
          <w:rFonts w:ascii="Calibri" w:hAnsi="Calibri"/>
          <w:sz w:val="22"/>
          <w:szCs w:val="22"/>
        </w:rPr>
      </w:pPr>
      <w:r>
        <w:rPr>
          <w:rFonts w:eastAsia="Calibri" w:cs="Cambria" w:ascii="Calibri" w:hAnsi="Calibri"/>
          <w:b w:val="false"/>
          <w:bCs w:val="false"/>
          <w:sz w:val="22"/>
          <w:szCs w:val="22"/>
        </w:rPr>
        <w:t>Zamawiający informuje, że w terminie określonym zgodnie z art. 284 ust. 2 ustawy z 11 września 2019 r. – Prawo zamówień publicznych (</w:t>
      </w:r>
      <w:r>
        <w:rPr>
          <w:rFonts w:eastAsia="Calibri" w:cs="Cambria" w:ascii="Calibri" w:hAnsi="Calibri"/>
          <w:b w:val="false"/>
          <w:bCs w:val="false"/>
          <w:i w:val="false"/>
          <w:sz w:val="22"/>
          <w:szCs w:val="22"/>
          <w:lang w:val="pl-PL"/>
        </w:rPr>
        <w:t>t.j. Dz. U. z 2026 r. poz. 793 ze zm.</w:t>
      </w:r>
      <w:r>
        <w:rPr>
          <w:rFonts w:eastAsia="Calibri" w:cs="Cambria" w:ascii="Calibri" w:hAnsi="Calibri"/>
          <w:b w:val="false"/>
          <w:bCs w:val="false"/>
          <w:sz w:val="22"/>
          <w:szCs w:val="22"/>
        </w:rPr>
        <w:t>) – dalej: ustawa Pzp, wykonawcy zwrócili się do zamawiającego z wnioskiem o wyjaśnienie treści SWZ.</w:t>
      </w:r>
    </w:p>
    <w:p>
      <w:pPr>
        <w:pStyle w:val="ListParagraph"/>
        <w:ind w:hanging="0" w:start="0"/>
        <w:jc w:val="both"/>
        <w:rPr>
          <w:rFonts w:ascii="Calibri" w:hAnsi="Calibri" w:cs="Calibri" w:cstheme="minorHAnsi"/>
          <w:sz w:val="22"/>
          <w:szCs w:val="22"/>
          <w:shd w:fill="FFFFFF" w:val="clear"/>
        </w:rPr>
      </w:pPr>
      <w:r>
        <w:rPr>
          <w:rFonts w:cs="Calibri" w:cstheme="minorHAnsi" w:ascii="Calibri" w:hAnsi="Calibri"/>
          <w:sz w:val="22"/>
          <w:szCs w:val="22"/>
          <w:shd w:fill="FFFFFF" w:val="clear"/>
        </w:rPr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cstheme="minorHAnsi"/>
          <w:shd w:fill="FFFFFF" w:val="clear"/>
        </w:rPr>
      </w:r>
    </w:p>
    <w:p>
      <w:pPr>
        <w:pStyle w:val="ListParagraph"/>
        <w:ind w:hanging="0" w:start="0"/>
        <w:jc w:val="start"/>
        <w:rPr>
          <w:rFonts w:cs="Calibri" w:cstheme="minorHAnsi"/>
          <w:shd w:fill="FFFFFF" w:val="clear"/>
        </w:rPr>
      </w:pPr>
      <w:r>
        <w:rPr>
          <w:rFonts w:cs="Calibri" w:cstheme="minorHAnsi"/>
          <w:b/>
          <w:bCs/>
          <w:shd w:fill="FFFFFF" w:val="clear"/>
        </w:rPr>
        <w:t>Pytanie</w:t>
      </w:r>
      <w:r>
        <w:rPr>
          <w:rFonts w:cs="Calibri" w:cstheme="minorHAnsi"/>
          <w:shd w:fill="FFFFFF" w:val="clear"/>
        </w:rPr>
        <w:t xml:space="preserve"> nr 1</w:t>
      </w:r>
    </w:p>
    <w:p>
      <w:pPr>
        <w:pStyle w:val="ListParagraph"/>
        <w:ind w:hanging="0" w:start="0"/>
        <w:jc w:val="both"/>
        <w:rPr>
          <w:rFonts w:ascii="Calibri" w:hAnsi="Calibri" w:cs="Calibri" w:cstheme="minorHAnsi"/>
          <w:shd w:fill="FFFFFF" w:val="clear"/>
        </w:rPr>
      </w:pPr>
      <w:r>
        <w:rPr>
          <w:rFonts w:cs="Calibri" w:cstheme="minorHAnsi" w:ascii="Calibri" w:hAnsi="Calibri"/>
          <w:shd w:fill="FFFFFF" w:val="clear"/>
        </w:rPr>
        <w:t xml:space="preserve">Zwracamy się z prośbą o wyjaśnienie oraz dopuszczenie rozwiązania równoważnego w zakresie wymogu dotyczącego masy eksploatacyjnej koparko-ładowarki. Zgodnie z wymaganiem określonym w dokumentacji przetargowej, Zamawiający wskazał, że: „masa eksploatacyjna maszyny: od 8 000 kg do 9 500 kg, ustalona według danych producenta dla konfiguracji oferowanej Zamawiającemu”. Oferowana przez nas koparko-ładowarka posiada maksymalną masę roboczą wynoszącą 9 580 kg według danych producenta dla oferowanej konfiguracji, co oznacza przekroczenie wskazanego limitu o 80 kg (tj. ok. 0,8%). W związku z powyższym zwracamy się z pytaniem: Czy Zamawiający dopuści do udziału w postępowaniu koparko-ładowarkę o masie eksploatacyjnej 9 580 kg, spełniającą wszystkie pozostałe wymagania techniczne określone w dokumentacji przetargowej, uznając wskazaną różnicę za nieistotną z punktu widzenia funkcjonalności, parametrów pracy oraz przeznaczenia maszyny? Jednocześnie wskazujemy, że oferowana maszyna zachowuje wymagane parametry użytkowe, a niewielkie przekroczenie masy wynika wyłącznie z konfiguracji wyposażenia przewidzianej dla Zamawiającego. </w:t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cstheme="minorHAnsi" w:ascii="Calibri" w:hAnsi="Calibri"/>
          <w:shd w:fill="FFFFFF" w:val="clear"/>
        </w:rPr>
      </w:r>
    </w:p>
    <w:p>
      <w:pPr>
        <w:pStyle w:val="ListParagraph"/>
        <w:ind w:hanging="0" w:start="0"/>
        <w:jc w:val="both"/>
        <w:rPr>
          <w:rFonts w:ascii="Calibri" w:hAnsi="Calibri" w:cs="Calibri" w:cstheme="minorHAnsi"/>
          <w:b/>
          <w:bCs/>
          <w:shd w:fill="FFFFFF" w:val="clear"/>
        </w:rPr>
      </w:pPr>
      <w:r>
        <w:rPr>
          <w:rFonts w:cs="Calibri" w:cstheme="minorHAnsi" w:ascii="Calibri" w:hAnsi="Calibri"/>
          <w:b/>
          <w:bCs/>
          <w:shd w:fill="FFFFFF" w:val="clear"/>
        </w:rPr>
        <w:t>Odpowiedź:</w:t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cstheme="minorHAnsi" w:ascii="Calibri" w:hAnsi="Calibri"/>
          <w:shd w:fill="FFFFFF" w:val="clear"/>
        </w:rPr>
        <w:t>Zamawiający dopuszcza koparko ładowarkę o masie  eksploatacyjnej 9 580 kg spełniającą wszystkie pozostałe wymagania techniczne określone w dokumentacji przetargowej.</w:t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cstheme="minorHAnsi" w:ascii="Calibri" w:hAnsi="Calibri"/>
          <w:shd w:fill="FFFFFF" w:val="clear"/>
        </w:rPr>
      </w:r>
    </w:p>
    <w:p>
      <w:pPr>
        <w:pStyle w:val="ListParagraph"/>
        <w:ind w:hanging="0" w:start="0"/>
        <w:jc w:val="both"/>
        <w:rPr>
          <w:rFonts w:ascii="Calibri" w:hAnsi="Calibri" w:cs="Calibri" w:cstheme="minorHAnsi"/>
          <w:b/>
          <w:bCs/>
          <w:shd w:fill="FFFFFF" w:val="clear"/>
        </w:rPr>
      </w:pPr>
      <w:r>
        <w:rPr>
          <w:rFonts w:cs="Calibri" w:cstheme="minorHAnsi" w:ascii="Calibri" w:hAnsi="Calibri"/>
          <w:b/>
          <w:bCs/>
          <w:shd w:fill="FFFFFF" w:val="clear"/>
        </w:rPr>
        <w:t>Pytanie:</w:t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ascii="Calibri" w:hAnsi="Calibri" w:cstheme="minorHAnsi"/>
          <w:shd w:fill="FFFFFF" w:val="clear"/>
        </w:rPr>
        <w:t>Zwracamy się z prośbą o wyjaśnienie oraz dopuszczenie rozwiązania równoważnego w zakresie wymogu dotyczącego maksymalnego ciśnienia roboczego układu hydraulicznego. Zamawiający określił wymaganie: „Układ hydrauliczny o wydajności pompy co najmniej 150 l/min i maksymalnym ciśnieniu roboczym co najmniej 230 bar”. Oferowana przez nas koparko-ładowarka CASE 580SV wyposażona jest w nowoczesny układ hydrauliczny Load Sensing, zapewniający wysoką wydajność i precyzję sterowania osprzętem. Parametr maksymalnego ciśnienia roboczego dla oferowanej konfiguracji maszyny wynosi 205 bar. W związku z powyższym zwracamy się z pytaniem: Czy Zamawiający dopuści koparko-ładowarkę wyposażoną w układ hydrauliczny Load Sensing o maksymalnym ciśnieniu roboczym 205 bar, przy jednoczesnym zachowaniu wymaganej wydajności pompy oraz spełnieniu pozostałych</w:t>
      </w:r>
      <w:r>
        <w:rPr>
          <w:rFonts w:cs="Calibri" w:ascii="Cambria" w:hAnsi="Cambria" w:cstheme="minorHAnsi"/>
          <w:shd w:fill="FFFFFF" w:val="clear"/>
        </w:rPr>
        <w:t xml:space="preserve"> w</w:t>
      </w:r>
      <w:r>
        <w:rPr>
          <w:rFonts w:cs="Calibri" w:ascii="Calibri" w:hAnsi="Calibri" w:cstheme="minorHAnsi"/>
          <w:shd w:fill="FFFFFF" w:val="clear"/>
        </w:rPr>
        <w:t xml:space="preserve">ymagań technicznych określonych w dokumentacji przetargowej? Wskazujemy, że zastosowany układ hydrauliczny zapewnia pełną funkcjonalność maszyny, wysoką efektywność pracy oraz możliwość współpracy z wymaganym osprzętem roboczym. </w:t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cstheme="minorHAnsi"/>
          <w:shd w:fill="FFFFFF" w:val="clear"/>
        </w:rPr>
      </w:r>
    </w:p>
    <w:p>
      <w:pPr>
        <w:pStyle w:val="ListParagraph"/>
        <w:ind w:hanging="0" w:start="0"/>
        <w:jc w:val="both"/>
        <w:rPr>
          <w:rFonts w:cs="Calibri" w:cstheme="minorHAnsi"/>
          <w:b/>
          <w:bCs/>
          <w:shd w:fill="FFFFFF" w:val="clear"/>
        </w:rPr>
      </w:pPr>
      <w:r>
        <w:rPr>
          <w:rFonts w:cs="Calibri" w:cstheme="minorHAnsi"/>
          <w:b/>
          <w:bCs/>
          <w:shd w:fill="FFFFFF" w:val="clear"/>
        </w:rPr>
        <w:t>Odpowiedź</w:t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ascii="Calibri" w:hAnsi="Calibri" w:cstheme="minorHAnsi"/>
          <w:shd w:fill="FFFFFF" w:val="clear"/>
        </w:rPr>
        <w:t xml:space="preserve">Zamawiający dopuszcza koparko ładowarkę - </w:t>
      </w:r>
      <w:r>
        <w:rPr>
          <w:rFonts w:cs="Calibri" w:cstheme="minorHAnsi" w:ascii="Calibri" w:hAnsi="Calibri"/>
          <w:shd w:fill="FFFFFF" w:val="clear"/>
        </w:rPr>
        <w:t>„Układ hydrauliczny o wydajności pompy co najmniej 150 l/min i maksymalnym ciśnieniu roboczym co najmniej 205 bar</w:t>
      </w:r>
    </w:p>
    <w:p>
      <w:pPr>
        <w:pStyle w:val="ListParagraph"/>
        <w:numPr>
          <w:ilvl w:val="0"/>
          <w:numId w:val="0"/>
        </w:numPr>
        <w:spacing w:before="0" w:after="160"/>
        <w:ind w:hanging="0" w:start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0"/>
        </w:numPr>
        <w:spacing w:before="0" w:after="160"/>
        <w:ind w:hanging="0" w:start="360"/>
        <w:contextualSpacing/>
        <w:jc w:val="both"/>
        <w:rPr>
          <w:rFonts w:cs="Calibri" w:cstheme="minorHAnsi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01"/>
    <w:family w:val="swiss"/>
    <w:pitch w:val="variable"/>
  </w:font>
  <w:font w:name="Cambr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dd301b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dd301b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d301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d301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d301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d301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d301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d301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d301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dd301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dd301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dd301b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dd301b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dd301b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dd301b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dd301b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dd301b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dd301b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dd301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dd301b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dd301b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d301b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dd301b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dd301b"/>
    <w:rPr>
      <w:b/>
      <w:bCs/>
      <w:smallCaps/>
      <w:color w:themeColor="accent1" w:themeShade="bf" w:val="2F5496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dd301b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dd301b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dd301b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dd301b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dd3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LibreOffice/26.2.5.2$Windows_X86_64 LibreOffice_project/cd7284b4cbbfeb507e630c1aac019f4157393acb</Application>
  <AppVersion>15.0000</AppVersion>
  <Pages>2</Pages>
  <Words>393</Words>
  <Characters>2696</Characters>
  <CharactersWithSpaces>3081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2026-05-29T08:15:00Z</dcterms:created>
  <dc:creator>Agnieszka Wolska</dc:creator>
  <dc:description/>
  <dc:language>pl-PL</dc:language>
  <cp:lastModifiedBy/>
  <dcterms:modified xsi:type="dcterms:W3CDTF">2026-08-10T14:17:31Z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