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CDC1A" w14:textId="0F2BD29E" w:rsidR="008C1D00" w:rsidRDefault="00000000">
      <w:pPr>
        <w:spacing w:after="240"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Borzytuchom, dnia 1</w:t>
      </w:r>
      <w:r w:rsidR="00862AEE">
        <w:rPr>
          <w:rFonts w:asciiTheme="minorHAnsi" w:hAnsiTheme="minorHAnsi" w:cstheme="minorHAnsi"/>
          <w:sz w:val="22"/>
          <w:szCs w:val="22"/>
        </w:rPr>
        <w:t>9</w:t>
      </w:r>
      <w:r>
        <w:rPr>
          <w:rFonts w:asciiTheme="minorHAnsi" w:hAnsiTheme="minorHAnsi" w:cstheme="minorHAnsi"/>
          <w:sz w:val="22"/>
          <w:szCs w:val="22"/>
        </w:rPr>
        <w:t xml:space="preserve"> sierpnia 2026 r.</w:t>
      </w:r>
    </w:p>
    <w:p w14:paraId="1EE480A7" w14:textId="77777777" w:rsidR="008C1D00" w:rsidRDefault="00000000">
      <w:pPr>
        <w:spacing w:after="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Znak sprawy: OR.271.5.2026.RZ</w:t>
      </w:r>
    </w:p>
    <w:p w14:paraId="3F284AC7" w14:textId="77777777" w:rsidR="008C1D00" w:rsidRDefault="00000000">
      <w:pPr>
        <w:spacing w:after="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Nr ogłoszenia BZP: 2026/BZP 00383325/01</w:t>
      </w:r>
    </w:p>
    <w:p w14:paraId="07C99268" w14:textId="77777777" w:rsidR="008C1D00" w:rsidRDefault="00000000">
      <w:pPr>
        <w:spacing w:after="3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Identyfikator postępowania: ocds-148610-a32d0d25-ce10-49e6-82b2-ff606f947313</w:t>
      </w:r>
    </w:p>
    <w:p w14:paraId="5B0258A7" w14:textId="77777777" w:rsidR="008C1D00" w:rsidRDefault="00000000">
      <w:pPr>
        <w:spacing w:line="276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>WYJAŚNIENIA TREŚCI</w:t>
      </w:r>
    </w:p>
    <w:p w14:paraId="040FD357" w14:textId="77777777" w:rsidR="008C1D00" w:rsidRDefault="00000000">
      <w:pPr>
        <w:spacing w:after="240" w:line="276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>SPECYFIKACJI WARUNKÓW ZAMÓWIENIA</w:t>
      </w:r>
    </w:p>
    <w:p w14:paraId="5EE9129C" w14:textId="77777777" w:rsidR="00385ECF" w:rsidRDefault="00000000" w:rsidP="00385ECF">
      <w:pPr>
        <w:spacing w:line="276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 xml:space="preserve">ORAZ ZMIANA </w:t>
      </w:r>
      <w:r w:rsidR="00385ECF">
        <w:rPr>
          <w:rFonts w:asciiTheme="minorHAnsi" w:hAnsiTheme="minorHAnsi" w:cstheme="minorHAnsi"/>
          <w:b/>
          <w:bCs/>
          <w:sz w:val="26"/>
          <w:szCs w:val="26"/>
        </w:rPr>
        <w:t>TREŚCI</w:t>
      </w:r>
    </w:p>
    <w:p w14:paraId="6E2B6DD2" w14:textId="2E7BDD04" w:rsidR="008C1D00" w:rsidRDefault="00385ECF" w:rsidP="00385ECF">
      <w:pPr>
        <w:spacing w:after="240" w:line="276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>SPECYFIKACJI WARUNKÓW ZAMÓWIENIA</w:t>
      </w:r>
    </w:p>
    <w:p w14:paraId="1320FA7E" w14:textId="77777777" w:rsidR="008C1D00" w:rsidRDefault="00000000">
      <w:pPr>
        <w:spacing w:after="4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dotyczy postępowania o udzielenie zamówienia publicznego pn.:</w:t>
      </w:r>
    </w:p>
    <w:p w14:paraId="73366825" w14:textId="77777777" w:rsidR="008C1D00" w:rsidRDefault="00000000">
      <w:pPr>
        <w:spacing w:after="30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„Cyberbezpieczny Wodociąg - Borzytuchom” - dostawy i usługi z obszarów technicznych IT/OT</w:t>
      </w:r>
    </w:p>
    <w:p w14:paraId="09465260" w14:textId="23927F80" w:rsidR="008C1D00" w:rsidRDefault="00000000">
      <w:pPr>
        <w:spacing w:after="3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Gmina Borzytuchom, działając na podstawie art. 284 ust. 2 i ust. 6 ustawy z dnia 11 września 2019 r. – Prawo zamówień publicznych (t.j. Dz. U. z 2026 r. poz. 793 z późn. zm.</w:t>
      </w:r>
      <w:r w:rsidR="001C2FA6">
        <w:rPr>
          <w:rFonts w:asciiTheme="minorHAnsi" w:hAnsiTheme="minorHAnsi" w:cstheme="minorHAnsi"/>
          <w:sz w:val="22"/>
          <w:szCs w:val="22"/>
        </w:rPr>
        <w:t>)</w:t>
      </w:r>
      <w:r w:rsidR="00014D66">
        <w:rPr>
          <w:rFonts w:asciiTheme="minorHAnsi" w:hAnsiTheme="minorHAnsi" w:cstheme="minorHAnsi"/>
          <w:sz w:val="22"/>
          <w:szCs w:val="22"/>
        </w:rPr>
        <w:t>,</w:t>
      </w:r>
      <w:r w:rsidR="008366F2">
        <w:rPr>
          <w:rFonts w:asciiTheme="minorHAnsi" w:hAnsiTheme="minorHAnsi" w:cstheme="minorHAnsi"/>
          <w:sz w:val="22"/>
          <w:szCs w:val="22"/>
        </w:rPr>
        <w:t xml:space="preserve"> zwaną dalej</w:t>
      </w:r>
      <w:r w:rsidR="00F02AE6">
        <w:rPr>
          <w:rFonts w:asciiTheme="minorHAnsi" w:hAnsiTheme="minorHAnsi" w:cstheme="minorHAnsi"/>
          <w:sz w:val="22"/>
          <w:szCs w:val="22"/>
        </w:rPr>
        <w:t xml:space="preserve"> ustawą</w:t>
      </w:r>
      <w:r w:rsidR="008366F2">
        <w:rPr>
          <w:rFonts w:asciiTheme="minorHAnsi" w:hAnsiTheme="minorHAnsi" w:cstheme="minorHAnsi"/>
          <w:sz w:val="22"/>
          <w:szCs w:val="22"/>
        </w:rPr>
        <w:t xml:space="preserve"> Pzp</w:t>
      </w:r>
      <w:r>
        <w:rPr>
          <w:rFonts w:asciiTheme="minorHAnsi" w:hAnsiTheme="minorHAnsi" w:cstheme="minorHAnsi"/>
          <w:sz w:val="22"/>
          <w:szCs w:val="22"/>
        </w:rPr>
        <w:t>, udziela wyjaśnień treści Specyfikacji Warunków Zamówienia w odpowiedzi na wniosek wykonawcy, który wpłynął w dniu 17 sierpnia 2026 r. za pośrednictwem Platformy e-Zamówienia.</w:t>
      </w:r>
    </w:p>
    <w:p w14:paraId="69D2D4F6" w14:textId="77777777" w:rsidR="008C1D00" w:rsidRDefault="00000000">
      <w:pPr>
        <w:spacing w:after="8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PYTANIE NR 1</w:t>
      </w:r>
    </w:p>
    <w:p w14:paraId="5840C206" w14:textId="77777777" w:rsidR="008C1D00" w:rsidRDefault="00000000">
      <w:pPr>
        <w:spacing w:after="160" w:line="276" w:lineRule="auto"/>
        <w:ind w:left="284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„Czy Zamawiający dopuści agregat prądotwórczy wyposażony w układ stabilizacji napięcia zapewniający dokładność regulacji na poziomie ±1%, zamiast wymaganego w OPZ parametru, pod warunkiem spełnienia wszystkich pozostałych wymagań technicznych i funkcjonalnych?”</w:t>
      </w:r>
    </w:p>
    <w:p w14:paraId="47604628" w14:textId="77777777" w:rsidR="008C1D00" w:rsidRDefault="00000000">
      <w:pPr>
        <w:spacing w:after="8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ODPOWIEDŹ NA PYTANIE NR 1</w:t>
      </w:r>
    </w:p>
    <w:p w14:paraId="53704E89" w14:textId="77777777" w:rsidR="008C1D00" w:rsidRDefault="00000000">
      <w:p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Tak. Zamawiający wyjaśnia, że agregat prądotwórczy wyposażony w układ automatycznej regulacji napięcia (AVR) o dokładności regulacji ±1,0% spełnia wymaganie określone w Załączniku nr 3 do SWZ – Opisie Przedmiotu Zamówienia dla części nr 2, w tabeli „Zestawienie parametrów wymaganych”, pkt 2.1 „Parametry elektryczne” ppkt 5.</w:t>
      </w:r>
    </w:p>
    <w:p w14:paraId="1681CE17" w14:textId="77777777" w:rsidR="008C1D00" w:rsidRDefault="00000000">
      <w:p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Zapis „Stabilizacja napięcia: AVR, dokładność min. ±1,0%” należy rozumieć w ten sposób, że dokładność stabilizacji napięcia nie może być gorsza niż ±1,0%, to jest odchyłka napięcia w stanie ustalonym musi mieścić się w przedziale ±1,0% wartości znamionowej. Parametr o wartości ±1,0% odpowiada zatem dokładnie wymaganiu minimalnemu i jest przez Zamawiającego dopuszczony. Dopuszczalne są również rozwiązania o dokładności lepszej, to jest o węższym przedziale odchyłki (np. ±0,5%).</w:t>
      </w:r>
    </w:p>
    <w:p w14:paraId="0CCC068D" w14:textId="77777777" w:rsidR="008C1D00" w:rsidRDefault="00000000">
      <w:pPr>
        <w:spacing w:after="3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Powyższe pozostaje spójne z wymaganiem klasy wykonania G3 wskazanym w pkt 2.1 ppkt 7 tabeli. Zamawiający jednocześnie prostuje oczywistą omyłkę pisarską w tym punkcie: przywołaną normę należy czytać jako „</w:t>
      </w:r>
      <w:r w:rsidRPr="008E48D2">
        <w:rPr>
          <w:rFonts w:asciiTheme="minorHAnsi" w:hAnsiTheme="minorHAnsi" w:cstheme="minorHAnsi"/>
          <w:b/>
          <w:bCs/>
          <w:sz w:val="22"/>
          <w:szCs w:val="22"/>
        </w:rPr>
        <w:t>ISO 8528-5</w:t>
      </w:r>
      <w:r>
        <w:rPr>
          <w:rFonts w:asciiTheme="minorHAnsi" w:hAnsiTheme="minorHAnsi" w:cstheme="minorHAnsi"/>
          <w:sz w:val="22"/>
          <w:szCs w:val="22"/>
        </w:rPr>
        <w:t>” zamiast „ISO 85285”. Sprostowanie nie zmienia zakresu wymagania.</w:t>
      </w:r>
    </w:p>
    <w:p w14:paraId="0A23F990" w14:textId="408800C9" w:rsidR="008C1D00" w:rsidRDefault="00000000">
      <w:pPr>
        <w:spacing w:after="8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PYTANIE NR 2</w:t>
      </w:r>
    </w:p>
    <w:p w14:paraId="2129AE7B" w14:textId="77777777" w:rsidR="008C1D00" w:rsidRDefault="00000000">
      <w:pPr>
        <w:spacing w:after="160" w:line="276" w:lineRule="auto"/>
        <w:ind w:left="284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„Czy w zakres montażu szafy wchodzi również położenie przewodów oraz montaż niezbędnych gniazd?”</w:t>
      </w:r>
    </w:p>
    <w:p w14:paraId="7EDB8FD8" w14:textId="77777777" w:rsidR="00014BB6" w:rsidRDefault="00014BB6">
      <w:pPr>
        <w:spacing w:after="8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7175BC1" w14:textId="34716FD2" w:rsidR="008C1D00" w:rsidRDefault="00000000">
      <w:pPr>
        <w:spacing w:after="8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ODPOWIEDŹ NA PYTANIE NR 2</w:t>
      </w:r>
    </w:p>
    <w:p w14:paraId="3627E85C" w14:textId="77777777" w:rsidR="008C1D00" w:rsidRDefault="00000000">
      <w:p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 wyjaśnia, że pytanie odnosi się do części nr 1 zamówienia, do pozycji nr 15 Załącznika nr 2 do SWZ – Formularza asortymentowo-cenowego („Instalacja szaf rack wraz z wyposażeniem”) oraz do rozdziału „Szafa Rack – 2 szt.” Załącznika nr 3 do SWZ.</w:t>
      </w:r>
    </w:p>
    <w:p w14:paraId="3409E4D1" w14:textId="77777777" w:rsidR="008C1D00" w:rsidRDefault="00000000">
      <w:p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Zakres tej pozycji obejmuje montaż szaf w miejscu wskazanym przez Zamawiającego, zabudowę i zamocowanie wyposażenia wymienionego w tabeli parametrów wymaganych (panel wentylacyjny, półki, maskownice, listwa zasilająca), montaż dostarczanych urządzeń w szafach, wykonanie i uporządkowanie okablowania wewnątrz szaf wraz z jego oznaczeniem oraz podłączenie listwy zasilającej do istniejącego punktu zasilania udostępnionego przez Zamawiającego w pomieszczeniu, w którym posadowione zostaną szafy.</w:t>
      </w:r>
    </w:p>
    <w:p w14:paraId="7A9C0621" w14:textId="77777777" w:rsidR="008C1D00" w:rsidRDefault="00000000">
      <w:p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Zakres zamówienia nie obejmuje wykonywania nowych obwodów elektrycznych w budynku, prowadzenia nowych tras kablowych zasilania ani montażu nowych gniazd instalacji elektrycznej budynku. Zamawiający zapewni w miejscu posadowienia szaf sprawny punkt zasilania o parametrach umożliwiających podłączenie listwy zasilającej. Potwierdza to również zakres kodów CPV wskazanych dla części nr 1, który nie obejmuje robót ani usług instalacyjnych w zakresie instalacji elektrycznych.</w:t>
      </w:r>
    </w:p>
    <w:p w14:paraId="4EA428E2" w14:textId="77777777" w:rsidR="008C1D00" w:rsidRDefault="00000000">
      <w:pPr>
        <w:spacing w:after="8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POZOSTAŁE INFORMACJE</w:t>
      </w:r>
    </w:p>
    <w:p w14:paraId="0AC13A8D" w14:textId="77777777" w:rsidR="008C1D00" w:rsidRDefault="00000000">
      <w:pPr>
        <w:spacing w:after="4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Niniejsze wyjaśnienia są wiążące dla wszystkich wykonawców i stanowią integralną część SWZ. Treść SWZ oraz załączników do SWZ w zakresie merytorycznym nie ulega zmianie.</w:t>
      </w:r>
    </w:p>
    <w:p w14:paraId="31EFDB89" w14:textId="77777777" w:rsidR="008C1D00" w:rsidRDefault="00000000">
      <w:pPr>
        <w:spacing w:after="8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ZMIANA TERMINU SKŁADANIA I OTWARCIA OFERT ORAZ TERMINU ZWIĄZANIA OFERTĄ</w:t>
      </w:r>
    </w:p>
    <w:p w14:paraId="59C5E5F8" w14:textId="77777777" w:rsidR="008C1D00" w:rsidRDefault="00000000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Działając na podstawie art. 286 ust. 1, 3, 5 i 7 ustawy Pzp, Zamawiający przedłuża termin składania ofert, aby zapewnić wykonawcom czas niezbędny na zapoznanie się z niniejszymi wyjaśnieniami i należyte przygotowanie ofert. Zamawiający zmienia treść Specyfikacji Warunków Zamówienia w następującym zakresie:</w:t>
      </w:r>
    </w:p>
    <w:p w14:paraId="181434B6" w14:textId="77777777" w:rsidR="008C1D00" w:rsidRDefault="00000000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1)  Rozdział XV pkt 3 SWZ otrzymuje brzmienie: „</w:t>
      </w:r>
      <w:r w:rsidRPr="007E5552">
        <w:rPr>
          <w:rFonts w:asciiTheme="minorHAnsi" w:hAnsiTheme="minorHAnsi" w:cstheme="minorHAnsi"/>
          <w:b/>
          <w:bCs/>
          <w:sz w:val="22"/>
          <w:szCs w:val="22"/>
        </w:rPr>
        <w:t>Ofertę wraz z oświadczeniami i dokumentami należy złożyć w terminie do dnia 25.08.2026 r. do godziny 10:00</w:t>
      </w:r>
      <w:r>
        <w:rPr>
          <w:rFonts w:asciiTheme="minorHAnsi" w:hAnsiTheme="minorHAnsi" w:cstheme="minorHAnsi"/>
          <w:sz w:val="22"/>
          <w:szCs w:val="22"/>
        </w:rPr>
        <w:t>.” – termin dotychczasowy: 21.08.2026 r. godz. 10:00;</w:t>
      </w:r>
    </w:p>
    <w:p w14:paraId="5A36E6E2" w14:textId="77777777" w:rsidR="008C1D00" w:rsidRDefault="00000000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2)  Rozdział XV pkt 6 SWZ otrzymuje brzmienie: „</w:t>
      </w:r>
      <w:r w:rsidRPr="007E5552">
        <w:rPr>
          <w:rFonts w:asciiTheme="minorHAnsi" w:hAnsiTheme="minorHAnsi" w:cstheme="minorHAnsi"/>
          <w:b/>
          <w:bCs/>
          <w:sz w:val="22"/>
          <w:szCs w:val="22"/>
        </w:rPr>
        <w:t>Otwarcie ofert nastąpi w dniu 25.08.2026 r. o godzinie 10:30, za pośrednictwem Platformy e-Zamówienia</w:t>
      </w:r>
      <w:r>
        <w:rPr>
          <w:rFonts w:asciiTheme="minorHAnsi" w:hAnsiTheme="minorHAnsi" w:cstheme="minorHAnsi"/>
          <w:sz w:val="22"/>
          <w:szCs w:val="22"/>
        </w:rPr>
        <w:t>.” – termin dotychczasowy: 21.08.2026 r. godz. 10:30;</w:t>
      </w:r>
    </w:p>
    <w:p w14:paraId="074451DC" w14:textId="26C04D22" w:rsidR="008C1D00" w:rsidRDefault="00000000">
      <w:p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3)  </w:t>
      </w:r>
      <w:r w:rsidR="00BF2FC5" w:rsidRPr="00BF2FC5">
        <w:rPr>
          <w:rFonts w:asciiTheme="minorHAnsi" w:hAnsiTheme="minorHAnsi" w:cstheme="minorHAnsi"/>
          <w:sz w:val="22"/>
          <w:szCs w:val="22"/>
        </w:rPr>
        <w:t>w Rozdziale I SWZ („ZAMAWIAJĄCY”) akapit rozpoczynający się od słów „Wykonawca jest związany ofertą…” otrzymuje brzmienie: „</w:t>
      </w:r>
      <w:r w:rsidR="00BF2FC5" w:rsidRPr="00525DDD">
        <w:rPr>
          <w:rFonts w:asciiTheme="minorHAnsi" w:hAnsiTheme="minorHAnsi" w:cstheme="minorHAnsi"/>
          <w:b/>
          <w:bCs/>
          <w:sz w:val="22"/>
          <w:szCs w:val="22"/>
        </w:rPr>
        <w:t>Wykonawca jest związany ofertą do dnia 23-09-2026 r.</w:t>
      </w:r>
      <w:r w:rsidR="00BF2FC5" w:rsidRPr="00BF2FC5">
        <w:rPr>
          <w:rFonts w:asciiTheme="minorHAnsi" w:hAnsiTheme="minorHAnsi" w:cstheme="minorHAnsi"/>
          <w:sz w:val="22"/>
          <w:szCs w:val="22"/>
        </w:rPr>
        <w:t>” – termin dotychczasowy: 19-09-2026 r. Pozostała treść tego akapitu nie ulega zmianie.</w:t>
      </w:r>
    </w:p>
    <w:p w14:paraId="539D28B6" w14:textId="77777777" w:rsidR="008C1D00" w:rsidRDefault="00000000">
      <w:p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 informuje, że stosownie do art. 284 ust. 5 ustawy Pzp przedłużenie terminu składania ofert nie wpływa na bieg terminu składania wniosku o wyjaśnienie treści SWZ.</w:t>
      </w:r>
    </w:p>
    <w:p w14:paraId="4F2FB18C" w14:textId="77777777" w:rsidR="008C1D00" w:rsidRDefault="00000000" w:rsidP="0042344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Pozostałe postanowienia SWZ i załączników pozostają bez zmian.</w:t>
      </w:r>
    </w:p>
    <w:p w14:paraId="61A31C27" w14:textId="56CE8757" w:rsidR="0042344C" w:rsidRDefault="0042344C" w:rsidP="0042344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WÓJT</w:t>
      </w:r>
    </w:p>
    <w:p w14:paraId="73BB231F" w14:textId="1B905B8D" w:rsidR="008C1D00" w:rsidRDefault="0042344C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inż. Jarosław Garbicz</w:t>
      </w:r>
    </w:p>
    <w:p w14:paraId="6D3F3F3D" w14:textId="77777777" w:rsidR="008C1D00" w:rsidRDefault="00000000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</w:t>
      </w:r>
    </w:p>
    <w:p w14:paraId="2E6A056A" w14:textId="77777777" w:rsidR="008C1D00" w:rsidRDefault="00000000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Kierownik Zamawiającego</w:t>
      </w:r>
    </w:p>
    <w:sectPr w:rsidR="008C1D00" w:rsidSect="00014BB6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1134" w:bottom="1446" w:left="1134" w:header="426" w:footer="38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12EFB" w14:textId="77777777" w:rsidR="000158A2" w:rsidRDefault="000158A2">
      <w:r>
        <w:separator/>
      </w:r>
    </w:p>
  </w:endnote>
  <w:endnote w:type="continuationSeparator" w:id="0">
    <w:p w14:paraId="5EADA10E" w14:textId="77777777" w:rsidR="000158A2" w:rsidRDefault="00015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F2D69" w14:textId="3D852C15" w:rsidR="008C1D00" w:rsidRDefault="00000000">
    <w:pPr>
      <w:pStyle w:val="Stopka"/>
    </w:pPr>
    <w:r>
      <w:rPr>
        <w:noProof/>
      </w:rPr>
      <w:pict w14:anchorId="1485E71B">
        <v:shapetype id="_x0000_t202" coordsize="21600,21600" o:spt="202" path="m,l,21600r21600,l21600,xe">
          <v:stroke joinstyle="miter"/>
          <v:path gradientshapeok="t" o:connecttype="rect"/>
        </v:shapetype>
        <v:shape id="Frame2" o:spid="_x0000_s1025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<v:fill opacity="0"/>
          <v:textbox style="mso-next-textbox:#Frame2;mso-fit-shape-to-text:t" inset="0,0,0,0">
            <w:txbxContent>
              <w:p w14:paraId="26D05253" w14:textId="77777777" w:rsidR="008C1D00" w:rsidRDefault="00000000">
                <w:pPr>
                  <w:pStyle w:val="Stopka"/>
                  <w:rPr>
                    <w:rStyle w:val="Numerstrony"/>
                  </w:rPr>
                </w:pPr>
                <w:r>
                  <w:rPr>
                    <w:rStyle w:val="Numerstrony"/>
                  </w:rPr>
                  <w:fldChar w:fldCharType="begin"/>
                </w:r>
                <w:r>
                  <w:rPr>
                    <w:rStyle w:val="Numerstrony"/>
                  </w:rPr>
                  <w:instrText xml:space="preserve"> PAGE </w:instrText>
                </w:r>
                <w:r>
                  <w:rPr>
                    <w:rStyle w:val="Numerstrony"/>
                  </w:rPr>
                  <w:fldChar w:fldCharType="separate"/>
                </w:r>
                <w:r>
                  <w:rPr>
                    <w:rStyle w:val="Numerstrony"/>
                  </w:rPr>
                  <w:t>0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2"/>
        <w:szCs w:val="22"/>
      </w:rPr>
      <w:id w:val="1878130692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603C9296" w14:textId="77777777" w:rsidR="004A06DE" w:rsidRPr="002E689B" w:rsidRDefault="00EA779B">
        <w:pPr>
          <w:pStyle w:val="Stopka"/>
          <w:jc w:val="right"/>
          <w:rPr>
            <w:rFonts w:asciiTheme="majorHAnsi" w:eastAsiaTheme="majorEastAsia" w:hAnsiTheme="majorHAnsi" w:cstheme="majorBidi"/>
            <w:sz w:val="22"/>
            <w:szCs w:val="22"/>
          </w:rPr>
        </w:pPr>
        <w:r w:rsidRPr="002E689B">
          <w:rPr>
            <w:rFonts w:asciiTheme="majorHAnsi" w:eastAsiaTheme="majorEastAsia" w:hAnsiTheme="majorHAnsi" w:cstheme="majorBidi"/>
            <w:sz w:val="22"/>
            <w:szCs w:val="22"/>
          </w:rPr>
          <w:t xml:space="preserve">str. </w:t>
        </w:r>
        <w:r w:rsidRPr="002E689B"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 w:rsidRPr="002E689B">
          <w:rPr>
            <w:sz w:val="22"/>
            <w:szCs w:val="22"/>
          </w:rPr>
          <w:instrText>PAGE    \* MERGEFORMAT</w:instrText>
        </w:r>
        <w:r w:rsidRPr="002E689B"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Pr="002E689B">
          <w:rPr>
            <w:rFonts w:asciiTheme="majorHAnsi" w:eastAsiaTheme="majorEastAsia" w:hAnsiTheme="majorHAnsi" w:cstheme="majorBidi"/>
            <w:sz w:val="22"/>
            <w:szCs w:val="22"/>
          </w:rPr>
          <w:t>2</w:t>
        </w:r>
        <w:r w:rsidRPr="002E689B">
          <w:rPr>
            <w:rFonts w:asciiTheme="majorHAnsi" w:eastAsiaTheme="majorEastAsia" w:hAnsiTheme="majorHAnsi" w:cstheme="majorBidi"/>
            <w:sz w:val="22"/>
            <w:szCs w:val="22"/>
          </w:rPr>
          <w:fldChar w:fldCharType="end"/>
        </w:r>
      </w:p>
      <w:p w14:paraId="3B6D8A30" w14:textId="54E00F70" w:rsidR="00EA779B" w:rsidRDefault="004A06DE" w:rsidP="004A06DE">
        <w:pPr>
          <w:pStyle w:val="Stopka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inorHAnsi" w:hAnsiTheme="minorHAnsi" w:cstheme="minorHAnsi"/>
            <w:noProof/>
            <w:color w:val="474747"/>
            <w:sz w:val="10"/>
            <w:szCs w:val="10"/>
          </w:rPr>
          <w:drawing>
            <wp:inline distT="0" distB="0" distL="0" distR="0" wp14:anchorId="32BD196D" wp14:editId="1B853561">
              <wp:extent cx="4434840" cy="335280"/>
              <wp:effectExtent l="0" t="0" r="0" b="7620"/>
              <wp:docPr id="19079021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3016" b="222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3484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  <w:p w14:paraId="550EDAAB" w14:textId="7AD43E78" w:rsidR="008C1D00" w:rsidRDefault="008C1D00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E607E" w14:textId="77777777" w:rsidR="008C1D00" w:rsidRDefault="00000000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noProof/>
      </w:rPr>
      <w:drawing>
        <wp:inline distT="0" distB="0" distL="0" distR="0" wp14:anchorId="71525C54" wp14:editId="7FACE4BE">
          <wp:extent cx="4434840" cy="335280"/>
          <wp:effectExtent l="0" t="0" r="0" b="0"/>
          <wp:docPr id="8830710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23016" b="2197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BE7F6" w14:textId="77777777" w:rsidR="000158A2" w:rsidRDefault="000158A2">
      <w:r>
        <w:separator/>
      </w:r>
    </w:p>
  </w:footnote>
  <w:footnote w:type="continuationSeparator" w:id="0">
    <w:p w14:paraId="474E1B51" w14:textId="77777777" w:rsidR="000158A2" w:rsidRDefault="00015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C9900" w14:textId="77777777" w:rsidR="008C1D00" w:rsidRDefault="00000000">
    <w:pPr>
      <w:pStyle w:val="Nagwek"/>
    </w:pPr>
    <w:r>
      <w:rPr>
        <w:noProof/>
      </w:rPr>
      <w:drawing>
        <wp:inline distT="0" distB="0" distL="0" distR="0" wp14:anchorId="35CFE1E4" wp14:editId="0319BE26">
          <wp:extent cx="1927860" cy="557530"/>
          <wp:effectExtent l="0" t="0" r="0" b="0"/>
          <wp:docPr id="111918362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677" b="1677"/>
                  <a:stretch>
                    <a:fillRect/>
                  </a:stretch>
                </pic:blipFill>
                <pic:spPr bwMode="auto">
                  <a:xfrm>
                    <a:off x="0" y="0"/>
                    <a:ext cx="1927860" cy="557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7FCA8" w14:textId="77777777" w:rsidR="008C1D00" w:rsidRDefault="00000000">
    <w:pPr>
      <w:pStyle w:val="Nagwek"/>
    </w:pPr>
    <w:r>
      <w:rPr>
        <w:noProof/>
      </w:rPr>
      <w:drawing>
        <wp:inline distT="0" distB="0" distL="0" distR="0" wp14:anchorId="27528825" wp14:editId="243DC8F0">
          <wp:extent cx="1927860" cy="557530"/>
          <wp:effectExtent l="0" t="0" r="0" b="0"/>
          <wp:docPr id="1081021633" name="Obraz 10810216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677" b="1677"/>
                  <a:stretch>
                    <a:fillRect/>
                  </a:stretch>
                </pic:blipFill>
                <pic:spPr bwMode="auto">
                  <a:xfrm>
                    <a:off x="0" y="0"/>
                    <a:ext cx="1927860" cy="557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1D00"/>
    <w:rsid w:val="00014BB6"/>
    <w:rsid w:val="00014D66"/>
    <w:rsid w:val="000158A2"/>
    <w:rsid w:val="0008192B"/>
    <w:rsid w:val="00092AB7"/>
    <w:rsid w:val="00097F1F"/>
    <w:rsid w:val="000B6607"/>
    <w:rsid w:val="001C2FA6"/>
    <w:rsid w:val="00216AC5"/>
    <w:rsid w:val="002228F9"/>
    <w:rsid w:val="00233C1F"/>
    <w:rsid w:val="00254A37"/>
    <w:rsid w:val="00277706"/>
    <w:rsid w:val="002E689B"/>
    <w:rsid w:val="00365887"/>
    <w:rsid w:val="00385ECF"/>
    <w:rsid w:val="0038644D"/>
    <w:rsid w:val="0042344C"/>
    <w:rsid w:val="004A06DE"/>
    <w:rsid w:val="00525DDD"/>
    <w:rsid w:val="005B2D16"/>
    <w:rsid w:val="006A4BEB"/>
    <w:rsid w:val="00700491"/>
    <w:rsid w:val="00776E91"/>
    <w:rsid w:val="007E5552"/>
    <w:rsid w:val="00827634"/>
    <w:rsid w:val="008366F2"/>
    <w:rsid w:val="00855502"/>
    <w:rsid w:val="00862AEE"/>
    <w:rsid w:val="008C1D00"/>
    <w:rsid w:val="008E48D2"/>
    <w:rsid w:val="009F1D6A"/>
    <w:rsid w:val="00A10E21"/>
    <w:rsid w:val="00A11494"/>
    <w:rsid w:val="00A420CB"/>
    <w:rsid w:val="00A5691D"/>
    <w:rsid w:val="00A633AE"/>
    <w:rsid w:val="00AC0C02"/>
    <w:rsid w:val="00AC670B"/>
    <w:rsid w:val="00B10D42"/>
    <w:rsid w:val="00B429CE"/>
    <w:rsid w:val="00BF2FC5"/>
    <w:rsid w:val="00C354BC"/>
    <w:rsid w:val="00C666E6"/>
    <w:rsid w:val="00D2778D"/>
    <w:rsid w:val="00DC0274"/>
    <w:rsid w:val="00E6549B"/>
    <w:rsid w:val="00E95209"/>
    <w:rsid w:val="00EA779B"/>
    <w:rsid w:val="00F02AE6"/>
    <w:rsid w:val="00F2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B3659"/>
  <w15:docId w15:val="{652FFCB2-EAB9-41B7-8CDB-E060E1EF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D0FDB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character" w:customStyle="1" w:styleId="Nagwek1Znak">
    <w:name w:val="Nagłówek 1 Znak"/>
    <w:basedOn w:val="Domylnaczcionkaakapitu"/>
    <w:link w:val="Nagwek1"/>
    <w:qFormat/>
    <w:rsid w:val="00482EA3"/>
    <w:rPr>
      <w:rFonts w:eastAsiaTheme="majorEastAsia" w:cstheme="majorBidi"/>
      <w:b/>
      <w:bCs/>
      <w:sz w:val="26"/>
      <w:szCs w:val="28"/>
    </w:r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E4CE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2E4CEF"/>
    <w:rPr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2E4CEF"/>
    <w:rPr>
      <w:b/>
      <w:bCs/>
      <w:lang w:val="pl-PL" w:eastAsia="pl-PL"/>
    </w:rPr>
  </w:style>
  <w:style w:type="character" w:styleId="Tekstzastpczy">
    <w:name w:val="Placeholder Text"/>
    <w:basedOn w:val="Domylnaczcionkaakapitu"/>
    <w:uiPriority w:val="99"/>
    <w:semiHidden/>
    <w:qFormat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3CB9"/>
  </w:style>
  <w:style w:type="character" w:customStyle="1" w:styleId="Nagwek2Znak">
    <w:name w:val="Nagłówek 2 Znak"/>
    <w:basedOn w:val="Domylnaczcionkaakapitu"/>
    <w:link w:val="Nagwek2"/>
    <w:qFormat/>
    <w:rsid w:val="00482EA3"/>
    <w:rPr>
      <w:rFonts w:eastAsiaTheme="majorEastAsia" w:cstheme="majorBidi"/>
      <w:b/>
      <w:szCs w:val="26"/>
    </w:rPr>
  </w:style>
  <w:style w:type="character" w:customStyle="1" w:styleId="pktZnak">
    <w:name w:val="pkt Znak"/>
    <w:link w:val="pkt"/>
    <w:qFormat/>
    <w:locked/>
    <w:rsid w:val="00542AE7"/>
    <w:rPr>
      <w:rFonts w:ascii="Times New Roman" w:hAnsi="Times New Roman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542AE7"/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C43288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qFormat/>
    <w:rsid w:val="007F45F4"/>
    <w:rPr>
      <w:rFonts w:eastAsia="Calibri" w:cs="Calibri"/>
      <w:sz w:val="22"/>
      <w:szCs w:val="22"/>
    </w:rPr>
  </w:style>
  <w:style w:type="character" w:customStyle="1" w:styleId="TekstpodstawowyZnak1">
    <w:name w:val="Tekst podstawowy Znak1"/>
    <w:basedOn w:val="Domylnaczcionkaakapitu"/>
    <w:semiHidden/>
    <w:qFormat/>
    <w:rsid w:val="007F45F4"/>
  </w:style>
  <w:style w:type="character" w:customStyle="1" w:styleId="IndexLink">
    <w:name w:val="Index Link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link w:val="TekstpodstawowyZnak"/>
    <w:qFormat/>
    <w:rsid w:val="007F45F4"/>
    <w:pPr>
      <w:widowControl w:val="0"/>
      <w:spacing w:line="254" w:lineRule="auto"/>
    </w:pPr>
    <w:rPr>
      <w:rFonts w:eastAsia="Calibri" w:cs="Calibri"/>
      <w:sz w:val="22"/>
      <w:szCs w:val="22"/>
    </w:r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qFormat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qFormat/>
    <w:rsid w:val="0034399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EE312E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qFormat/>
    <w:rsid w:val="002E4CEF"/>
    <w:rPr>
      <w:b/>
      <w:bCs/>
    </w:rPr>
  </w:style>
  <w:style w:type="paragraph" w:styleId="Poprawka">
    <w:name w:val="Revision"/>
    <w:uiPriority w:val="99"/>
    <w:semiHidden/>
    <w:qFormat/>
    <w:rsid w:val="00797BBA"/>
    <w:rPr>
      <w:lang w:eastAsia="pl-PL"/>
    </w:rPr>
  </w:style>
  <w:style w:type="paragraph" w:styleId="NormalnyWeb">
    <w:name w:val="Normal (Web)"/>
    <w:basedOn w:val="Normalny"/>
    <w:uiPriority w:val="99"/>
    <w:semiHidden/>
    <w:unhideWhenUsed/>
    <w:qFormat/>
    <w:rsid w:val="00A27692"/>
  </w:style>
  <w:style w:type="paragraph" w:customStyle="1" w:styleId="Default">
    <w:name w:val="Default"/>
    <w:basedOn w:val="Normalny"/>
    <w:qFormat/>
    <w:rsid w:val="00542AE7"/>
    <w:rPr>
      <w:rFonts w:eastAsia="Calibri"/>
      <w:color w:val="000000" w:themeColor="text1"/>
    </w:rPr>
  </w:style>
  <w:style w:type="paragraph" w:customStyle="1" w:styleId="pkt">
    <w:name w:val="pkt"/>
    <w:basedOn w:val="Normalny"/>
    <w:link w:val="pktZnak"/>
    <w:qFormat/>
    <w:rsid w:val="00542AE7"/>
    <w:pPr>
      <w:spacing w:before="60" w:after="60"/>
      <w:ind w:left="851" w:hanging="295"/>
      <w:jc w:val="both"/>
    </w:pPr>
    <w:rPr>
      <w:szCs w:val="20"/>
    </w:rPr>
  </w:style>
  <w:style w:type="paragraph" w:styleId="Nagwekindeksu">
    <w:name w:val="index heading"/>
    <w:basedOn w:val="Heading"/>
  </w:style>
  <w:style w:type="paragraph" w:styleId="Nagwekspisutreci">
    <w:name w:val="TOC Heading"/>
    <w:basedOn w:val="Nagwek1"/>
    <w:next w:val="Normalny"/>
    <w:uiPriority w:val="39"/>
    <w:unhideWhenUsed/>
    <w:qFormat/>
    <w:rsid w:val="00542AE7"/>
    <w:pPr>
      <w:keepNext w:val="0"/>
      <w:keepLines w:val="0"/>
      <w:pBdr>
        <w:top w:val="thickThinSmallGap" w:sz="24" w:space="1" w:color="000000"/>
        <w:left w:val="thickThinSmallGap" w:sz="24" w:space="4" w:color="000000"/>
        <w:bottom w:val="thinThickSmallGap" w:sz="24" w:space="1" w:color="000000"/>
        <w:right w:val="thinThickSmallGap" w:sz="24" w:space="4" w:color="000000"/>
      </w:pBdr>
      <w:spacing w:before="240" w:line="259" w:lineRule="auto"/>
      <w:jc w:val="center"/>
      <w:outlineLvl w:val="9"/>
    </w:pPr>
    <w:rPr>
      <w:rFonts w:asciiTheme="majorHAnsi" w:eastAsia="Times New Roman" w:hAnsiTheme="majorHAnsi" w:cs="Times New Roman"/>
      <w:color w:val="2E74B5" w:themeColor="accent1" w:themeShade="BF"/>
      <w:sz w:val="32"/>
      <w:szCs w:val="32"/>
      <w:lang w:eastAsia="ko-KR"/>
    </w:rPr>
  </w:style>
  <w:style w:type="paragraph" w:styleId="Spistreci1">
    <w:name w:val="toc 1"/>
    <w:basedOn w:val="Normalny"/>
    <w:next w:val="Normalny"/>
    <w:autoRedefine/>
    <w:uiPriority w:val="39"/>
    <w:unhideWhenUsed/>
    <w:rsid w:val="00542AE7"/>
    <w:pPr>
      <w:tabs>
        <w:tab w:val="right" w:leader="dot" w:pos="9682"/>
      </w:tabs>
      <w:spacing w:after="100"/>
    </w:pPr>
  </w:style>
  <w:style w:type="paragraph" w:customStyle="1" w:styleId="Standard">
    <w:name w:val="Standard"/>
    <w:qFormat/>
    <w:rsid w:val="00C43288"/>
    <w:pPr>
      <w:textAlignment w:val="baseline"/>
    </w:pPr>
    <w:rPr>
      <w:rFonts w:ascii="Liberation Serif" w:eastAsia="NSimSun" w:hAnsi="Liberation Serif" w:cs="Mangal"/>
      <w:kern w:val="2"/>
      <w:lang w:eastAsia="zh-CN" w:bidi="hi-IN"/>
    </w:rPr>
  </w:style>
  <w:style w:type="paragraph" w:styleId="Spistreci2">
    <w:name w:val="toc 2"/>
    <w:basedOn w:val="Normalny"/>
    <w:next w:val="Normalny"/>
    <w:autoRedefine/>
    <w:uiPriority w:val="39"/>
    <w:unhideWhenUsed/>
    <w:rsid w:val="00DD2D24"/>
    <w:pPr>
      <w:spacing w:after="100"/>
      <w:ind w:left="240"/>
    </w:pPr>
  </w:style>
  <w:style w:type="paragraph" w:customStyle="1" w:styleId="FrameContents">
    <w:name w:val="Frame Contents"/>
    <w:basedOn w:val="Normalny"/>
    <w:qFormat/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542AE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740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Warunków Zamówienia - Cyberbezpieczny Wodociąg - Borzytuchom</vt:lpstr>
    </vt:vector>
  </TitlesOfParts>
  <Company>MRR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Warunków Zamówienia - Cyberbezpieczny Wodociąg - Borzytuchom</dc:title>
  <dc:subject>Cyberbezpieczny Wodociąg - Borzytuchom; część nr 3 - audyt końcowy</dc:subject>
  <dc:creator>Soon</dc:creator>
  <cp:keywords>PZP Cyberbezpieczne Wodociągi SZBI ISO/IEC 27001 KRI uKSC IT OT ICS audyt</cp:keywords>
  <dc:description>Zaktualizowano termin realizacji audytu do 21.12.2026 r. oraz wymagania audytowe.</dc:description>
  <cp:lastModifiedBy>Rafał Zblewski</cp:lastModifiedBy>
  <cp:revision>71</cp:revision>
  <cp:lastPrinted>2018-03-26T09:55:00Z</cp:lastPrinted>
  <dcterms:created xsi:type="dcterms:W3CDTF">2026-07-20T10:28:00Z</dcterms:created>
  <dcterms:modified xsi:type="dcterms:W3CDTF">2026-08-19T06:32:00Z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0x0101005B65430942F0914AB051A6B121F05501</vt:lpwstr>
  </property>
  <property fmtid="{D5CDD505-2E9C-101B-9397-08002B2CF9AE}" pid="4" name="MediaServiceImageTags">
    <vt:lpwstr/>
  </property>
  <property fmtid="{D5CDD505-2E9C-101B-9397-08002B2CF9AE}" pid="5" name="Order">
    <vt:r8>155100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_ExtendedDescription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</Properties>
</file>