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D4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noProof/>
          <w:sz w:val="20"/>
          <w:szCs w:val="20"/>
          <w:lang w:eastAsia="pl-PL"/>
        </w:rPr>
        <w:drawing>
          <wp:inline distT="0" distB="0" distL="0" distR="0">
            <wp:extent cx="5972810" cy="462280"/>
            <wp:effectExtent l="19050" t="0" r="889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6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0E2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CE40E2" w:rsidRPr="00DF0F1D" w:rsidRDefault="00CE40E2" w:rsidP="00F70EDF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F0F1D">
        <w:rPr>
          <w:rFonts w:asciiTheme="minorHAnsi" w:hAnsiTheme="minorHAnsi" w:cstheme="minorHAnsi"/>
          <w:b/>
          <w:sz w:val="20"/>
          <w:szCs w:val="20"/>
        </w:rPr>
        <w:t>Załącznik nr 1D - Formularz cenowy wraz ze specyfik</w:t>
      </w:r>
      <w:r w:rsidR="0010100A">
        <w:rPr>
          <w:rFonts w:asciiTheme="minorHAnsi" w:hAnsiTheme="minorHAnsi" w:cstheme="minorHAnsi"/>
          <w:b/>
          <w:sz w:val="20"/>
          <w:szCs w:val="20"/>
        </w:rPr>
        <w:t>acją techniczną dla części nr 4</w:t>
      </w: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p w:rsidR="0088766C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sz w:val="20"/>
          <w:szCs w:val="20"/>
        </w:rPr>
        <w:t>Dostawa pomocy dydaktycznych i wyposażenia, w ramach projektu Edukacja włączająca w kształceniu ogólnym na terenie gminy Ryglice</w:t>
      </w:r>
    </w:p>
    <w:p w:rsidR="00CE40E2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sz w:val="20"/>
          <w:szCs w:val="20"/>
        </w:rPr>
        <w:t xml:space="preserve"> dofinansowanego w ramach programu Fundusze Europejskie dla Małopolski 2021-2027</w:t>
      </w: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p w:rsidR="00CE40E2" w:rsidRPr="00DF0F1D" w:rsidRDefault="00ED520C" w:rsidP="00CE40E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OPIS P</w:t>
      </w:r>
      <w:r w:rsidR="00CE40E2" w:rsidRPr="00DF0F1D">
        <w:rPr>
          <w:rFonts w:asciiTheme="minorHAnsi" w:hAnsiTheme="minorHAnsi" w:cstheme="minorHAnsi"/>
          <w:b/>
          <w:sz w:val="20"/>
          <w:szCs w:val="20"/>
        </w:rPr>
        <w:t>R</w:t>
      </w:r>
      <w:r>
        <w:rPr>
          <w:rFonts w:asciiTheme="minorHAnsi" w:hAnsiTheme="minorHAnsi" w:cstheme="minorHAnsi"/>
          <w:b/>
          <w:sz w:val="20"/>
          <w:szCs w:val="20"/>
        </w:rPr>
        <w:t>Z</w:t>
      </w:r>
      <w:r w:rsidR="00CE40E2" w:rsidRPr="00DF0F1D">
        <w:rPr>
          <w:rFonts w:asciiTheme="minorHAnsi" w:hAnsiTheme="minorHAnsi" w:cstheme="minorHAnsi"/>
          <w:b/>
          <w:sz w:val="20"/>
          <w:szCs w:val="20"/>
        </w:rPr>
        <w:t xml:space="preserve">EDMIOTU ZAMÓWIENIA cz. 4 </w:t>
      </w:r>
      <w:r w:rsidR="007255CB">
        <w:rPr>
          <w:rFonts w:asciiTheme="minorHAnsi" w:hAnsiTheme="minorHAnsi" w:cstheme="minorHAnsi"/>
          <w:b/>
          <w:sz w:val="20"/>
          <w:szCs w:val="20"/>
        </w:rPr>
        <w:t xml:space="preserve"> -</w:t>
      </w:r>
      <w:r w:rsidR="007255CB">
        <w:rPr>
          <w:rFonts w:ascii="Arial" w:hAnsi="Arial" w:cs="Arial"/>
        </w:rPr>
        <w:t xml:space="preserve"> </w:t>
      </w:r>
      <w:r w:rsidR="007255CB" w:rsidRPr="007255CB">
        <w:rPr>
          <w:rFonts w:asciiTheme="minorHAnsi" w:hAnsiTheme="minorHAnsi" w:cstheme="minorHAnsi"/>
          <w:b/>
          <w:sz w:val="20"/>
          <w:szCs w:val="20"/>
        </w:rPr>
        <w:t>Dostawa elementów infrastruktury przeznaczonych do dostosowania szkoły do potrzeb osób z niepełnosprawnościami</w:t>
      </w:r>
    </w:p>
    <w:p w:rsidR="00CE40E2" w:rsidRPr="00DF0F1D" w:rsidRDefault="00CE40E2" w:rsidP="00CE40E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15735" w:type="dxa"/>
        <w:tblInd w:w="-743" w:type="dxa"/>
        <w:tblLayout w:type="fixed"/>
        <w:tblLook w:val="04A0"/>
      </w:tblPr>
      <w:tblGrid>
        <w:gridCol w:w="425"/>
        <w:gridCol w:w="1560"/>
        <w:gridCol w:w="709"/>
        <w:gridCol w:w="5387"/>
        <w:gridCol w:w="4110"/>
        <w:gridCol w:w="851"/>
        <w:gridCol w:w="1276"/>
        <w:gridCol w:w="1417"/>
      </w:tblGrid>
      <w:tr w:rsidR="0093495B" w:rsidRPr="00CE40E2" w:rsidTr="0093495B">
        <w:tc>
          <w:tcPr>
            <w:tcW w:w="425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:rsidR="00CE40E2" w:rsidRPr="00CE40E2" w:rsidRDefault="00DF0F1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CE40E2" w:rsidRPr="00CE40E2">
              <w:rPr>
                <w:rFonts w:asciiTheme="minorHAnsi" w:hAnsiTheme="minorHAnsi" w:cstheme="minorHAnsi"/>
                <w:sz w:val="20"/>
                <w:szCs w:val="20"/>
              </w:rPr>
              <w:t>azwa</w:t>
            </w:r>
          </w:p>
        </w:tc>
        <w:tc>
          <w:tcPr>
            <w:tcW w:w="709" w:type="dxa"/>
            <w:shd w:val="clear" w:color="auto" w:fill="E7E6E6" w:themeFill="background2"/>
          </w:tcPr>
          <w:p w:rsidR="00CE40E2" w:rsidRPr="00CE40E2" w:rsidRDefault="00DF0F1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CE40E2" w:rsidRPr="00CE40E2">
              <w:rPr>
                <w:rFonts w:asciiTheme="minorHAnsi" w:hAnsiTheme="minorHAnsi" w:cstheme="minorHAnsi"/>
                <w:sz w:val="20"/>
                <w:szCs w:val="20"/>
              </w:rPr>
              <w:t>lość</w:t>
            </w:r>
          </w:p>
        </w:tc>
        <w:tc>
          <w:tcPr>
            <w:tcW w:w="5387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Szczegółowy opis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Podać dokładną nazwę i producenta.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Jeśli jest to zestaw - podać skład zestawu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oraz kod producenta lub link do oferowanego produktu.</w:t>
            </w:r>
          </w:p>
        </w:tc>
        <w:tc>
          <w:tcPr>
            <w:tcW w:w="851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 xml:space="preserve">Stawka </w:t>
            </w:r>
            <w:r w:rsidRPr="00DF0F1D">
              <w:rPr>
                <w:rFonts w:asciiTheme="minorHAnsi" w:hAnsiTheme="minorHAnsi" w:cstheme="minorHAnsi"/>
                <w:sz w:val="18"/>
                <w:szCs w:val="18"/>
              </w:rPr>
              <w:t>podatku</w:t>
            </w: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  <w:proofErr w:type="spellEnd"/>
          </w:p>
        </w:tc>
        <w:tc>
          <w:tcPr>
            <w:tcW w:w="1276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Cena jednostkowa brutto</w:t>
            </w:r>
          </w:p>
        </w:tc>
        <w:tc>
          <w:tcPr>
            <w:tcW w:w="1417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Wartość ogółem brutto w PLN</w:t>
            </w:r>
          </w:p>
        </w:tc>
      </w:tr>
      <w:tr w:rsidR="00CE40E2" w:rsidRPr="00CE40E2" w:rsidTr="0093495B">
        <w:tc>
          <w:tcPr>
            <w:tcW w:w="425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87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</w:tr>
      <w:tr w:rsidR="00CE40E2" w:rsidRPr="00CE40E2" w:rsidTr="006A4751">
        <w:trPr>
          <w:trHeight w:val="2492"/>
        </w:trPr>
        <w:tc>
          <w:tcPr>
            <w:tcW w:w="425" w:type="dxa"/>
            <w:vAlign w:val="center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E40E2" w:rsidRDefault="0093495B" w:rsidP="009349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Tabliczki brajlowskie</w:t>
            </w:r>
          </w:p>
          <w:p w:rsid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40E2" w:rsidRPr="00FD0509" w:rsidRDefault="00621781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0509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5387" w:type="dxa"/>
            <w:vAlign w:val="center"/>
          </w:tcPr>
          <w:p w:rsidR="005707EB" w:rsidRPr="00212319" w:rsidRDefault="0093495B" w:rsidP="002217E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Tabliczki informacyjne z alfabetem </w:t>
            </w:r>
            <w:proofErr w:type="spellStart"/>
            <w:r w:rsidRPr="00212319">
              <w:rPr>
                <w:rFonts w:asciiTheme="minorHAnsi" w:hAnsiTheme="minorHAnsi" w:cstheme="minorHAnsi"/>
                <w:sz w:val="20"/>
                <w:szCs w:val="20"/>
              </w:rPr>
              <w:t>Braille’a</w:t>
            </w:r>
            <w:proofErr w:type="spellEnd"/>
            <w:r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 do oznaczen</w:t>
            </w:r>
            <w:r w:rsidR="006A4751" w:rsidRPr="00212319">
              <w:rPr>
                <w:rFonts w:asciiTheme="minorHAnsi" w:hAnsiTheme="minorHAnsi" w:cstheme="minorHAnsi"/>
                <w:sz w:val="20"/>
                <w:szCs w:val="20"/>
              </w:rPr>
              <w:t>ia klas i pomieszczeń szkolnych.</w:t>
            </w:r>
            <w:r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 Przeznaczone do identyfikacji pomieszczeń w szkole przez </w:t>
            </w:r>
            <w:r w:rsidR="006A4751" w:rsidRPr="00212319">
              <w:rPr>
                <w:rFonts w:asciiTheme="minorHAnsi" w:hAnsiTheme="minorHAnsi" w:cstheme="minorHAnsi"/>
                <w:sz w:val="20"/>
                <w:szCs w:val="20"/>
              </w:rPr>
              <w:t>osoby niewidome i słabo widzące.</w:t>
            </w:r>
          </w:p>
          <w:p w:rsidR="006A4751" w:rsidRPr="00212319" w:rsidRDefault="005707EB" w:rsidP="002217E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Tabliczki </w:t>
            </w:r>
            <w:r w:rsidR="006A4751"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montowane za pomocą taśmy dwustronnej (w zestawie), </w:t>
            </w:r>
            <w:r w:rsidRPr="00212319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93495B"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ykonane z trwałego materiału, np. </w:t>
            </w:r>
            <w:r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PMMA, </w:t>
            </w:r>
            <w:r w:rsidR="0093495B"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PCV twarde, akryl, </w:t>
            </w:r>
            <w:proofErr w:type="spellStart"/>
            <w:r w:rsidR="0093495B" w:rsidRPr="00212319">
              <w:rPr>
                <w:rFonts w:asciiTheme="minorHAnsi" w:hAnsiTheme="minorHAnsi" w:cstheme="minorHAnsi"/>
                <w:sz w:val="20"/>
                <w:szCs w:val="20"/>
              </w:rPr>
              <w:t>dibond</w:t>
            </w:r>
            <w:proofErr w:type="spellEnd"/>
            <w:r w:rsidR="0093495B"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 lub równoważnego materiału. </w:t>
            </w:r>
            <w:r w:rsidR="006A4751" w:rsidRPr="0021231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ED520C" w:rsidRPr="00212319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93495B"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ymiary co najmniej 100×200 mm . </w:t>
            </w:r>
            <w:r w:rsidRPr="00212319">
              <w:rPr>
                <w:rFonts w:asciiTheme="minorHAnsi" w:hAnsiTheme="minorHAnsi" w:cstheme="minorHAnsi"/>
                <w:sz w:val="20"/>
                <w:szCs w:val="20"/>
              </w:rPr>
              <w:t>Opisy w</w:t>
            </w:r>
            <w:r w:rsidR="0093495B"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 alfabecie </w:t>
            </w:r>
            <w:proofErr w:type="spellStart"/>
            <w:r w:rsidR="0093495B" w:rsidRPr="00212319">
              <w:rPr>
                <w:rFonts w:asciiTheme="minorHAnsi" w:hAnsiTheme="minorHAnsi" w:cstheme="minorHAnsi"/>
                <w:sz w:val="20"/>
                <w:szCs w:val="20"/>
              </w:rPr>
              <w:t>Braille’a</w:t>
            </w:r>
            <w:proofErr w:type="spellEnd"/>
            <w:r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 w standardzie Marburg Medium</w:t>
            </w:r>
            <w:r w:rsidR="0093495B"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, czytelne dotykowo, zgodne z normą ISO 21542. </w:t>
            </w:r>
            <w:r w:rsidR="006A4751" w:rsidRPr="00212319">
              <w:rPr>
                <w:rFonts w:asciiTheme="minorHAnsi" w:hAnsiTheme="minorHAnsi" w:cstheme="minorHAnsi"/>
                <w:sz w:val="20"/>
                <w:szCs w:val="20"/>
              </w:rPr>
              <w:t>Tabliczki w kolorze szarym</w:t>
            </w:r>
            <w:r w:rsidR="0010100A"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 lub beżowym</w:t>
            </w:r>
            <w:r w:rsidR="0093495B" w:rsidRPr="0021231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93495B" w:rsidRPr="00212319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="0093495B"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dopuszcza się dodatkowe piktogramy lub znaczniki NFC. </w:t>
            </w:r>
            <w:r w:rsidR="006A4751" w:rsidRPr="00212319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Treść tabliczek: </w:t>
            </w:r>
          </w:p>
          <w:p w:rsidR="006A4751" w:rsidRPr="00212319" w:rsidRDefault="006A4751" w:rsidP="006A4751">
            <w:pPr>
              <w:pStyle w:val="Akapitzlist"/>
              <w:numPr>
                <w:ilvl w:val="0"/>
                <w:numId w:val="18"/>
              </w:numPr>
              <w:spacing w:line="160" w:lineRule="exact"/>
              <w:ind w:left="459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212319">
              <w:rPr>
                <w:rFonts w:asciiTheme="minorHAnsi" w:hAnsiTheme="minorHAnsi" w:cstheme="minorHAnsi"/>
                <w:sz w:val="20"/>
                <w:szCs w:val="20"/>
              </w:rPr>
              <w:t>Toaleta</w:t>
            </w:r>
          </w:p>
          <w:p w:rsidR="006A4751" w:rsidRPr="00212319" w:rsidRDefault="00B66FCB" w:rsidP="006A4751">
            <w:pPr>
              <w:pStyle w:val="Akapitzlist"/>
              <w:numPr>
                <w:ilvl w:val="0"/>
                <w:numId w:val="18"/>
              </w:numPr>
              <w:spacing w:line="160" w:lineRule="exact"/>
              <w:ind w:left="459" w:hanging="42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="006A4751" w:rsidRPr="00212319">
              <w:rPr>
                <w:rFonts w:asciiTheme="minorHAnsi" w:hAnsiTheme="minorHAnsi" w:cstheme="minorHAnsi"/>
                <w:sz w:val="20"/>
                <w:szCs w:val="20"/>
              </w:rPr>
              <w:t>Sala zajęciowa</w:t>
            </w:r>
          </w:p>
          <w:p w:rsidR="006A4751" w:rsidRPr="00212319" w:rsidRDefault="00B66FCB" w:rsidP="006A4751">
            <w:pPr>
              <w:pStyle w:val="Akapitzlist"/>
              <w:numPr>
                <w:ilvl w:val="0"/>
                <w:numId w:val="18"/>
              </w:numPr>
              <w:spacing w:line="160" w:lineRule="exact"/>
              <w:ind w:left="459" w:hanging="42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r w:rsidR="006A4751" w:rsidRPr="00212319">
              <w:rPr>
                <w:rFonts w:asciiTheme="minorHAnsi" w:hAnsiTheme="minorHAnsi" w:cstheme="minorHAnsi"/>
                <w:sz w:val="20"/>
                <w:szCs w:val="20"/>
              </w:rPr>
              <w:t>Sala zajęciowa</w:t>
            </w:r>
          </w:p>
          <w:p w:rsidR="006A4751" w:rsidRPr="00212319" w:rsidRDefault="006A4751" w:rsidP="006A4751">
            <w:pPr>
              <w:pStyle w:val="Akapitzlist"/>
              <w:numPr>
                <w:ilvl w:val="0"/>
                <w:numId w:val="18"/>
              </w:numPr>
              <w:spacing w:line="160" w:lineRule="exact"/>
              <w:ind w:left="459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212319">
              <w:rPr>
                <w:rFonts w:asciiTheme="minorHAnsi" w:hAnsiTheme="minorHAnsi" w:cstheme="minorHAnsi"/>
                <w:sz w:val="20"/>
                <w:szCs w:val="20"/>
              </w:rPr>
              <w:t>Szatnia</w:t>
            </w:r>
          </w:p>
          <w:p w:rsidR="006A4751" w:rsidRPr="00212319" w:rsidRDefault="00B66FCB" w:rsidP="006A4751">
            <w:pPr>
              <w:pStyle w:val="Akapitzlist"/>
              <w:numPr>
                <w:ilvl w:val="0"/>
                <w:numId w:val="18"/>
              </w:numPr>
              <w:spacing w:line="160" w:lineRule="exact"/>
              <w:ind w:left="459" w:hanging="42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9 </w:t>
            </w:r>
            <w:r w:rsidR="006A4751" w:rsidRPr="00212319">
              <w:rPr>
                <w:rFonts w:asciiTheme="minorHAnsi" w:hAnsiTheme="minorHAnsi" w:cstheme="minorHAnsi"/>
                <w:sz w:val="20"/>
                <w:szCs w:val="20"/>
              </w:rPr>
              <w:t>Gabinet terapeutyczny</w:t>
            </w:r>
          </w:p>
          <w:p w:rsidR="006A4751" w:rsidRPr="00212319" w:rsidRDefault="006A4751" w:rsidP="006A4751">
            <w:pPr>
              <w:pStyle w:val="Akapitzlist"/>
              <w:numPr>
                <w:ilvl w:val="0"/>
                <w:numId w:val="18"/>
              </w:numPr>
              <w:spacing w:line="160" w:lineRule="exact"/>
              <w:ind w:left="459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212319">
              <w:rPr>
                <w:rFonts w:asciiTheme="minorHAnsi" w:hAnsiTheme="minorHAnsi" w:cstheme="minorHAnsi"/>
                <w:sz w:val="20"/>
                <w:szCs w:val="20"/>
              </w:rPr>
              <w:t xml:space="preserve">10 Gabinet </w:t>
            </w:r>
            <w:r w:rsidR="00B66FCB">
              <w:rPr>
                <w:rFonts w:asciiTheme="minorHAnsi" w:hAnsiTheme="minorHAnsi" w:cstheme="minorHAnsi"/>
                <w:sz w:val="20"/>
                <w:szCs w:val="20"/>
              </w:rPr>
              <w:t xml:space="preserve">profilaktyki zdrowotnej </w:t>
            </w:r>
          </w:p>
          <w:p w:rsidR="006A4751" w:rsidRPr="00621781" w:rsidRDefault="006A4751" w:rsidP="00621781">
            <w:pPr>
              <w:pStyle w:val="Akapitzlist"/>
              <w:numPr>
                <w:ilvl w:val="0"/>
                <w:numId w:val="18"/>
              </w:numPr>
              <w:spacing w:line="160" w:lineRule="exact"/>
              <w:ind w:left="459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212319">
              <w:rPr>
                <w:rFonts w:asciiTheme="minorHAnsi" w:hAnsiTheme="minorHAnsi" w:cstheme="minorHAnsi"/>
                <w:sz w:val="20"/>
                <w:szCs w:val="20"/>
              </w:rPr>
              <w:t>11 Sekretariat, Wicedyrektor</w:t>
            </w:r>
          </w:p>
        </w:tc>
        <w:tc>
          <w:tcPr>
            <w:tcW w:w="4110" w:type="dxa"/>
          </w:tcPr>
          <w:p w:rsidR="00CE40E2" w:rsidRPr="00CE40E2" w:rsidRDefault="00035ED3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5ED3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CE40E2" w:rsidRPr="00CE40E2" w:rsidRDefault="00CE40E2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40E2" w:rsidRPr="00CE40E2" w:rsidRDefault="00CE40E2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40E2" w:rsidRPr="00CE40E2" w:rsidRDefault="00CE40E2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40E2" w:rsidRPr="00CE40E2" w:rsidTr="00035ED3">
        <w:tc>
          <w:tcPr>
            <w:tcW w:w="425" w:type="dxa"/>
            <w:vAlign w:val="center"/>
          </w:tcPr>
          <w:p w:rsidR="00CE40E2" w:rsidRPr="00CE40E2" w:rsidRDefault="0093495B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CE40E2" w:rsidRPr="00CE40E2" w:rsidRDefault="0093495B" w:rsidP="009349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3495B">
              <w:rPr>
                <w:rFonts w:asciiTheme="minorHAnsi" w:hAnsiTheme="minorHAnsi" w:cstheme="minorHAnsi"/>
                <w:sz w:val="20"/>
                <w:szCs w:val="20"/>
              </w:rPr>
              <w:t xml:space="preserve">Taśma </w:t>
            </w:r>
            <w:proofErr w:type="spellStart"/>
            <w:r w:rsidRPr="0093495B">
              <w:rPr>
                <w:rFonts w:asciiTheme="minorHAnsi" w:hAnsiTheme="minorHAnsi" w:cstheme="minorHAnsi"/>
                <w:sz w:val="20"/>
                <w:szCs w:val="20"/>
              </w:rPr>
              <w:t>oznaczeniowa</w:t>
            </w:r>
            <w:proofErr w:type="spellEnd"/>
            <w:r w:rsidRPr="0093495B">
              <w:rPr>
                <w:rFonts w:asciiTheme="minorHAnsi" w:hAnsiTheme="minorHAnsi" w:cstheme="minorHAnsi"/>
                <w:sz w:val="20"/>
                <w:szCs w:val="20"/>
              </w:rPr>
              <w:t>, czarno-żółta, rolka</w:t>
            </w:r>
          </w:p>
        </w:tc>
        <w:tc>
          <w:tcPr>
            <w:tcW w:w="709" w:type="dxa"/>
            <w:vAlign w:val="center"/>
          </w:tcPr>
          <w:p w:rsidR="00CE40E2" w:rsidRPr="00324BEF" w:rsidRDefault="00324BEF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BE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87" w:type="dxa"/>
            <w:vAlign w:val="center"/>
          </w:tcPr>
          <w:p w:rsidR="0093495B" w:rsidRPr="0093495B" w:rsidRDefault="0093495B" w:rsidP="009349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3495B">
              <w:rPr>
                <w:rFonts w:asciiTheme="minorHAnsi" w:hAnsiTheme="minorHAnsi" w:cstheme="minorHAnsi"/>
                <w:sz w:val="20"/>
                <w:szCs w:val="20"/>
              </w:rPr>
              <w:t>Taśma ostrzegawcza żółto-czarna. Przeznaczona do oznaczania stref niebezpiecznych, granic stanowisk pracy, krawędzi, przeszkód i ciągów komunikacyjnych.</w:t>
            </w:r>
          </w:p>
          <w:p w:rsidR="0093495B" w:rsidRPr="0093495B" w:rsidRDefault="0093495B" w:rsidP="009349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3495B">
              <w:rPr>
                <w:rFonts w:asciiTheme="minorHAnsi" w:hAnsiTheme="minorHAnsi" w:cstheme="minorHAnsi"/>
                <w:sz w:val="20"/>
                <w:szCs w:val="20"/>
              </w:rPr>
              <w:t>Wykonana z wytrzymałego tworzywa PVC z warstwą klejącą o wysokiej przyczepności. Odporna na ścieranie, wilgoć i działanie środków czyszczących. Kolor: naprzemiennie żółto-czarny, zgodny z normą bezpieczeństwa oznaczeń BHP.</w:t>
            </w:r>
          </w:p>
          <w:p w:rsidR="00CE40E2" w:rsidRPr="00CE40E2" w:rsidRDefault="0093495B" w:rsidP="00324B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3495B">
              <w:rPr>
                <w:rFonts w:asciiTheme="minorHAnsi" w:hAnsiTheme="minorHAnsi" w:cstheme="minorHAnsi"/>
                <w:sz w:val="20"/>
                <w:szCs w:val="20"/>
              </w:rPr>
              <w:t xml:space="preserve">Szerokość taśmy </w:t>
            </w:r>
            <w:r w:rsidR="00324BEF" w:rsidRPr="00324BEF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324B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3495B">
              <w:rPr>
                <w:rFonts w:asciiTheme="minorHAnsi" w:hAnsiTheme="minorHAnsi" w:cstheme="minorHAnsi"/>
                <w:sz w:val="20"/>
                <w:szCs w:val="20"/>
              </w:rPr>
              <w:t>cm ± 1 cm, długość rolki minimum 33 m</w:t>
            </w:r>
          </w:p>
        </w:tc>
        <w:tc>
          <w:tcPr>
            <w:tcW w:w="4110" w:type="dxa"/>
          </w:tcPr>
          <w:p w:rsidR="00CE40E2" w:rsidRPr="00CE40E2" w:rsidRDefault="00660089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CE40E2" w:rsidRPr="00CE40E2" w:rsidRDefault="00CE40E2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40E2" w:rsidRPr="00CE40E2" w:rsidRDefault="00CE40E2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40E2" w:rsidRPr="00CE40E2" w:rsidRDefault="00CE40E2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40E2" w:rsidRPr="00CE40E2" w:rsidTr="00035ED3">
        <w:tc>
          <w:tcPr>
            <w:tcW w:w="425" w:type="dxa"/>
            <w:vAlign w:val="center"/>
          </w:tcPr>
          <w:p w:rsidR="00CE40E2" w:rsidRPr="00CE40E2" w:rsidRDefault="0093495B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1560" w:type="dxa"/>
            <w:vAlign w:val="center"/>
          </w:tcPr>
          <w:p w:rsidR="00CE40E2" w:rsidRPr="00CE40E2" w:rsidRDefault="0093495B" w:rsidP="009D76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495B">
              <w:rPr>
                <w:rFonts w:asciiTheme="minorHAnsi" w:hAnsiTheme="minorHAnsi" w:cstheme="minorHAnsi"/>
                <w:sz w:val="20"/>
                <w:szCs w:val="20"/>
              </w:rPr>
              <w:t>Zestaw nawigacyjny dla osób niewidomych</w:t>
            </w:r>
          </w:p>
        </w:tc>
        <w:tc>
          <w:tcPr>
            <w:tcW w:w="709" w:type="dxa"/>
            <w:vAlign w:val="center"/>
          </w:tcPr>
          <w:p w:rsidR="00CE40E2" w:rsidRPr="00CE40E2" w:rsidRDefault="0002157B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02157B" w:rsidRPr="0002157B" w:rsidRDefault="00BC79BC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rFonts w:cstheme="minorHAnsi"/>
                <w:sz w:val="20"/>
                <w:szCs w:val="20"/>
              </w:rPr>
              <w:t xml:space="preserve"> </w:t>
            </w:r>
            <w:r w:rsidR="0002157B" w:rsidRPr="0002157B">
              <w:rPr>
                <w:rFonts w:eastAsia="Times New Roman"/>
                <w:sz w:val="20"/>
                <w:szCs w:val="20"/>
              </w:rPr>
              <w:t xml:space="preserve">System wspomagający orientację przestrzenną osób niewidomych i </w:t>
            </w:r>
            <w:proofErr w:type="spellStart"/>
            <w:r w:rsidR="0002157B" w:rsidRPr="0002157B">
              <w:rPr>
                <w:rFonts w:eastAsia="Times New Roman"/>
                <w:sz w:val="20"/>
                <w:szCs w:val="20"/>
              </w:rPr>
              <w:t>słabowidzących</w:t>
            </w:r>
            <w:proofErr w:type="spellEnd"/>
            <w:r w:rsidR="0002157B" w:rsidRPr="0002157B">
              <w:rPr>
                <w:rFonts w:eastAsia="Times New Roman"/>
                <w:sz w:val="20"/>
                <w:szCs w:val="20"/>
              </w:rPr>
              <w:t xml:space="preserve"> w budynku szkoły wraz z aplikacją mobilną lub rozwiązaniem równoważnym. System ma umożliwiać użytkownikom identyfikację lokalizacji w budynku oraz odbiór komunikatów głosowych dotyczących orientacji przestrzennej i punktów charakterystycznych.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rFonts w:eastAsia="Times New Roman"/>
                <w:sz w:val="20"/>
                <w:szCs w:val="20"/>
              </w:rPr>
              <w:t>System musi zapewniać co najmniej: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wspomaganie orientacji przestrzennej użytkowników w budynku,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identyfikację lokalizacji użytkownika w obszarze działania systemu,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przekazywanie komunikatów głosowych w języku polskim,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możliwość automatycznego oraz ręcznego wyzwalania komunikatów,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współpracę wszystkich elementów systemu w czasie rzeczywistym lub z opóźnieniem niepowodującym utraty funkcjonalności,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możliwość definiowania i wskazywania punktów orientacyjnych w budynku,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możliwość aktualizacji oprogramowania systemu.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b/>
                <w:bCs/>
                <w:sz w:val="20"/>
                <w:szCs w:val="20"/>
              </w:rPr>
            </w:pPr>
            <w:r w:rsidRPr="0002157B">
              <w:rPr>
                <w:bCs/>
                <w:sz w:val="20"/>
                <w:szCs w:val="20"/>
              </w:rPr>
              <w:br/>
            </w:r>
            <w:r w:rsidRPr="0002157B">
              <w:rPr>
                <w:rFonts w:eastAsia="Times New Roman"/>
                <w:b/>
                <w:bCs/>
                <w:sz w:val="20"/>
                <w:szCs w:val="20"/>
              </w:rPr>
              <w:t xml:space="preserve">Urządzenia lokalizacyjne / </w:t>
            </w:r>
            <w:proofErr w:type="spellStart"/>
            <w:r w:rsidRPr="0002157B">
              <w:rPr>
                <w:rFonts w:eastAsia="Times New Roman"/>
                <w:b/>
                <w:bCs/>
                <w:sz w:val="20"/>
                <w:szCs w:val="20"/>
              </w:rPr>
              <w:t>mikronawigacyjne</w:t>
            </w:r>
            <w:proofErr w:type="spellEnd"/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rFonts w:eastAsia="Times New Roman"/>
                <w:sz w:val="20"/>
                <w:szCs w:val="20"/>
              </w:rPr>
              <w:t xml:space="preserve">System musi obejmować rozmieszczone w budynku urządzenia umożliwiające realizację funkcji nawigacyjnych (np. </w:t>
            </w:r>
            <w:proofErr w:type="spellStart"/>
            <w:r w:rsidRPr="0002157B">
              <w:rPr>
                <w:rFonts w:eastAsia="Times New Roman"/>
                <w:sz w:val="20"/>
                <w:szCs w:val="20"/>
              </w:rPr>
              <w:t>beaconów</w:t>
            </w:r>
            <w:proofErr w:type="spellEnd"/>
            <w:r w:rsidRPr="0002157B">
              <w:rPr>
                <w:rFonts w:eastAsia="Times New Roman"/>
                <w:sz w:val="20"/>
                <w:szCs w:val="20"/>
              </w:rPr>
              <w:t xml:space="preserve"> lub urządzeń równoważnych), które łącznie spełniają następujące wymagania: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komunikacja bezprzewodowa w technologii BLE, UWB, </w:t>
            </w:r>
            <w:proofErr w:type="spellStart"/>
            <w:r w:rsidRPr="0002157B">
              <w:rPr>
                <w:rFonts w:eastAsia="Times New Roman"/>
                <w:sz w:val="20"/>
                <w:szCs w:val="20"/>
              </w:rPr>
              <w:t>Wi-Fi</w:t>
            </w:r>
            <w:proofErr w:type="spellEnd"/>
            <w:r w:rsidRPr="0002157B">
              <w:rPr>
                <w:rFonts w:eastAsia="Times New Roman"/>
                <w:sz w:val="20"/>
                <w:szCs w:val="20"/>
              </w:rPr>
              <w:t xml:space="preserve"> RTT lub równoważnej,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możliwość jednoznacznej identyfikacji urządzenia przez system,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zasięg działania umożliwiający wykrycie urządzenia w warunkach wewnętrznych w promieniu co najmniej 20 m,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możliwość przypisania treści informacyjnych do lokalizacji,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współpraca z aplikacją mobilną lub systemem centralnym,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możliwość prezentacji użytkownikowi informacji w formie komunikatów głosowych lub równoważnych.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rFonts w:eastAsia="Times New Roman"/>
                <w:sz w:val="20"/>
                <w:szCs w:val="20"/>
              </w:rPr>
              <w:t>Liczba urządzeń powinna być dostosowana do zapewnienia pokrycia nawigacyjnego budynku, przy czym Zamawiający przewiduje instalację minimum 4 punktów lokalizacyjnych.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b/>
                <w:bCs/>
                <w:sz w:val="20"/>
                <w:szCs w:val="20"/>
              </w:rPr>
            </w:pPr>
            <w:r w:rsidRPr="0002157B">
              <w:rPr>
                <w:bCs/>
                <w:sz w:val="20"/>
                <w:szCs w:val="20"/>
              </w:rPr>
              <w:br/>
            </w:r>
            <w:r w:rsidRPr="0002157B">
              <w:rPr>
                <w:rFonts w:eastAsia="Times New Roman"/>
                <w:b/>
                <w:bCs/>
                <w:sz w:val="20"/>
                <w:szCs w:val="20"/>
              </w:rPr>
              <w:t>Urządzenie emitujące sygnał dźwiękowy (punkt orientacyjny)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rFonts w:eastAsia="Times New Roman"/>
                <w:sz w:val="20"/>
                <w:szCs w:val="20"/>
              </w:rPr>
              <w:t>System musi obejmować co najmniej jedno urządzenie pełniące funkcję punktu orientacyjnego, które: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lastRenderedPageBreak/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umożliwia emisję sygnału dźwiękowego,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umożliwia identyfikację przez użytkownika na podstawie sygnału akustycznego,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umożliwia aktywację sygnału automatycznie lub manualnie,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może pełnić funkcję stałego punktu orientacyjnego w budynku (np. wejście, recepcja),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jest przystosowane do montażu w warunkach wewnętrznych.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b/>
                <w:bCs/>
                <w:sz w:val="20"/>
                <w:szCs w:val="20"/>
              </w:rPr>
            </w:pPr>
            <w:r w:rsidRPr="0002157B">
              <w:rPr>
                <w:bCs/>
                <w:sz w:val="20"/>
                <w:szCs w:val="20"/>
              </w:rPr>
              <w:br/>
            </w:r>
            <w:r w:rsidRPr="0002157B">
              <w:rPr>
                <w:rFonts w:eastAsia="Times New Roman"/>
                <w:b/>
                <w:bCs/>
                <w:sz w:val="20"/>
                <w:szCs w:val="20"/>
              </w:rPr>
              <w:t>Urządzenie centralne (jeśli wymagane przez oferowane rozwiązanie)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rFonts w:eastAsia="Times New Roman"/>
                <w:sz w:val="20"/>
                <w:szCs w:val="20"/>
              </w:rPr>
              <w:t>Jeżeli oferowane rozwiązanie wymaga zastosowania urządzenia centralnego, musi ono zapewniać co najmniej: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współpracę ze wszystkimi elementami systemu,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komunikację z użytkownikami w języku polskim,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możliwość emisji komunikatów głosowych,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komunikację bezprzewodową z elementami systemu (np. BLE lub równoważną),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zasilanie akumulatorowe,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możliwość ładowania z sieci 230 V,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możliwość aktualizacji oprogramowania,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stabilne działanie w warunkach użytkowych budynku. </w:t>
            </w:r>
            <w:r w:rsidRPr="0002157B">
              <w:rPr>
                <w:sz w:val="20"/>
                <w:szCs w:val="20"/>
              </w:rPr>
              <w:br/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b/>
                <w:bCs/>
                <w:sz w:val="20"/>
                <w:szCs w:val="20"/>
              </w:rPr>
            </w:pPr>
            <w:r w:rsidRPr="0002157B">
              <w:rPr>
                <w:rFonts w:eastAsia="Times New Roman"/>
                <w:b/>
                <w:bCs/>
                <w:sz w:val="20"/>
                <w:szCs w:val="20"/>
              </w:rPr>
              <w:t>Aplikacja mobilna lub rozwiązanie równoważne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rFonts w:eastAsia="Times New Roman"/>
                <w:sz w:val="20"/>
                <w:szCs w:val="20"/>
              </w:rPr>
              <w:t xml:space="preserve">System musi współpracować z aplikacją mobilną działającą na systemie Android i/lub </w:t>
            </w:r>
            <w:proofErr w:type="spellStart"/>
            <w:r w:rsidRPr="0002157B">
              <w:rPr>
                <w:rFonts w:eastAsia="Times New Roman"/>
                <w:sz w:val="20"/>
                <w:szCs w:val="20"/>
              </w:rPr>
              <w:t>iOS</w:t>
            </w:r>
            <w:proofErr w:type="spellEnd"/>
            <w:r w:rsidRPr="0002157B">
              <w:rPr>
                <w:rFonts w:eastAsia="Times New Roman"/>
                <w:sz w:val="20"/>
                <w:szCs w:val="20"/>
              </w:rPr>
              <w:t xml:space="preserve"> lub rozwiązaniem równoważnym, zapewniającym co najmniej: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odbiór komunikatów głosowych,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obsługę informacji lokalizacyjnych,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komunikację z elementami systemu,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prezentację informacji użytkownikowi w formie dostępnej dla osób niewidomych i </w:t>
            </w:r>
            <w:proofErr w:type="spellStart"/>
            <w:r w:rsidRPr="0002157B">
              <w:rPr>
                <w:rFonts w:eastAsia="Times New Roman"/>
                <w:sz w:val="20"/>
                <w:szCs w:val="20"/>
              </w:rPr>
              <w:t>słabowidzących</w:t>
            </w:r>
            <w:proofErr w:type="spellEnd"/>
            <w:r w:rsidRPr="0002157B">
              <w:rPr>
                <w:rFonts w:eastAsia="Times New Roman"/>
                <w:sz w:val="20"/>
                <w:szCs w:val="20"/>
              </w:rPr>
              <w:t xml:space="preserve">. </w:t>
            </w:r>
          </w:p>
          <w:p w:rsidR="0002157B" w:rsidRPr="0002157B" w:rsidRDefault="0002157B" w:rsidP="0002157B">
            <w:pPr>
              <w:pStyle w:val="Bezodstpw"/>
              <w:rPr>
                <w:sz w:val="20"/>
                <w:szCs w:val="20"/>
              </w:rPr>
            </w:pPr>
            <w:r w:rsidRPr="0002157B">
              <w:rPr>
                <w:rFonts w:eastAsia="Times New Roman"/>
                <w:sz w:val="20"/>
                <w:szCs w:val="20"/>
              </w:rPr>
              <w:t>Dopuszcza się rozwiązania równoważne, o ile zapewniają wszystkie wymagane funkcjonalności użytkowe systemu.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b/>
                <w:bCs/>
                <w:sz w:val="20"/>
                <w:szCs w:val="20"/>
              </w:rPr>
            </w:pPr>
            <w:r w:rsidRPr="0002157B">
              <w:rPr>
                <w:rFonts w:eastAsia="Times New Roman"/>
                <w:b/>
                <w:bCs/>
                <w:sz w:val="20"/>
                <w:szCs w:val="20"/>
              </w:rPr>
              <w:t>Wymagania wdrożeniowe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rFonts w:eastAsia="Times New Roman"/>
                <w:sz w:val="20"/>
                <w:szCs w:val="20"/>
              </w:rPr>
              <w:t>W ramach realizacji zamówienia Wykonawca zobowiązany jest do: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dostawy wszystkich elementów systemu,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montażu urządzeń w lokalizacjach uzgodnionych z Zamawiającym,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konfiguracji i uruchomienia systemu,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przeprowadzenia testów działania systemu,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przekazania instrukcji użytkowania w języku polskim,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lastRenderedPageBreak/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przeprowadzenia szkolenia personelu Zamawiającego. </w:t>
            </w:r>
          </w:p>
          <w:p w:rsidR="0002157B" w:rsidRPr="0002157B" w:rsidRDefault="0002157B" w:rsidP="0002157B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b/>
                <w:bCs/>
                <w:sz w:val="20"/>
                <w:szCs w:val="20"/>
              </w:rPr>
            </w:pPr>
            <w:r w:rsidRPr="0002157B">
              <w:rPr>
                <w:rFonts w:eastAsia="Times New Roman"/>
                <w:b/>
                <w:bCs/>
                <w:sz w:val="20"/>
                <w:szCs w:val="20"/>
              </w:rPr>
              <w:t>Równoważność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rFonts w:eastAsia="Times New Roman"/>
                <w:sz w:val="20"/>
                <w:szCs w:val="20"/>
              </w:rPr>
              <w:t>Za rozwiązanie równoważne uznaje się system, który niezależnie od zastosowanej technologii zapewnia co najmniej: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identyfikację lokalizacji użytkownika w budynku,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możliwość przypisania punktów orientacyjnych,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przekazywanie komunikatów głosowych,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współpracę elementów systemu w czasie rzeczywistym lub z akceptowalnym opóźnieniem, </w:t>
            </w:r>
          </w:p>
          <w:p w:rsidR="0002157B" w:rsidRPr="0002157B" w:rsidRDefault="0002157B" w:rsidP="0002157B">
            <w:pPr>
              <w:pStyle w:val="Bezodstpw"/>
              <w:rPr>
                <w:rFonts w:eastAsia="Times New Roman"/>
                <w:sz w:val="20"/>
                <w:szCs w:val="20"/>
              </w:rPr>
            </w:pPr>
            <w:r w:rsidRPr="0002157B">
              <w:rPr>
                <w:sz w:val="20"/>
                <w:szCs w:val="20"/>
              </w:rPr>
              <w:t xml:space="preserve">- </w:t>
            </w:r>
            <w:r w:rsidRPr="0002157B">
              <w:rPr>
                <w:rFonts w:eastAsia="Times New Roman"/>
                <w:sz w:val="20"/>
                <w:szCs w:val="20"/>
              </w:rPr>
              <w:t xml:space="preserve">dostępność dla osób niewidomych i </w:t>
            </w:r>
            <w:proofErr w:type="spellStart"/>
            <w:r w:rsidRPr="0002157B">
              <w:rPr>
                <w:rFonts w:eastAsia="Times New Roman"/>
                <w:sz w:val="20"/>
                <w:szCs w:val="20"/>
              </w:rPr>
              <w:t>słabowidzących</w:t>
            </w:r>
            <w:proofErr w:type="spellEnd"/>
            <w:r w:rsidRPr="0002157B">
              <w:rPr>
                <w:rFonts w:eastAsia="Times New Roman"/>
                <w:sz w:val="20"/>
                <w:szCs w:val="20"/>
              </w:rPr>
              <w:t>.</w:t>
            </w:r>
          </w:p>
          <w:p w:rsidR="00CE40E2" w:rsidRPr="00CE40E2" w:rsidRDefault="00CE40E2" w:rsidP="00CA255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0" w:type="dxa"/>
          </w:tcPr>
          <w:p w:rsidR="00CE40E2" w:rsidRPr="00CE40E2" w:rsidRDefault="00660089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Podać dane, jak w nagłówku kolumny:</w:t>
            </w:r>
          </w:p>
        </w:tc>
        <w:tc>
          <w:tcPr>
            <w:tcW w:w="851" w:type="dxa"/>
          </w:tcPr>
          <w:p w:rsidR="00CE40E2" w:rsidRPr="00CE40E2" w:rsidRDefault="00CE40E2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40E2" w:rsidRPr="00CE40E2" w:rsidRDefault="00CE40E2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40E2" w:rsidRPr="00CE40E2" w:rsidRDefault="00CE40E2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3690" w:rsidRPr="00CE40E2" w:rsidTr="00035ED3">
        <w:tc>
          <w:tcPr>
            <w:tcW w:w="425" w:type="dxa"/>
            <w:vAlign w:val="center"/>
          </w:tcPr>
          <w:p w:rsidR="00743690" w:rsidRDefault="00E6183F" w:rsidP="007436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1560" w:type="dxa"/>
            <w:vAlign w:val="center"/>
          </w:tcPr>
          <w:p w:rsidR="00743690" w:rsidRPr="0002157B" w:rsidRDefault="00743690" w:rsidP="007436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43690" w:rsidRPr="0002157B" w:rsidRDefault="00743690" w:rsidP="007436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43690" w:rsidRPr="0002157B" w:rsidRDefault="00743690" w:rsidP="007436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157B">
              <w:rPr>
                <w:rFonts w:asciiTheme="minorHAnsi" w:hAnsiTheme="minorHAnsi" w:cstheme="minorHAnsi"/>
                <w:sz w:val="20"/>
                <w:szCs w:val="20"/>
              </w:rPr>
              <w:t>System wzywania pomocy</w:t>
            </w:r>
            <w:r w:rsidR="000C01AF" w:rsidRPr="0002157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743690" w:rsidRPr="0002157B" w:rsidRDefault="00743690" w:rsidP="00E6183F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3690" w:rsidRPr="0002157B" w:rsidRDefault="0002157B" w:rsidP="007436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157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E6183F" w:rsidRPr="00E6183F" w:rsidRDefault="00E6183F" w:rsidP="00E6183F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E6183F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System wzywania pomocy - bezprzewodowy systemu wzywania pomocy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umożliwiający zgłoszenie obecności osoby wymagającej pomocy, przekazanie sygnału alarmowego do odbiornika wewnętrznego oraz zapewnienie jednoznacznej i natychmiastowej informacji dla personelu o konieczności udzielenia wsparcia. 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  <w:t>System składa się z: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  <w:t xml:space="preserve">1. </w:t>
            </w:r>
            <w:r w:rsidRPr="00E6183F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Urządzenia przywoławczego (nadajnika) – 1 </w:t>
            </w:r>
            <w:proofErr w:type="spellStart"/>
            <w:r w:rsidRPr="00E6183F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szt</w:t>
            </w:r>
            <w:proofErr w:type="spellEnd"/>
            <w:r w:rsidRPr="00E6183F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br/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Urządzenie musi umożliwiać ręczne wywołanie sygnału alarmowego (np. przycisk lub mechanizm pociągowy), bezprzewodową transmisję sygnału do odbiornika, pracę z zasilaniem bateryjnym. 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  <w:t>Wymagania minimalne: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  <w:t>- s</w:t>
            </w:r>
            <w:r w:rsidRPr="00E6183F">
              <w:rPr>
                <w:rFonts w:asciiTheme="minorHAnsi" w:hAnsiTheme="minorHAnsi" w:cstheme="minorHAnsi"/>
                <w:sz w:val="20"/>
                <w:szCs w:val="20"/>
              </w:rPr>
              <w:t>kuteczny zasięg działania pomiędzy nadajnikiem a odbiornikiem: minimum 30 m wewnątrz budynku (przy typowych przeszkodach budowlanych) oraz minimum 70 m w przestrzeni otwartej przy bezpośredniej widoczności urządzeń.</w:t>
            </w:r>
            <w:r w:rsidRPr="00E6183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- odporność temperaturowa w zakresie co najmniej od -20°C do +55°C, 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</w:r>
            <w:r w:rsidRPr="00E6183F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br/>
              <w:t xml:space="preserve">2. Odbiornika sygnału (wewnętrznego) – 1 </w:t>
            </w:r>
            <w:proofErr w:type="spellStart"/>
            <w:r w:rsidRPr="00E6183F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szt</w:t>
            </w:r>
            <w:proofErr w:type="spellEnd"/>
            <w:r w:rsidRPr="00E6183F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br/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Urządzenie musi umożliwiać odbiór sygnału z nadajnika i jednoznaczną sygnalizację alarmową. 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  <w:t>Wymagania minimalne: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  <w:t xml:space="preserve">- sygnalizacja akustyczna, dopuszcza się dodatkowo sygnalizację optyczną, 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  <w:t>- możliwość regulacji poziomu sygnału dźwiękowego,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  <w:t xml:space="preserve">- możliwość wyłączenia sygnału akustycznego, 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  <w:t xml:space="preserve">- obsługa wielu nadajników w jednym systemie, 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lastRenderedPageBreak/>
              <w:t xml:space="preserve">- funkcja parowania urządzeń, 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  <w:t>- zasilanie sieciowe z możliwością podtrzymania bateryjnego,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  <w:t xml:space="preserve">- tryb oszczędzania energii, 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  <w:t xml:space="preserve">- awaryjne podtrzymanie zasilania przez min. 24 godz. 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br/>
            </w:r>
            <w:r w:rsidRPr="00E6183F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br/>
              <w:t>3. Wzmacniacza sygnału (</w:t>
            </w:r>
            <w:proofErr w:type="spellStart"/>
            <w:r w:rsidRPr="00E6183F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repeatera</w:t>
            </w:r>
            <w:proofErr w:type="spellEnd"/>
            <w:r w:rsidRPr="00E6183F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) – 1 </w:t>
            </w:r>
            <w:proofErr w:type="spellStart"/>
            <w:r w:rsidRPr="00E6183F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szt</w:t>
            </w:r>
            <w:proofErr w:type="spellEnd"/>
            <w:r w:rsidRPr="00E6183F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br/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Urządzenie musi zapewniać retransmisję sygnału radiowego w sposób automatyczny, być kompatybilne z pozostałymi elementami systemu, </w:t>
            </w:r>
            <w:r w:rsidRPr="00E6183F">
              <w:rPr>
                <w:rFonts w:asciiTheme="minorHAnsi" w:hAnsiTheme="minorHAnsi" w:cstheme="minorHAnsi"/>
                <w:sz w:val="20"/>
                <w:szCs w:val="20"/>
              </w:rPr>
              <w:t>po zastosowaniu wzmacniacza sygnału efektywny zasięg transmisji pomiędzy nadajnikiem a odbiornikiem musi wynosić co najmniej 80 m w przestrzeni otwartej</w:t>
            </w:r>
            <w:r w:rsidRPr="00E6183F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, działać bez istotnego opóźnienia wpływającego na funkcjonalność systemu, posiadać wbudowaną antenę, być zasilane w sposób umożliwiający ciągłą pracę.  Zakres temperatur pracy: min. od -10°C do +50°C.</w:t>
            </w:r>
          </w:p>
          <w:p w:rsidR="00743690" w:rsidRPr="008D3AB4" w:rsidRDefault="00E6183F" w:rsidP="00E6183F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6183F">
              <w:rPr>
                <w:rFonts w:asciiTheme="minorHAnsi" w:hAnsiTheme="minorHAnsi" w:cstheme="minorHAnsi"/>
                <w:sz w:val="20"/>
                <w:szCs w:val="20"/>
              </w:rPr>
              <w:t xml:space="preserve">Oferowany system musi stanowić kompletne i w pełni kompatybilne rozwiązanie umożliwiające współpracę wszystkich elementów systemu. Oferowane urządzenia muszą być fabrycznie nowe, wolne od wad oraz posiadać oznakowanie CE.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110" w:type="dxa"/>
          </w:tcPr>
          <w:p w:rsidR="00743690" w:rsidRPr="00CE40E2" w:rsidRDefault="00660089" w:rsidP="0088766C">
            <w:pPr>
              <w:numPr>
                <w:ilvl w:val="0"/>
                <w:numId w:val="8"/>
              </w:numPr>
              <w:shd w:val="clear" w:color="auto" w:fill="FFFFFF"/>
              <w:suppressAutoHyphens w:val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Podać dane, jak w nagłówku kolumny:</w:t>
            </w:r>
          </w:p>
        </w:tc>
        <w:tc>
          <w:tcPr>
            <w:tcW w:w="851" w:type="dxa"/>
          </w:tcPr>
          <w:p w:rsidR="00743690" w:rsidRPr="00CE40E2" w:rsidRDefault="00743690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743690" w:rsidRPr="00CE40E2" w:rsidRDefault="00743690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743690" w:rsidRPr="00CE40E2" w:rsidRDefault="00743690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40E2" w:rsidRPr="00CE40E2" w:rsidTr="00035ED3">
        <w:tc>
          <w:tcPr>
            <w:tcW w:w="425" w:type="dxa"/>
            <w:vAlign w:val="center"/>
          </w:tcPr>
          <w:p w:rsidR="00CE40E2" w:rsidRPr="00CE40E2" w:rsidRDefault="00E6183F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0" w:type="dxa"/>
            <w:vAlign w:val="center"/>
          </w:tcPr>
          <w:p w:rsidR="00CE40E2" w:rsidRPr="00CE40E2" w:rsidRDefault="00AD0C5A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0C5A">
              <w:rPr>
                <w:rFonts w:asciiTheme="minorHAnsi" w:hAnsiTheme="minorHAnsi" w:cstheme="minorHAnsi"/>
                <w:sz w:val="20"/>
                <w:szCs w:val="20"/>
              </w:rPr>
              <w:t>Pętla indukcyjna dla osób niesłyszących</w:t>
            </w:r>
          </w:p>
        </w:tc>
        <w:tc>
          <w:tcPr>
            <w:tcW w:w="709" w:type="dxa"/>
            <w:vAlign w:val="center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:rsidR="00CE40E2" w:rsidRPr="00CE40E2" w:rsidRDefault="00AD0C5A" w:rsidP="00D04D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D0C5A">
              <w:rPr>
                <w:rFonts w:asciiTheme="minorHAnsi" w:hAnsiTheme="minorHAnsi" w:cstheme="minorHAnsi"/>
                <w:sz w:val="20"/>
                <w:szCs w:val="20"/>
              </w:rPr>
              <w:t xml:space="preserve">Przenośna pętla indukcyjna </w:t>
            </w:r>
            <w:r w:rsidR="00BC79BC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AD0C5A">
              <w:rPr>
                <w:rFonts w:asciiTheme="minorHAnsi" w:hAnsiTheme="minorHAnsi" w:cstheme="minorHAnsi"/>
                <w:sz w:val="20"/>
                <w:szCs w:val="20"/>
              </w:rPr>
              <w:t xml:space="preserve">rzeznaczona do bezpośredniej komunikacji z osobami </w:t>
            </w:r>
            <w:r w:rsidR="00A24E38">
              <w:rPr>
                <w:rFonts w:asciiTheme="minorHAnsi" w:hAnsiTheme="minorHAnsi" w:cstheme="minorHAnsi"/>
                <w:sz w:val="20"/>
                <w:szCs w:val="20"/>
              </w:rPr>
              <w:t>ni</w:t>
            </w:r>
            <w:r w:rsidR="00523B45">
              <w:rPr>
                <w:rFonts w:asciiTheme="minorHAnsi" w:hAnsiTheme="minorHAnsi" w:cstheme="minorHAnsi"/>
                <w:sz w:val="20"/>
                <w:szCs w:val="20"/>
              </w:rPr>
              <w:t>edosłyszącymi, powodując, że do </w:t>
            </w:r>
            <w:r w:rsidR="00A24E38">
              <w:rPr>
                <w:rFonts w:asciiTheme="minorHAnsi" w:hAnsiTheme="minorHAnsi" w:cstheme="minorHAnsi"/>
                <w:sz w:val="20"/>
                <w:szCs w:val="20"/>
              </w:rPr>
              <w:t xml:space="preserve">aparatów słuchowych dociera czysty dźwięk. </w:t>
            </w:r>
            <w:r w:rsidRPr="00AD0C5A">
              <w:rPr>
                <w:rFonts w:asciiTheme="minorHAnsi" w:hAnsiTheme="minorHAnsi" w:cstheme="minorHAnsi"/>
                <w:sz w:val="20"/>
                <w:szCs w:val="20"/>
              </w:rPr>
              <w:t xml:space="preserve">Urządzenie przenośne, z wbudowanym wzmacniaczem i pętlą indukcyjną w jednej obudowie, niewymagające instalacji zewnętrznej. Zasilanie z wbudowanego akumulatora litowo-polimerowego zapewniającego minimum 4 godziny pracy lub z sieci 230 V. Regulacja wzmocnienia sygnału oraz wskaźnik poziomu sygnału. Zasięg pola indukcyjnego obejmujący przestrzeń o promieniu co najmniej 1,2 m od urządzenia. </w:t>
            </w:r>
            <w:r w:rsidR="00D43B3F">
              <w:rPr>
                <w:rFonts w:asciiTheme="minorHAnsi" w:hAnsiTheme="minorHAnsi" w:cstheme="minorHAnsi"/>
                <w:sz w:val="20"/>
                <w:szCs w:val="20"/>
              </w:rPr>
              <w:t xml:space="preserve">Wyjście słuchawkowe i wejście na zewnętrzny mikrofon. </w:t>
            </w:r>
          </w:p>
        </w:tc>
        <w:tc>
          <w:tcPr>
            <w:tcW w:w="4110" w:type="dxa"/>
          </w:tcPr>
          <w:p w:rsidR="00CE40E2" w:rsidRPr="00CE40E2" w:rsidRDefault="00660089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CE40E2" w:rsidRPr="00CE40E2" w:rsidRDefault="00CE40E2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40E2" w:rsidRPr="00CE40E2" w:rsidRDefault="00CE40E2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40E2" w:rsidRPr="00CE40E2" w:rsidRDefault="00CE40E2" w:rsidP="008876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48DC" w:rsidRPr="00CE40E2" w:rsidTr="00383DBF">
        <w:tc>
          <w:tcPr>
            <w:tcW w:w="14318" w:type="dxa"/>
            <w:gridSpan w:val="7"/>
            <w:vAlign w:val="center"/>
          </w:tcPr>
          <w:p w:rsidR="003548DC" w:rsidRPr="003548DC" w:rsidRDefault="003548DC" w:rsidP="003548DC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48DC"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417" w:type="dxa"/>
            <w:vAlign w:val="center"/>
          </w:tcPr>
          <w:p w:rsidR="003548DC" w:rsidRPr="00CE40E2" w:rsidRDefault="003548D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E40E2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 w:rsidRPr="003548DC">
        <w:rPr>
          <w:rFonts w:asciiTheme="minorHAnsi" w:hAnsiTheme="minorHAnsi" w:cstheme="minorHAnsi"/>
          <w:sz w:val="18"/>
          <w:szCs w:val="18"/>
        </w:rPr>
        <w:t>C</w:t>
      </w:r>
      <w:r w:rsidR="00AD0C5A" w:rsidRPr="003548DC">
        <w:rPr>
          <w:rFonts w:asciiTheme="minorHAnsi" w:hAnsiTheme="minorHAnsi" w:cstheme="minorHAnsi"/>
          <w:sz w:val="18"/>
          <w:szCs w:val="18"/>
        </w:rPr>
        <w:t>enę należy przenieść do formularza ofertowego</w:t>
      </w:r>
      <w:r w:rsidRPr="003548DC"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 xml:space="preserve">                                   W pr</w:t>
      </w:r>
      <w:r w:rsidRPr="003548DC">
        <w:rPr>
          <w:rFonts w:asciiTheme="minorHAnsi" w:hAnsiTheme="minorHAnsi" w:cstheme="minorHAnsi"/>
          <w:sz w:val="18"/>
          <w:szCs w:val="18"/>
        </w:rPr>
        <w:t>zypadku zastosowania przez dostawcę na proponowane towary stawki podatku VAT, innej niż podstawow</w:t>
      </w:r>
      <w:r>
        <w:rPr>
          <w:rFonts w:asciiTheme="minorHAnsi" w:hAnsiTheme="minorHAnsi" w:cstheme="minorHAnsi"/>
          <w:sz w:val="18"/>
          <w:szCs w:val="18"/>
        </w:rPr>
        <w:t xml:space="preserve">a </w:t>
      </w:r>
      <w:r w:rsidRPr="003548DC">
        <w:rPr>
          <w:rFonts w:asciiTheme="minorHAnsi" w:hAnsiTheme="minorHAnsi" w:cstheme="minorHAnsi"/>
          <w:sz w:val="20"/>
          <w:szCs w:val="20"/>
        </w:rPr>
        <w:t>Kolumny  5,6,7,8 wypełnia wykonawca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3548DC">
        <w:rPr>
          <w:rFonts w:asciiTheme="minorHAnsi" w:hAnsiTheme="minorHAnsi" w:cstheme="minorHAnsi"/>
          <w:sz w:val="18"/>
          <w:szCs w:val="18"/>
        </w:rPr>
        <w:t>tj. 23% należy wypełnić poniższe zestawienie: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CA40E6" w:rsidRDefault="00CA40E6" w:rsidP="00CA40E6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highlight w:val="yellow"/>
          <w:u w:val="single"/>
        </w:rPr>
        <w:t>UWAGA: FORMULARZ NALEŻY PODPISAĆ KWALIFIKOWANYM PODPISEM ELEKTRONICZNYM lub ELEKTRONICZNYM PODPISEM ZAUFANYM lub ELEKTRONICZNYM PODPISEM OSOBISTYM !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sectPr w:rsidR="003548DC" w:rsidSect="0093495B">
      <w:pgSz w:w="16838" w:h="11906" w:orient="landscape"/>
      <w:pgMar w:top="709" w:right="1245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eastAsia="Arial" w:hint="default"/>
        <w:kern w:val="1"/>
        <w:sz w:val="22"/>
        <w:szCs w:val="22"/>
        <w:lang w:eastAsia="hi-IN" w:bidi="hi-I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5.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5.%6.%7.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>
    <w:nsid w:val="12E64882"/>
    <w:multiLevelType w:val="hybridMultilevel"/>
    <w:tmpl w:val="A56EFF4A"/>
    <w:lvl w:ilvl="0" w:tplc="7D8831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735AB"/>
    <w:multiLevelType w:val="multilevel"/>
    <w:tmpl w:val="4C36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035F9F"/>
    <w:multiLevelType w:val="hybridMultilevel"/>
    <w:tmpl w:val="5BD8C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35896"/>
    <w:multiLevelType w:val="multilevel"/>
    <w:tmpl w:val="5BAE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F0B68BD"/>
    <w:multiLevelType w:val="multilevel"/>
    <w:tmpl w:val="ADF2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F3D6D1B"/>
    <w:multiLevelType w:val="multilevel"/>
    <w:tmpl w:val="FF2E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050F55"/>
    <w:multiLevelType w:val="hybridMultilevel"/>
    <w:tmpl w:val="9C4ED104"/>
    <w:lvl w:ilvl="0" w:tplc="7A3267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330B5F50"/>
    <w:multiLevelType w:val="hybridMultilevel"/>
    <w:tmpl w:val="CEAE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E04881"/>
    <w:multiLevelType w:val="hybridMultilevel"/>
    <w:tmpl w:val="DA8CB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94F3C"/>
    <w:multiLevelType w:val="hybridMultilevel"/>
    <w:tmpl w:val="F2FAF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F01773"/>
    <w:multiLevelType w:val="hybridMultilevel"/>
    <w:tmpl w:val="89B0A52E"/>
    <w:lvl w:ilvl="0" w:tplc="4C3E66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46D13"/>
    <w:multiLevelType w:val="multilevel"/>
    <w:tmpl w:val="8CEE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5"/>
  </w:num>
  <w:num w:numId="8">
    <w:abstractNumId w:val="6"/>
  </w:num>
  <w:num w:numId="9">
    <w:abstractNumId w:val="12"/>
  </w:num>
  <w:num w:numId="10">
    <w:abstractNumId w:val="4"/>
  </w:num>
  <w:num w:numId="11">
    <w:abstractNumId w:val="2"/>
  </w:num>
  <w:num w:numId="12">
    <w:abstractNumId w:val="8"/>
  </w:num>
  <w:num w:numId="13">
    <w:abstractNumId w:val="9"/>
  </w:num>
  <w:num w:numId="14">
    <w:abstractNumId w:val="10"/>
  </w:num>
  <w:num w:numId="15">
    <w:abstractNumId w:val="3"/>
  </w:num>
  <w:num w:numId="16">
    <w:abstractNumId w:val="7"/>
  </w:num>
  <w:num w:numId="17">
    <w:abstractNumId w:val="1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E40E2"/>
    <w:rsid w:val="0002157B"/>
    <w:rsid w:val="00035ED3"/>
    <w:rsid w:val="00084498"/>
    <w:rsid w:val="00085E9A"/>
    <w:rsid w:val="000C01AF"/>
    <w:rsid w:val="0010100A"/>
    <w:rsid w:val="001B27D9"/>
    <w:rsid w:val="0020028B"/>
    <w:rsid w:val="00212319"/>
    <w:rsid w:val="002217E9"/>
    <w:rsid w:val="00324BEF"/>
    <w:rsid w:val="0034361B"/>
    <w:rsid w:val="003548DC"/>
    <w:rsid w:val="003673E6"/>
    <w:rsid w:val="00394EA9"/>
    <w:rsid w:val="003B64CB"/>
    <w:rsid w:val="003C3089"/>
    <w:rsid w:val="004A179B"/>
    <w:rsid w:val="004C4233"/>
    <w:rsid w:val="004C7F66"/>
    <w:rsid w:val="004D6556"/>
    <w:rsid w:val="004E5A5C"/>
    <w:rsid w:val="00523B45"/>
    <w:rsid w:val="00543C87"/>
    <w:rsid w:val="005707EB"/>
    <w:rsid w:val="00621781"/>
    <w:rsid w:val="00660089"/>
    <w:rsid w:val="006A4751"/>
    <w:rsid w:val="006E7CE5"/>
    <w:rsid w:val="007255CB"/>
    <w:rsid w:val="00730A30"/>
    <w:rsid w:val="00743690"/>
    <w:rsid w:val="00772ED4"/>
    <w:rsid w:val="007D3DF3"/>
    <w:rsid w:val="00853A76"/>
    <w:rsid w:val="008835E9"/>
    <w:rsid w:val="0088766C"/>
    <w:rsid w:val="008D3AB4"/>
    <w:rsid w:val="00916264"/>
    <w:rsid w:val="0093495B"/>
    <w:rsid w:val="0097390A"/>
    <w:rsid w:val="009D7607"/>
    <w:rsid w:val="00A24E38"/>
    <w:rsid w:val="00A32098"/>
    <w:rsid w:val="00AA0D07"/>
    <w:rsid w:val="00AD0C5A"/>
    <w:rsid w:val="00AE689B"/>
    <w:rsid w:val="00AF5C48"/>
    <w:rsid w:val="00B33E3A"/>
    <w:rsid w:val="00B66FCB"/>
    <w:rsid w:val="00B93A5E"/>
    <w:rsid w:val="00BC79BC"/>
    <w:rsid w:val="00CA255D"/>
    <w:rsid w:val="00CA40E6"/>
    <w:rsid w:val="00CB2610"/>
    <w:rsid w:val="00CE40E2"/>
    <w:rsid w:val="00D04DED"/>
    <w:rsid w:val="00D43B3F"/>
    <w:rsid w:val="00DA5AD8"/>
    <w:rsid w:val="00DE30D1"/>
    <w:rsid w:val="00DF0F1D"/>
    <w:rsid w:val="00E6183F"/>
    <w:rsid w:val="00E7015D"/>
    <w:rsid w:val="00ED520C"/>
    <w:rsid w:val="00F17558"/>
    <w:rsid w:val="00F70EDF"/>
    <w:rsid w:val="00F803AB"/>
    <w:rsid w:val="00FD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0D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E30D1"/>
    <w:pPr>
      <w:keepNext/>
      <w:jc w:val="center"/>
      <w:outlineLvl w:val="0"/>
    </w:pPr>
    <w:rPr>
      <w:rFonts w:cs="Verdana"/>
      <w:b/>
      <w:bCs/>
      <w:kern w:val="1"/>
      <w:sz w:val="32"/>
    </w:rPr>
  </w:style>
  <w:style w:type="paragraph" w:styleId="Nagwek2">
    <w:name w:val="heading 2"/>
    <w:basedOn w:val="Normalny"/>
    <w:next w:val="Normalny"/>
    <w:link w:val="Nagwek2Znak"/>
    <w:qFormat/>
    <w:rsid w:val="00DE30D1"/>
    <w:pPr>
      <w:keepNext/>
      <w:jc w:val="center"/>
      <w:outlineLvl w:val="1"/>
    </w:pPr>
    <w:rPr>
      <w:rFonts w:cs="Verdana"/>
      <w:b/>
      <w:bCs/>
      <w:iCs/>
      <w:szCs w:val="20"/>
    </w:rPr>
  </w:style>
  <w:style w:type="paragraph" w:styleId="Nagwek3">
    <w:name w:val="heading 3"/>
    <w:basedOn w:val="Normalny"/>
    <w:next w:val="Normalny"/>
    <w:link w:val="Nagwek3Znak"/>
    <w:qFormat/>
    <w:rsid w:val="00DE30D1"/>
    <w:pPr>
      <w:keepNext/>
      <w:numPr>
        <w:ilvl w:val="2"/>
        <w:numId w:val="6"/>
      </w:numPr>
      <w:spacing w:before="240" w:after="60"/>
      <w:outlineLvl w:val="2"/>
    </w:pPr>
    <w:rPr>
      <w:rFonts w:ascii="Verdana" w:hAnsi="Verdana" w:cs="Verdana"/>
      <w:bCs/>
      <w:i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E30D1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E30D1"/>
    <w:pPr>
      <w:numPr>
        <w:ilvl w:val="5"/>
        <w:numId w:val="6"/>
      </w:numPr>
      <w:spacing w:before="240" w:after="60"/>
      <w:outlineLvl w:val="5"/>
    </w:pPr>
    <w:rPr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DE30D1"/>
    <w:pPr>
      <w:numPr>
        <w:ilvl w:val="6"/>
        <w:numId w:val="6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E30D1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E30D1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30D1"/>
    <w:rPr>
      <w:rFonts w:cs="Verdana"/>
      <w:b/>
      <w:bCs/>
      <w:kern w:val="1"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DE30D1"/>
    <w:rPr>
      <w:rFonts w:cs="Verdana"/>
      <w:b/>
      <w:bCs/>
      <w:iCs/>
      <w:sz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DE30D1"/>
    <w:rPr>
      <w:rFonts w:ascii="Verdana" w:hAnsi="Verdana" w:cs="Verdana"/>
      <w:bCs/>
      <w:i/>
      <w:lang w:eastAsia="ar-SA"/>
    </w:rPr>
  </w:style>
  <w:style w:type="character" w:customStyle="1" w:styleId="Nagwek5Znak">
    <w:name w:val="Nagłówek 5 Znak"/>
    <w:basedOn w:val="Domylnaczcionkaakapitu"/>
    <w:link w:val="Nagwek5"/>
    <w:rsid w:val="00DE30D1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DE30D1"/>
    <w:rPr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DE30D1"/>
    <w:rPr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DE30D1"/>
    <w:rPr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DE30D1"/>
    <w:rPr>
      <w:rFonts w:ascii="Arial" w:hAnsi="Arial" w:cs="Arial"/>
      <w:lang w:eastAsia="ar-SA"/>
    </w:rPr>
  </w:style>
  <w:style w:type="paragraph" w:styleId="Tytu">
    <w:name w:val="Title"/>
    <w:basedOn w:val="Normalny"/>
    <w:next w:val="Normalny"/>
    <w:link w:val="TytuZnak"/>
    <w:qFormat/>
    <w:rsid w:val="00DE30D1"/>
    <w:pPr>
      <w:spacing w:before="240" w:after="240"/>
      <w:jc w:val="center"/>
    </w:pPr>
    <w:rPr>
      <w:b/>
      <w:bCs/>
      <w:kern w:val="1"/>
      <w:sz w:val="28"/>
      <w:szCs w:val="28"/>
      <w:lang w:val="en-GB"/>
    </w:rPr>
  </w:style>
  <w:style w:type="character" w:customStyle="1" w:styleId="TytuZnak">
    <w:name w:val="Tytuł Znak"/>
    <w:basedOn w:val="Domylnaczcionkaakapitu"/>
    <w:link w:val="Tytu"/>
    <w:rsid w:val="00DE30D1"/>
    <w:rPr>
      <w:b/>
      <w:bCs/>
      <w:kern w:val="1"/>
      <w:sz w:val="28"/>
      <w:szCs w:val="28"/>
      <w:lang w:val="en-GB" w:eastAsia="ar-SA"/>
    </w:rPr>
  </w:style>
  <w:style w:type="paragraph" w:styleId="Podtytu">
    <w:name w:val="Subtitle"/>
    <w:basedOn w:val="Normalny"/>
    <w:next w:val="Normalny"/>
    <w:link w:val="PodtytuZnak"/>
    <w:qFormat/>
    <w:rsid w:val="00DE30D1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DE30D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E30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E30D1"/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DE30D1"/>
    <w:rPr>
      <w:b/>
      <w:bCs/>
    </w:rPr>
  </w:style>
  <w:style w:type="paragraph" w:styleId="Bezodstpw">
    <w:name w:val="No Spacing"/>
    <w:link w:val="BezodstpwZnak"/>
    <w:uiPriority w:val="1"/>
    <w:qFormat/>
    <w:rsid w:val="00DE30D1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DE30D1"/>
    <w:rPr>
      <w:rFonts w:asciiTheme="minorHAnsi" w:eastAsiaTheme="minorEastAsia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DE30D1"/>
    <w:pPr>
      <w:spacing w:after="80" w:line="276" w:lineRule="auto"/>
      <w:ind w:left="720"/>
      <w:jc w:val="both"/>
    </w:pPr>
    <w:rPr>
      <w:rFonts w:eastAsia="Calibri" w:cs="Calibri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E30D1"/>
    <w:pPr>
      <w:keepLines/>
      <w:suppressAutoHyphens w:val="0"/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0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E2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CE40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3B64CB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1437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Dyrektor</cp:lastModifiedBy>
  <cp:revision>22</cp:revision>
  <cp:lastPrinted>2026-05-18T06:45:00Z</cp:lastPrinted>
  <dcterms:created xsi:type="dcterms:W3CDTF">2026-06-22T19:00:00Z</dcterms:created>
  <dcterms:modified xsi:type="dcterms:W3CDTF">2026-08-07T08:37:00Z</dcterms:modified>
</cp:coreProperties>
</file>