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20" w:after="0"/>
        <w:jc w:val="center"/>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jc w:val="center"/>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jc w:val="center"/>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jc w:val="center"/>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jc w:val="center"/>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jc w:val="center"/>
        <w:rPr>
          <w:rFonts w:ascii="Cambria" w:hAnsi="Cambria" w:cs="Cambria" w:asciiTheme="majorHAnsi" w:hAnsiTheme="majorHAnsi"/>
          <w:b/>
          <w:b/>
          <w:sz w:val="22"/>
          <w:szCs w:val="22"/>
          <w:lang w:eastAsia="ar-SA"/>
        </w:rPr>
      </w:pPr>
      <w:r>
        <w:rPr>
          <w:rFonts w:cs="Cambria" w:ascii="Cambria" w:hAnsi="Cambria" w:asciiTheme="majorHAnsi" w:hAnsiTheme="majorHAnsi"/>
          <w:b/>
          <w:sz w:val="22"/>
          <w:szCs w:val="22"/>
          <w:lang w:eastAsia="ar-SA"/>
        </w:rPr>
        <w:t xml:space="preserve">Specyfikacja Warunków Zamówienia </w:t>
      </w:r>
    </w:p>
    <w:p>
      <w:pPr>
        <w:pStyle w:val="Normal"/>
        <w:spacing w:before="120" w:after="0"/>
        <w:jc w:val="center"/>
        <w:rPr>
          <w:rFonts w:ascii="Cambria" w:hAnsi="Cambria" w:cs="Cambria" w:asciiTheme="majorHAnsi" w:hAnsiTheme="majorHAnsi"/>
          <w:b/>
          <w:b/>
          <w:sz w:val="22"/>
          <w:szCs w:val="22"/>
          <w:lang w:eastAsia="ar-SA"/>
        </w:rPr>
      </w:pPr>
      <w:r>
        <w:rPr>
          <w:rFonts w:cs="Cambria" w:ascii="Cambria" w:hAnsi="Cambria" w:asciiTheme="majorHAnsi" w:hAnsiTheme="majorHAnsi"/>
          <w:b/>
          <w:sz w:val="22"/>
          <w:szCs w:val="22"/>
          <w:lang w:eastAsia="ar-SA"/>
        </w:rPr>
        <w:t>(dalej: „SWZ”)</w:t>
      </w:r>
    </w:p>
    <w:p>
      <w:pPr>
        <w:pStyle w:val="Normal"/>
        <w:spacing w:before="120" w:after="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rPr>
          <w:rFonts w:ascii="Cambria" w:hAnsi="Cambria" w:cs="Cambria" w:asciiTheme="majorHAnsi" w:hAnsiTheme="majorHAnsi"/>
          <w:b/>
          <w:b/>
          <w:sz w:val="22"/>
          <w:szCs w:val="22"/>
          <w:lang w:eastAsia="ar-SA"/>
        </w:rPr>
      </w:pPr>
      <w:r>
        <w:rPr>
          <w:rFonts w:cs="Cambria" w:ascii="Cambria" w:hAnsi="Cambria" w:asciiTheme="majorHAnsi" w:hAnsiTheme="majorHAnsi"/>
          <w:sz w:val="22"/>
          <w:szCs w:val="22"/>
          <w:lang w:eastAsia="ar-SA"/>
        </w:rPr>
        <w:t xml:space="preserve">Nr postępowania: </w:t>
      </w:r>
      <w:r>
        <w:rPr>
          <w:rFonts w:cs="Cambria" w:ascii="Cambria" w:hAnsi="Cambria" w:asciiTheme="majorHAnsi" w:hAnsiTheme="majorHAnsi"/>
          <w:sz w:val="22"/>
          <w:szCs w:val="22"/>
          <w:shd w:fill="FFFFFF" w:val="clear"/>
          <w:lang w:eastAsia="ar-SA"/>
        </w:rPr>
        <w:t>ZP.17.TP.2026</w:t>
      </w:r>
    </w:p>
    <w:p>
      <w:pPr>
        <w:pStyle w:val="Normal"/>
        <w:spacing w:before="120" w:after="0"/>
        <w:jc w:val="both"/>
        <w:rPr>
          <w:rFonts w:ascii="Cambria" w:hAnsi="Cambria" w:cs="Cambria" w:asciiTheme="majorHAnsi" w:hAnsiTheme="majorHAnsi"/>
          <w:b/>
          <w:b/>
          <w:sz w:val="22"/>
          <w:szCs w:val="22"/>
          <w:lang w:eastAsia="ar-SA"/>
        </w:rPr>
      </w:pPr>
      <w:r>
        <w:rPr>
          <w:rFonts w:cs="Cambria" w:ascii="Cambria" w:hAnsi="Cambria" w:asciiTheme="majorHAnsi" w:hAnsiTheme="majorHAnsi"/>
          <w:b/>
          <w:sz w:val="22"/>
          <w:szCs w:val="22"/>
          <w:lang w:eastAsia="ar-SA"/>
        </w:rPr>
        <w:t>Tryb postępowania: podstawowy bez możliwości prowadzenia negocjacji</w:t>
      </w:r>
    </w:p>
    <w:p>
      <w:pPr>
        <w:pStyle w:val="Normal"/>
        <w:spacing w:before="120" w:after="0"/>
        <w:rPr>
          <w:rFonts w:ascii="Cambria" w:hAnsi="Cambria" w:cs="Cambria" w:asciiTheme="majorHAnsi" w:hAnsiTheme="majorHAnsi"/>
          <w:b/>
          <w:b/>
          <w:sz w:val="22"/>
          <w:szCs w:val="22"/>
          <w:lang w:eastAsia="ar-SA"/>
        </w:rPr>
      </w:pPr>
      <w:r>
        <w:rPr>
          <w:rFonts w:cs="Cambria" w:ascii="Cambria" w:hAnsi="Cambria" w:asciiTheme="majorHAnsi" w:hAnsiTheme="majorHAnsi"/>
          <w:b/>
          <w:sz w:val="22"/>
          <w:szCs w:val="22"/>
          <w:lang w:eastAsia="ar-SA"/>
        </w:rPr>
        <w:t>Podstawa prawna – art. 275 pkt 1 ustawy z dnia 11 września 2019 r. Prawo zamówień publicznych (tekst jedn. Dz. U. z 2026 r. poz. 793 ze zm.).</w:t>
      </w:r>
    </w:p>
    <w:p>
      <w:pPr>
        <w:pStyle w:val="Normal"/>
        <w:spacing w:before="120" w:after="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rPr>
          <w:rFonts w:ascii="Cambria" w:hAnsi="Cambria" w:cs="Cambria" w:asciiTheme="majorHAnsi" w:hAnsiTheme="majorHAnsi"/>
          <w:b/>
          <w:b/>
          <w:sz w:val="22"/>
          <w:szCs w:val="22"/>
          <w:u w:val="single"/>
          <w:lang w:eastAsia="ar-SA"/>
        </w:rPr>
      </w:pPr>
      <w:r>
        <w:rPr>
          <w:rFonts w:cs="Cambria" w:ascii="Cambria" w:hAnsi="Cambria" w:asciiTheme="majorHAnsi" w:hAnsiTheme="majorHAnsi"/>
          <w:b/>
          <w:sz w:val="22"/>
          <w:szCs w:val="22"/>
          <w:u w:val="single"/>
          <w:lang w:eastAsia="ar-SA"/>
        </w:rPr>
        <w:t>PRZEDMIOT ZAMÓWIENIA:</w:t>
      </w:r>
    </w:p>
    <w:p>
      <w:pPr>
        <w:pStyle w:val="Normal"/>
        <w:spacing w:before="120" w:after="0"/>
        <w:rPr>
          <w:rFonts w:ascii="Cambria" w:hAnsi="Cambria" w:cs="Cambria" w:asciiTheme="majorHAnsi" w:hAnsiTheme="majorHAnsi"/>
          <w:b/>
          <w:b/>
          <w:sz w:val="22"/>
          <w:szCs w:val="22"/>
          <w:u w:val="single"/>
          <w:lang w:eastAsia="ar-SA"/>
        </w:rPr>
      </w:pPr>
      <w:r>
        <w:rPr>
          <w:rFonts w:cs="Cambria" w:ascii="Cambria" w:hAnsi="Cambria"/>
          <w:b/>
          <w:sz w:val="22"/>
          <w:szCs w:val="22"/>
          <w:u w:val="single"/>
          <w:lang w:eastAsia="ar-SA"/>
        </w:rPr>
      </w:r>
    </w:p>
    <w:p>
      <w:pPr>
        <w:pStyle w:val="Normal"/>
        <w:spacing w:before="120" w:after="0"/>
        <w:jc w:val="center"/>
        <w:rPr>
          <w:rFonts w:ascii="Cambria" w:hAnsi="Cambria" w:cs="Cambria" w:asciiTheme="majorHAnsi" w:hAnsiTheme="majorHAnsi"/>
          <w:b/>
          <w:b/>
          <w:sz w:val="22"/>
          <w:szCs w:val="22"/>
          <w:lang w:eastAsia="ar-SA"/>
        </w:rPr>
      </w:pPr>
      <w:bookmarkStart w:id="0" w:name="_Hlk207564543"/>
      <w:r>
        <w:rPr>
          <w:rFonts w:cs="Cambria" w:ascii="Cambria" w:hAnsi="Cambria" w:asciiTheme="majorHAnsi" w:hAnsiTheme="majorHAnsi"/>
          <w:b/>
          <w:sz w:val="22"/>
          <w:szCs w:val="22"/>
          <w:lang w:eastAsia="ar-SA"/>
        </w:rPr>
        <w:t>„</w:t>
      </w:r>
      <w:bookmarkEnd w:id="0"/>
      <w:r>
        <w:rPr>
          <w:rFonts w:cs="Cambria" w:ascii="Cambria" w:hAnsi="Cambria" w:asciiTheme="majorHAnsi" w:hAnsiTheme="majorHAnsi"/>
          <w:b/>
          <w:sz w:val="22"/>
          <w:szCs w:val="22"/>
          <w:lang w:eastAsia="ar-SA"/>
        </w:rPr>
        <w:t>Wykonanie prac remontowych w budynkach Uzdrowiska Rabka S.A. – Budynek Zakładu Przyrodoleczniczego – wymiana stolarki okiennej PVC i okiennej oraz drzwiowej Aluminiowej”</w:t>
      </w:r>
    </w:p>
    <w:p>
      <w:pPr>
        <w:pStyle w:val="Normal"/>
        <w:spacing w:before="120" w:after="0"/>
        <w:jc w:val="both"/>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jc w:val="both"/>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pBdr>
          <w:top w:val="single" w:sz="4" w:space="1" w:color="000000"/>
          <w:left w:val="single" w:sz="4" w:space="4" w:color="000000"/>
          <w:bottom w:val="single" w:sz="4" w:space="1" w:color="000000"/>
          <w:right w:val="single" w:sz="4" w:space="4" w:color="000000"/>
        </w:pBdr>
        <w:spacing w:lineRule="auto" w:line="276" w:before="120" w:after="0"/>
        <w:jc w:val="center"/>
        <w:rPr/>
      </w:pPr>
      <w:r>
        <w:rPr>
          <w:rFonts w:cs="Cambria" w:ascii="Cambria" w:hAnsi="Cambria"/>
          <w:b/>
          <w:sz w:val="22"/>
          <w:szCs w:val="22"/>
          <w:lang w:eastAsia="ar-SA"/>
        </w:rPr>
        <w:t>Zamówienie realizowane ze środków własnych</w:t>
      </w:r>
    </w:p>
    <w:p>
      <w:pPr>
        <w:pStyle w:val="Normal"/>
        <w:spacing w:lineRule="auto" w:line="276" w:before="120" w:after="0"/>
        <w:jc w:val="both"/>
        <w:rPr>
          <w:rFonts w:ascii="Cambria" w:hAnsi="Cambria" w:cs="Cambria"/>
          <w:b/>
          <w:b/>
          <w:sz w:val="22"/>
          <w:szCs w:val="22"/>
          <w:lang w:eastAsia="ar-SA"/>
        </w:rPr>
      </w:pPr>
      <w:r>
        <w:rPr>
          <w:rFonts w:cs="Cambria" w:ascii="Cambria" w:hAnsi="Cambria"/>
          <w:b/>
          <w:sz w:val="22"/>
          <w:szCs w:val="22"/>
          <w:lang w:eastAsia="ar-SA"/>
        </w:rPr>
      </w:r>
    </w:p>
    <w:p>
      <w:pPr>
        <w:pStyle w:val="Normal"/>
        <w:spacing w:before="120" w:after="0"/>
        <w:jc w:val="both"/>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jc w:val="both"/>
        <w:rPr/>
      </w:pPr>
      <w:r>
        <w:rPr>
          <w:rFonts w:cs="Cambria" w:ascii="Cambria" w:hAnsi="Cambria" w:asciiTheme="majorHAnsi" w:hAnsiTheme="majorHAnsi"/>
          <w:b/>
          <w:sz w:val="22"/>
          <w:szCs w:val="22"/>
          <w:lang w:eastAsia="ar-SA"/>
        </w:rPr>
        <w:t xml:space="preserve">Data: 07.08.2026r. </w:t>
      </w:r>
    </w:p>
    <w:p>
      <w:pPr>
        <w:pStyle w:val="Normal"/>
        <w:spacing w:before="120" w:after="0"/>
        <w:ind w:left="708" w:hanging="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ormal"/>
        <w:spacing w:before="120" w:after="0"/>
        <w:ind w:left="708" w:hanging="0"/>
        <w:rPr>
          <w:rFonts w:ascii="Cambria" w:hAnsi="Cambria" w:cs="Cambria" w:asciiTheme="majorHAnsi" w:hAnsiTheme="majorHAnsi"/>
          <w:b/>
          <w:b/>
          <w:sz w:val="22"/>
          <w:szCs w:val="22"/>
          <w:lang w:eastAsia="ar-SA"/>
        </w:rPr>
      </w:pPr>
      <w:r>
        <w:rPr>
          <w:rFonts w:cs="Cambria" w:ascii="Cambria" w:hAnsi="Cambria"/>
          <w:b/>
          <w:sz w:val="22"/>
          <w:szCs w:val="22"/>
          <w:lang w:eastAsia="ar-SA"/>
        </w:rPr>
      </w:r>
    </w:p>
    <w:p>
      <w:pPr>
        <w:pStyle w:val="Nagwek12"/>
        <w:spacing w:before="0" w:after="60"/>
        <w:jc w:val="left"/>
        <w:rPr>
          <w:rFonts w:ascii="Cambria" w:hAnsi="Cambria" w:cs="Cambria" w:asciiTheme="majorHAnsi" w:hAnsiTheme="majorHAnsi"/>
          <w:bCs w:val="false"/>
          <w:sz w:val="22"/>
          <w:szCs w:val="22"/>
          <w:lang w:eastAsia="ar-SA"/>
        </w:rPr>
      </w:pPr>
      <w:r>
        <w:rPr>
          <w:rFonts w:cs="Cambria" w:ascii="Cambria" w:hAnsi="Cambria" w:asciiTheme="majorHAnsi" w:hAnsiTheme="majorHAnsi"/>
          <w:bCs w:val="false"/>
          <w:sz w:val="22"/>
          <w:szCs w:val="22"/>
          <w:lang w:eastAsia="ar-SA"/>
        </w:rPr>
        <w:t>SWZ   Zatwierdzam:</w:t>
      </w:r>
    </w:p>
    <w:p>
      <w:pPr>
        <w:pStyle w:val="Nagwek12"/>
        <w:spacing w:before="0" w:after="60"/>
        <w:rPr>
          <w:rFonts w:ascii="Cambria" w:hAnsi="Cambria" w:cs="Cambria" w:asciiTheme="majorHAnsi" w:hAnsiTheme="majorHAnsi"/>
          <w:bCs w:val="false"/>
          <w:sz w:val="22"/>
          <w:szCs w:val="22"/>
          <w:lang w:eastAsia="ar-SA"/>
        </w:rPr>
      </w:pPr>
      <w:r>
        <w:rPr>
          <w:rFonts w:cs="Cambria" w:ascii="Cambria" w:hAnsi="Cambria"/>
          <w:bCs w:val="false"/>
          <w:sz w:val="22"/>
          <w:szCs w:val="22"/>
          <w:lang w:eastAsia="ar-SA"/>
        </w:rPr>
      </w:r>
    </w:p>
    <w:p>
      <w:pPr>
        <w:pStyle w:val="Nagwek12"/>
        <w:spacing w:before="0" w:after="60"/>
        <w:jc w:val="left"/>
        <w:rPr>
          <w:rFonts w:ascii="Cambria" w:hAnsi="Cambria" w:cs="Cambria" w:asciiTheme="majorHAnsi" w:hAnsiTheme="majorHAnsi"/>
          <w:bCs w:val="false"/>
          <w:sz w:val="22"/>
          <w:szCs w:val="22"/>
          <w:lang w:eastAsia="ar-SA"/>
        </w:rPr>
      </w:pPr>
      <w:r>
        <w:rPr>
          <w:rFonts w:cs="Cambria" w:ascii="Cambria" w:hAnsi="Cambria"/>
          <w:bCs w:val="false"/>
          <w:sz w:val="22"/>
          <w:szCs w:val="22"/>
          <w:lang w:eastAsia="ar-SA"/>
        </w:rPr>
      </w:r>
    </w:p>
    <w:p>
      <w:pPr>
        <w:pStyle w:val="Nagwek12"/>
        <w:spacing w:before="0" w:after="60"/>
        <w:jc w:val="left"/>
        <w:rPr>
          <w:rFonts w:ascii="Cambria" w:hAnsi="Cambria" w:cs="Cambria" w:asciiTheme="majorHAnsi" w:hAnsiTheme="majorHAnsi"/>
          <w:bCs w:val="false"/>
          <w:sz w:val="22"/>
          <w:szCs w:val="22"/>
          <w:lang w:eastAsia="ar-SA"/>
        </w:rPr>
      </w:pPr>
      <w:r>
        <w:rPr>
          <w:rFonts w:cs="Cambria" w:ascii="Cambria" w:hAnsi="Cambria" w:asciiTheme="majorHAnsi" w:hAnsiTheme="majorHAnsi"/>
          <w:bCs w:val="false"/>
          <w:sz w:val="22"/>
          <w:szCs w:val="22"/>
          <w:lang w:eastAsia="ar-SA"/>
        </w:rPr>
        <w:t>Prezes Zarządu</w:t>
      </w:r>
    </w:p>
    <w:p>
      <w:pPr>
        <w:pStyle w:val="Nagwek12"/>
        <w:spacing w:before="0" w:after="60"/>
        <w:jc w:val="left"/>
        <w:rPr/>
      </w:pPr>
      <w:r>
        <w:rPr>
          <w:rFonts w:cs="Cambria" w:ascii="Cambria" w:hAnsi="Cambria" w:asciiTheme="majorHAnsi" w:hAnsiTheme="majorHAnsi"/>
          <w:bCs w:val="false"/>
          <w:sz w:val="22"/>
          <w:szCs w:val="22"/>
          <w:lang w:eastAsia="ar-SA"/>
        </w:rPr>
        <w:t>Anna Źrubek</w:t>
      </w:r>
    </w:p>
    <w:p>
      <w:pPr>
        <w:pStyle w:val="Nagwek12"/>
        <w:spacing w:before="0" w:after="60"/>
        <w:jc w:val="left"/>
        <w:rPr>
          <w:rFonts w:ascii="Cambria" w:hAnsi="Cambria" w:cs="Cambria" w:asciiTheme="majorHAnsi" w:hAnsiTheme="majorHAnsi"/>
          <w:b w:val="false"/>
          <w:b w:val="false"/>
          <w:iCs/>
          <w:sz w:val="22"/>
          <w:szCs w:val="22"/>
          <w:u w:val="single"/>
          <w:lang w:eastAsia="ar-SA"/>
        </w:rPr>
      </w:pPr>
      <w:r>
        <w:rPr>
          <w:rFonts w:cs="Cambria" w:ascii="Cambria" w:hAnsi="Cambria"/>
          <w:b w:val="false"/>
          <w:iCs/>
          <w:sz w:val="22"/>
          <w:szCs w:val="22"/>
          <w:u w:val="single"/>
          <w:lang w:eastAsia="ar-SA"/>
        </w:rPr>
      </w:r>
    </w:p>
    <w:p>
      <w:pPr>
        <w:pStyle w:val="Tretekstu"/>
        <w:rPr>
          <w:rFonts w:ascii="Cambria" w:hAnsi="Cambria" w:eastAsia="Cambria" w:cs="Cambria" w:asciiTheme="majorHAnsi" w:hAnsiTheme="majorHAnsi"/>
          <w:b/>
          <w:b/>
          <w:bCs/>
          <w:color w:val="000000"/>
          <w:sz w:val="20"/>
          <w:szCs w:val="20"/>
          <w:u w:val="none" w:color="000000"/>
          <w:lang w:eastAsia="ar-SA"/>
        </w:rPr>
      </w:pPr>
      <w:r>
        <w:rPr>
          <w:rFonts w:eastAsia="Cambria" w:cs="Cambria" w:ascii="Cambria" w:hAnsi="Cambria"/>
          <w:b/>
          <w:bCs/>
          <w:color w:val="000000"/>
          <w:sz w:val="20"/>
          <w:szCs w:val="20"/>
          <w:u w:val="none" w:color="000000"/>
          <w:lang w:eastAsia="ar-SA"/>
        </w:rPr>
      </w:r>
    </w:p>
    <w:p>
      <w:pPr>
        <w:pStyle w:val="Tretekstu"/>
        <w:rPr>
          <w:rFonts w:ascii="Cambria" w:hAnsi="Cambria" w:eastAsia="Cambria" w:cs="Cambria" w:asciiTheme="majorHAnsi" w:hAnsiTheme="majorHAnsi"/>
          <w:b/>
          <w:b/>
          <w:bCs/>
          <w:color w:val="000000"/>
          <w:sz w:val="20"/>
          <w:szCs w:val="20"/>
          <w:u w:val="none" w:color="000000"/>
          <w:lang w:eastAsia="ar-SA"/>
        </w:rPr>
      </w:pPr>
      <w:r>
        <w:rPr>
          <w:rFonts w:eastAsia="Cambria" w:cs="Cambria" w:ascii="Cambria" w:hAnsi="Cambria"/>
          <w:b/>
          <w:bCs/>
          <w:color w:val="000000"/>
          <w:sz w:val="20"/>
          <w:szCs w:val="20"/>
          <w:u w:val="none" w:color="000000"/>
          <w:lang w:eastAsia="ar-SA"/>
        </w:rPr>
      </w:r>
    </w:p>
    <w:p>
      <w:pPr>
        <w:pStyle w:val="Tretekstu"/>
        <w:rPr>
          <w:rFonts w:ascii="Cambria" w:hAnsi="Cambria" w:eastAsia="Cambria" w:cs="Cambria" w:asciiTheme="majorHAnsi" w:hAnsiTheme="majorHAnsi"/>
          <w:b/>
          <w:b/>
          <w:bCs/>
          <w:color w:val="000000"/>
          <w:sz w:val="20"/>
          <w:szCs w:val="20"/>
          <w:u w:val="none" w:color="000000"/>
          <w:lang w:eastAsia="ar-SA"/>
        </w:rPr>
      </w:pPr>
      <w:r>
        <w:rPr>
          <w:rFonts w:eastAsia="Cambria" w:cs="Cambria" w:ascii="Cambria" w:hAnsi="Cambria"/>
          <w:b/>
          <w:bCs/>
          <w:color w:val="000000"/>
          <w:sz w:val="20"/>
          <w:szCs w:val="20"/>
          <w:u w:val="none" w:color="000000"/>
          <w:lang w:eastAsia="ar-SA"/>
        </w:rPr>
      </w:r>
    </w:p>
    <w:p>
      <w:pPr>
        <w:pStyle w:val="Tretekstu"/>
        <w:rPr>
          <w:rFonts w:ascii="Cambria" w:hAnsi="Cambria" w:eastAsia="Cambria" w:cs="Cambria" w:asciiTheme="majorHAnsi" w:hAnsiTheme="majorHAnsi"/>
          <w:b/>
          <w:b/>
          <w:bCs/>
          <w:color w:val="000000"/>
          <w:sz w:val="20"/>
          <w:szCs w:val="20"/>
          <w:u w:val="none" w:color="000000"/>
          <w:lang w:eastAsia="ar-SA"/>
        </w:rPr>
      </w:pPr>
      <w:r>
        <w:rPr>
          <w:rFonts w:eastAsia="Cambria" w:cs="Cambria" w:ascii="Cambria" w:hAnsi="Cambria"/>
          <w:b/>
          <w:bCs/>
          <w:color w:val="000000"/>
          <w:sz w:val="20"/>
          <w:szCs w:val="20"/>
          <w:u w:val="none" w:color="000000"/>
          <w:lang w:eastAsia="ar-SA"/>
        </w:rPr>
      </w:r>
    </w:p>
    <w:p>
      <w:pPr>
        <w:pStyle w:val="Tretekstu"/>
        <w:rPr>
          <w:rFonts w:ascii="Cambria" w:hAnsi="Cambria" w:eastAsia="Cambria" w:cs="Cambria" w:asciiTheme="majorHAnsi" w:hAnsiTheme="majorHAnsi"/>
          <w:b/>
          <w:b/>
          <w:bCs/>
          <w:color w:val="000000"/>
          <w:sz w:val="20"/>
          <w:szCs w:val="20"/>
          <w:u w:val="none" w:color="000000"/>
          <w:lang w:eastAsia="ar-SA"/>
        </w:rPr>
      </w:pPr>
      <w:r>
        <w:rPr>
          <w:rFonts w:eastAsia="Cambria" w:cs="Cambria" w:ascii="Cambria" w:hAnsi="Cambria"/>
          <w:b/>
          <w:bCs/>
          <w:color w:val="000000"/>
          <w:sz w:val="20"/>
          <w:szCs w:val="20"/>
          <w:u w:val="none" w:color="000000"/>
          <w:lang w:eastAsia="ar-SA"/>
        </w:rPr>
      </w:r>
    </w:p>
    <w:p>
      <w:pPr>
        <w:pStyle w:val="Tretekstu"/>
        <w:rPr>
          <w:rFonts w:ascii="Cambria" w:hAnsi="Cambria" w:eastAsia="Cambria" w:cs="Cambria" w:asciiTheme="majorHAnsi" w:hAnsiTheme="majorHAnsi"/>
          <w:b/>
          <w:b/>
          <w:bCs/>
          <w:color w:val="000000"/>
          <w:sz w:val="20"/>
          <w:szCs w:val="20"/>
          <w:u w:val="none" w:color="000000"/>
          <w:lang w:eastAsia="ar-SA"/>
        </w:rPr>
      </w:pPr>
      <w:r>
        <w:rPr>
          <w:rFonts w:eastAsia="Cambria" w:cs="Cambria" w:ascii="Cambria" w:hAnsi="Cambria"/>
          <w:b/>
          <w:bCs/>
          <w:color w:val="000000"/>
          <w:sz w:val="20"/>
          <w:szCs w:val="20"/>
          <w:u w:val="none" w:color="000000"/>
          <w:lang w:eastAsia="ar-SA"/>
        </w:rPr>
      </w:r>
    </w:p>
    <w:tbl>
      <w:tblPr>
        <w:tblW w:w="9078" w:type="dxa"/>
        <w:jc w:val="left"/>
        <w:tblInd w:w="55" w:type="dxa"/>
        <w:tblCellMar>
          <w:top w:w="83" w:type="dxa"/>
          <w:left w:w="0" w:type="dxa"/>
          <w:bottom w:w="0" w:type="dxa"/>
          <w:right w:w="115" w:type="dxa"/>
        </w:tblCellMar>
        <w:tblLook w:firstRow="0" w:noVBand="0" w:lastRow="0" w:firstColumn="0" w:lastColumn="0" w:noHBand="0" w:val="0000"/>
      </w:tblPr>
      <w:tblGrid>
        <w:gridCol w:w="412"/>
        <w:gridCol w:w="8665"/>
      </w:tblGrid>
      <w:tr>
        <w:trPr>
          <w:trHeight w:val="379" w:hRule="atLeast"/>
        </w:trPr>
        <w:tc>
          <w:tcPr>
            <w:tcW w:w="412" w:type="dxa"/>
            <w:tcBorders/>
            <w:shd w:color="auto" w:fill="E7E6E6" w:val="clear"/>
          </w:tcPr>
          <w:p>
            <w:pPr>
              <w:pStyle w:val="Normal"/>
              <w:spacing w:lineRule="auto" w:line="276"/>
              <w:rPr>
                <w:rFonts w:ascii="Cambria" w:hAnsi="Cambria" w:cs="Cambria"/>
                <w:b/>
                <w:b/>
                <w:color w:val="000000"/>
                <w:sz w:val="22"/>
                <w:szCs w:val="22"/>
              </w:rPr>
            </w:pPr>
            <w:r>
              <w:rPr>
                <w:rFonts w:cs="Cambria" w:ascii="Cambria" w:hAnsi="Cambria"/>
                <w:b/>
                <w:color w:val="000000"/>
                <w:sz w:val="22"/>
                <w:szCs w:val="22"/>
              </w:rPr>
              <w:t xml:space="preserve">1. </w:t>
            </w:r>
          </w:p>
        </w:tc>
        <w:tc>
          <w:tcPr>
            <w:tcW w:w="8665" w:type="dxa"/>
            <w:tcBorders/>
            <w:shd w:color="auto" w:fill="E7E6E6" w:val="clear"/>
          </w:tcPr>
          <w:p>
            <w:pPr>
              <w:pStyle w:val="Normal"/>
              <w:spacing w:lineRule="auto" w:line="276"/>
              <w:rPr>
                <w:rFonts w:ascii="Cambria" w:hAnsi="Cambria" w:cs="Cambria"/>
                <w:b/>
                <w:b/>
                <w:color w:val="000000"/>
                <w:sz w:val="22"/>
                <w:szCs w:val="22"/>
              </w:rPr>
            </w:pPr>
            <w:r>
              <w:rPr>
                <w:rFonts w:cs="Cambria" w:ascii="Cambria" w:hAnsi="Cambria"/>
                <w:b/>
                <w:color w:val="000000"/>
                <w:sz w:val="22"/>
                <w:szCs w:val="22"/>
              </w:rPr>
              <w:t xml:space="preserve">OZNACZENIE ZAMAWIAJĄCEGO  </w:t>
            </w:r>
          </w:p>
        </w:tc>
      </w:tr>
    </w:tbl>
    <w:p>
      <w:pPr>
        <w:pStyle w:val="Normal"/>
        <w:spacing w:lineRule="auto" w:line="276" w:before="240" w:after="0"/>
        <w:rPr>
          <w:rFonts w:ascii="Cambria" w:hAnsi="Cambria" w:cs="Cambria" w:asciiTheme="majorHAnsi" w:hAnsiTheme="majorHAnsi"/>
          <w:sz w:val="22"/>
          <w:szCs w:val="22"/>
        </w:rPr>
      </w:pPr>
      <w:r>
        <w:rPr>
          <w:rFonts w:cs="Cambria" w:ascii="Cambria" w:hAnsi="Cambria" w:asciiTheme="majorHAnsi" w:hAnsiTheme="majorHAnsi"/>
          <w:sz w:val="22"/>
          <w:szCs w:val="22"/>
        </w:rPr>
        <w:t>"Uzdrowisko Rabka" S.A.</w:t>
      </w:r>
    </w:p>
    <w:p>
      <w:pPr>
        <w:pStyle w:val="Normal"/>
        <w:spacing w:lineRule="auto" w:line="276"/>
        <w:rPr>
          <w:rFonts w:ascii="Cambria" w:hAnsi="Cambria" w:cs="Cambria" w:asciiTheme="majorHAnsi" w:hAnsiTheme="majorHAnsi"/>
          <w:sz w:val="22"/>
          <w:szCs w:val="22"/>
        </w:rPr>
      </w:pPr>
      <w:r>
        <w:rPr>
          <w:rFonts w:cs="Cambria" w:ascii="Cambria" w:hAnsi="Cambria" w:asciiTheme="majorHAnsi" w:hAnsiTheme="majorHAnsi"/>
          <w:sz w:val="22"/>
          <w:szCs w:val="22"/>
        </w:rPr>
        <w:t xml:space="preserve">34-700 Rabka-Zdrój , </w:t>
      </w:r>
    </w:p>
    <w:p>
      <w:pPr>
        <w:pStyle w:val="Normal"/>
        <w:spacing w:lineRule="auto" w:line="276"/>
        <w:rPr>
          <w:rFonts w:ascii="Cambria" w:hAnsi="Cambria" w:cs="Cambria" w:asciiTheme="majorHAnsi" w:hAnsiTheme="majorHAnsi"/>
          <w:sz w:val="22"/>
          <w:szCs w:val="22"/>
        </w:rPr>
      </w:pPr>
      <w:r>
        <w:rPr>
          <w:rFonts w:cs="Cambria" w:ascii="Cambria" w:hAnsi="Cambria" w:asciiTheme="majorHAnsi" w:hAnsiTheme="majorHAnsi"/>
          <w:sz w:val="22"/>
          <w:szCs w:val="22"/>
        </w:rPr>
        <w:t>ul Orkana 49</w:t>
      </w:r>
    </w:p>
    <w:p>
      <w:pPr>
        <w:pStyle w:val="Normal"/>
        <w:spacing w:lineRule="auto" w:line="276"/>
        <w:rPr>
          <w:rFonts w:ascii="Cambria" w:hAnsi="Cambria" w:cs="Cambria" w:asciiTheme="majorHAnsi" w:hAnsiTheme="majorHAnsi"/>
          <w:sz w:val="22"/>
          <w:szCs w:val="22"/>
        </w:rPr>
      </w:pPr>
      <w:r>
        <w:rPr>
          <w:rFonts w:cs="Cambria" w:ascii="Cambria" w:hAnsi="Cambria" w:asciiTheme="majorHAnsi" w:hAnsiTheme="majorHAnsi"/>
          <w:sz w:val="22"/>
          <w:szCs w:val="22"/>
        </w:rPr>
        <w:t xml:space="preserve">tel. 18 26 76 020, </w:t>
      </w:r>
    </w:p>
    <w:p>
      <w:pPr>
        <w:pStyle w:val="Normal"/>
        <w:spacing w:lineRule="auto" w:line="276"/>
        <w:rPr>
          <w:rFonts w:ascii="Cambria" w:hAnsi="Cambria" w:cs="Cambria" w:asciiTheme="majorHAnsi" w:hAnsiTheme="majorHAnsi"/>
          <w:sz w:val="22"/>
          <w:szCs w:val="22"/>
        </w:rPr>
      </w:pPr>
      <w:r>
        <w:rPr>
          <w:rFonts w:cs="Cambria" w:ascii="Cambria" w:hAnsi="Cambria" w:asciiTheme="majorHAnsi" w:hAnsiTheme="majorHAnsi"/>
          <w:sz w:val="22"/>
          <w:szCs w:val="22"/>
        </w:rPr>
        <w:t>fax. 18 26 76 010.</w:t>
      </w:r>
    </w:p>
    <w:p>
      <w:pPr>
        <w:pStyle w:val="Normal"/>
        <w:spacing w:before="240" w:after="0"/>
        <w:rPr>
          <w:rFonts w:ascii="Cambria" w:hAnsi="Cambria" w:cs="Cambria" w:asciiTheme="majorHAnsi" w:hAnsiTheme="majorHAnsi"/>
          <w:sz w:val="22"/>
          <w:szCs w:val="22"/>
        </w:rPr>
      </w:pPr>
      <w:r>
        <w:rPr>
          <w:rFonts w:cs="Cambria" w:ascii="Cambria" w:hAnsi="Cambria" w:asciiTheme="majorHAnsi" w:hAnsiTheme="majorHAnsi"/>
          <w:sz w:val="22"/>
          <w:szCs w:val="22"/>
        </w:rPr>
        <w:t>stron internetowa Zamawiającego:  www.uzdrowisko-rabka.pl,</w:t>
      </w:r>
    </w:p>
    <w:p>
      <w:pPr>
        <w:pStyle w:val="Normal"/>
        <w:spacing w:before="240" w:after="0"/>
        <w:rPr>
          <w:rFonts w:ascii="Cambria" w:hAnsi="Cambria" w:cs="Cambria" w:asciiTheme="majorHAnsi" w:hAnsiTheme="majorHAnsi"/>
          <w:sz w:val="22"/>
          <w:szCs w:val="22"/>
          <w:lang w:val="en-US"/>
        </w:rPr>
      </w:pPr>
      <w:r>
        <w:rPr>
          <w:rFonts w:cs="Cambria" w:ascii="Cambria" w:hAnsi="Cambria" w:asciiTheme="majorHAnsi" w:hAnsiTheme="majorHAnsi"/>
          <w:sz w:val="22"/>
          <w:szCs w:val="22"/>
          <w:lang w:val="en-US"/>
        </w:rPr>
        <w:t>e-mail: sekretariat@uzdrowisko-rabka.pl</w:t>
      </w:r>
    </w:p>
    <w:p>
      <w:pPr>
        <w:pStyle w:val="Normal"/>
        <w:spacing w:lineRule="auto" w:line="276" w:before="240" w:after="0"/>
        <w:rPr>
          <w:rFonts w:ascii="Cambria" w:hAnsi="Cambria" w:cs="Cambria" w:asciiTheme="majorHAnsi" w:hAnsiTheme="majorHAnsi"/>
          <w:sz w:val="22"/>
          <w:szCs w:val="22"/>
        </w:rPr>
      </w:pPr>
      <w:r>
        <w:rPr>
          <w:rFonts w:cs="Cambria" w:ascii="Cambria" w:hAnsi="Cambria" w:asciiTheme="majorHAnsi" w:hAnsiTheme="majorHAnsi"/>
          <w:sz w:val="22"/>
          <w:szCs w:val="22"/>
        </w:rPr>
        <w:t xml:space="preserve">NIP PL  7350008661, </w:t>
      </w:r>
    </w:p>
    <w:p>
      <w:pPr>
        <w:pStyle w:val="Normal"/>
        <w:spacing w:lineRule="auto" w:line="276"/>
        <w:rPr>
          <w:rFonts w:ascii="Cambria" w:hAnsi="Cambria" w:cs="Cambria" w:asciiTheme="majorHAnsi" w:hAnsiTheme="majorHAnsi"/>
          <w:sz w:val="22"/>
          <w:szCs w:val="22"/>
        </w:rPr>
      </w:pPr>
      <w:r>
        <w:rPr>
          <w:rFonts w:cs="Cambria" w:ascii="Cambria" w:hAnsi="Cambria" w:asciiTheme="majorHAnsi" w:hAnsiTheme="majorHAnsi"/>
          <w:sz w:val="22"/>
          <w:szCs w:val="22"/>
        </w:rPr>
        <w:t xml:space="preserve">Regon 491971074 , </w:t>
      </w:r>
    </w:p>
    <w:p>
      <w:pPr>
        <w:pStyle w:val="Normal"/>
        <w:spacing w:lineRule="auto" w:line="276"/>
        <w:rPr>
          <w:rFonts w:ascii="Cambria" w:hAnsi="Cambria" w:cs="Cambria" w:asciiTheme="majorHAnsi" w:hAnsiTheme="majorHAnsi"/>
          <w:sz w:val="22"/>
          <w:szCs w:val="22"/>
        </w:rPr>
      </w:pPr>
      <w:r>
        <w:rPr>
          <w:rFonts w:cs="Cambria" w:ascii="Cambria" w:hAnsi="Cambria" w:asciiTheme="majorHAnsi" w:hAnsiTheme="majorHAnsi"/>
          <w:sz w:val="22"/>
          <w:szCs w:val="22"/>
        </w:rPr>
        <w:t>KRS – 0000068470</w:t>
      </w:r>
    </w:p>
    <w:p>
      <w:pPr>
        <w:pStyle w:val="Normal"/>
        <w:spacing w:lineRule="auto" w:line="276" w:before="120" w:after="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strona internetowa prowadzonego postępowania https://ezamowienia.gov.pl/pl/ </w:t>
      </w:r>
    </w:p>
    <w:p>
      <w:pPr>
        <w:pStyle w:val="Normal"/>
        <w:spacing w:lineRule="auto" w:line="276"/>
        <w:jc w:val="both"/>
        <w:rPr>
          <w:rFonts w:ascii="Cambria" w:hAnsi="Cambria" w:asciiTheme="majorHAnsi" w:hAnsiTheme="majorHAnsi"/>
        </w:rPr>
      </w:pPr>
      <w:r>
        <w:rPr>
          <w:rFonts w:cs="Cambria" w:ascii="Cambria" w:hAnsi="Cambria"/>
          <w:sz w:val="22"/>
          <w:szCs w:val="22"/>
        </w:rPr>
        <w:t>link prowadzący bezpośre</w:t>
      </w:r>
      <w:r>
        <w:rPr>
          <w:rFonts w:eastAsia="Times New Roman" w:cs="Cambria" w:ascii="Cambria" w:hAnsi="Cambria"/>
          <w:b w:val="false"/>
          <w:bCs w:val="false"/>
          <w:color w:val="auto"/>
          <w:kern w:val="0"/>
          <w:sz w:val="22"/>
          <w:szCs w:val="22"/>
          <w:lang w:val="pl-PL" w:eastAsia="zh-CN" w:bidi="ar-SA"/>
        </w:rPr>
        <w:t xml:space="preserve">dnio do widoku postępowania na Platformie e-Zamówienia: </w:t>
      </w:r>
    </w:p>
    <w:p>
      <w:pPr>
        <w:pStyle w:val="Normal"/>
        <w:spacing w:lineRule="auto" w:line="276"/>
        <w:jc w:val="both"/>
        <w:rPr/>
      </w:pPr>
      <w:r>
        <w:rPr>
          <w:rStyle w:val="Czeinternetowe"/>
          <w:rFonts w:eastAsia="Times New Roman" w:cs="Cambria" w:ascii="Cambria" w:hAnsi="Cambria" w:asciiTheme="majorHAnsi" w:hAnsiTheme="majorHAnsi"/>
          <w:b w:val="false"/>
          <w:bCs w:val="false"/>
          <w:color w:val="auto"/>
          <w:kern w:val="0"/>
          <w:sz w:val="22"/>
          <w:szCs w:val="22"/>
          <w:lang w:val="pl-PL" w:eastAsia="zh-CN" w:bidi="ar-SA"/>
        </w:rPr>
        <w:t>https://ezamowienia.gov.pl/mp-client/tenders/ocds-148610-b6f7dca9-c2f5-46a6-87d7-8369263f44a1</w:t>
      </w:r>
    </w:p>
    <w:p>
      <w:pPr>
        <w:pStyle w:val="Normal"/>
        <w:spacing w:lineRule="auto" w:line="276"/>
        <w:jc w:val="both"/>
        <w:rPr>
          <w:rFonts w:ascii="Cambria" w:hAnsi="Cambria" w:eastAsia="Times New Roman" w:cs="Cambria" w:asciiTheme="majorHAnsi" w:hAnsiTheme="majorHAnsi"/>
          <w:b w:val="false"/>
          <w:b w:val="false"/>
          <w:bCs w:val="false"/>
          <w:color w:val="auto"/>
          <w:kern w:val="0"/>
          <w:sz w:val="22"/>
          <w:szCs w:val="22"/>
          <w:lang w:val="pl-PL" w:eastAsia="zh-CN" w:bidi="ar-SA"/>
        </w:rPr>
      </w:pPr>
      <w:r>
        <w:rPr>
          <w:rFonts w:eastAsia="Times New Roman" w:cs="Cambria" w:ascii="Cambria" w:hAnsi="Cambria"/>
          <w:b w:val="false"/>
          <w:bCs w:val="false"/>
          <w:color w:val="auto"/>
          <w:kern w:val="0"/>
          <w:sz w:val="22"/>
          <w:szCs w:val="22"/>
          <w:lang w:val="pl-PL" w:eastAsia="zh-CN" w:bidi="ar-SA"/>
        </w:rPr>
        <w:t xml:space="preserve"> </w:t>
      </w:r>
      <w:r>
        <w:rPr>
          <w:rFonts w:eastAsia="Times New Roman" w:cs="Cambria" w:ascii="Cambria" w:hAnsi="Cambria"/>
          <w:b w:val="false"/>
          <w:bCs w:val="false"/>
          <w:color w:val="auto"/>
          <w:kern w:val="0"/>
          <w:sz w:val="22"/>
          <w:szCs w:val="22"/>
          <w:lang w:val="pl-PL" w:eastAsia="zh-CN" w:bidi="ar-SA"/>
        </w:rPr>
        <w:t xml:space="preserve">oraz adres strony internetowej, na której udostępniane będą zmiany i wyjaśnienia treści niniejszej specyfikacji warunków zamówienia („SWZ”) oraz inne dokumenty zamówienia bezpośrednio związane z postępowaniem o udzielenie zamówienia: </w:t>
      </w:r>
    </w:p>
    <w:p>
      <w:pPr>
        <w:pStyle w:val="Normal"/>
        <w:spacing w:before="120" w:after="0"/>
        <w:rPr>
          <w:rFonts w:ascii="Cambria" w:hAnsi="Cambria" w:cs="Cambria" w:asciiTheme="majorHAnsi" w:hAnsiTheme="majorHAnsi"/>
          <w:sz w:val="22"/>
          <w:szCs w:val="22"/>
          <w:highlight w:val="white"/>
        </w:rPr>
      </w:pPr>
      <w:r>
        <w:rPr>
          <w:rFonts w:eastAsia="Times New Roman" w:cs="Cambria" w:ascii="Cambria" w:hAnsi="Cambria"/>
          <w:b w:val="false"/>
          <w:bCs w:val="false"/>
          <w:color w:val="auto"/>
          <w:kern w:val="0"/>
          <w:sz w:val="22"/>
          <w:szCs w:val="22"/>
          <w:lang w:val="pl-PL" w:eastAsia="zh-CN" w:bidi="ar-SA"/>
        </w:rPr>
        <w:t>identyfikator (ID) postępowania na Platformie e-Zamówienia:</w:t>
      </w:r>
    </w:p>
    <w:p>
      <w:pPr>
        <w:pStyle w:val="Normal"/>
        <w:spacing w:before="120" w:after="0"/>
        <w:jc w:val="both"/>
        <w:rPr>
          <w:rFonts w:ascii="Cambria" w:hAnsi="Cambria" w:asciiTheme="majorHAnsi" w:hAnsiTheme="majorHAnsi"/>
          <w:b/>
          <w:b/>
          <w:highlight w:val="yellow"/>
        </w:rPr>
      </w:pPr>
      <w:r>
        <w:rPr>
          <w:rFonts w:eastAsia="Times New Roman" w:cs="Cambria" w:ascii="Cambria" w:hAnsi="Cambria"/>
          <w:b w:val="false"/>
          <w:bCs w:val="false"/>
          <w:color w:val="auto"/>
          <w:kern w:val="0"/>
          <w:sz w:val="22"/>
          <w:szCs w:val="22"/>
          <w:lang w:val="pl-PL" w:eastAsia="zh-CN" w:bidi="ar-SA"/>
        </w:rPr>
        <w:t xml:space="preserve">ocds-148610-b6f7dca9-c2f5-46a6-87d7-8369263f44a1 </w:t>
      </w:r>
    </w:p>
    <w:p>
      <w:pPr>
        <w:pStyle w:val="Normal"/>
        <w:spacing w:before="120" w:after="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zaprasza do udziału w postępowaniu o udzielenie zamówienia publicznego prowadzonym w trybie podstawowym bez negocjacji zgodnie z wymaganiami określonymi w SWZ. </w:t>
      </w:r>
    </w:p>
    <w:p>
      <w:pPr>
        <w:pStyle w:val="Normal"/>
        <w:spacing w:before="120" w:after="0"/>
        <w:jc w:val="both"/>
        <w:rPr>
          <w:rFonts w:ascii="Cambria" w:hAnsi="Cambria" w:cs="Cambria" w:asciiTheme="majorHAnsi" w:hAnsiTheme="majorHAnsi"/>
          <w:b/>
          <w:b/>
          <w:sz w:val="22"/>
          <w:szCs w:val="22"/>
        </w:rPr>
      </w:pPr>
      <w:r>
        <w:rPr>
          <w:rFonts w:cs="Cambria" w:ascii="Cambria" w:hAnsi="Cambria" w:asciiTheme="majorHAnsi" w:hAnsiTheme="majorHAnsi"/>
          <w:sz w:val="22"/>
          <w:szCs w:val="22"/>
        </w:rPr>
        <w:t>Postępowanie można wyszukać również ze strony głównej Platformy e-Zamówienia (przycisk „Przeglądaj postępowanie/konkursy”).</w:t>
      </w:r>
    </w:p>
    <w:p>
      <w:pPr>
        <w:pStyle w:val="Normal"/>
        <w:ind w:left="709" w:hanging="0"/>
        <w:rPr>
          <w:rFonts w:ascii="Cambria" w:hAnsi="Cambria" w:cs="Cambria" w:asciiTheme="majorHAnsi" w:hAnsiTheme="majorHAnsi"/>
          <w:b/>
          <w:b/>
          <w:sz w:val="22"/>
          <w:szCs w:val="22"/>
        </w:rPr>
      </w:pPr>
      <w:r>
        <w:rPr>
          <w:rFonts w:cs="Cambria" w:ascii="Cambria" w:hAnsi="Cambria"/>
          <w:b/>
          <w:sz w:val="22"/>
          <w:szCs w:val="22"/>
        </w:rPr>
      </w:r>
    </w:p>
    <w:p>
      <w:pPr>
        <w:pStyle w:val="Normal"/>
        <w:ind w:hanging="1"/>
        <w:rPr>
          <w:rFonts w:ascii="Cambria" w:hAnsi="Cambria" w:cs="Cambria" w:asciiTheme="majorHAnsi" w:hAnsiTheme="majorHAnsi"/>
          <w:b/>
          <w:b/>
          <w:sz w:val="22"/>
          <w:szCs w:val="22"/>
        </w:rPr>
      </w:pPr>
      <w:r>
        <w:rPr>
          <w:rFonts w:cs="Cambria" w:ascii="Cambria" w:hAnsi="Cambria" w:asciiTheme="majorHAnsi" w:hAnsiTheme="majorHAnsi"/>
          <w:sz w:val="22"/>
          <w:szCs w:val="22"/>
        </w:rPr>
        <w:tab/>
        <w:t xml:space="preserve">Dni i godziny pracy prowadzącego postępowanie: </w:t>
      </w:r>
    </w:p>
    <w:p>
      <w:pPr>
        <w:pStyle w:val="Normal"/>
        <w:ind w:hanging="1"/>
        <w:rPr>
          <w:rFonts w:ascii="Cambria" w:hAnsi="Cambria" w:cs="Cambria" w:asciiTheme="majorHAnsi" w:hAnsiTheme="majorHAnsi"/>
          <w:color w:val="000000"/>
          <w:sz w:val="22"/>
          <w:szCs w:val="22"/>
        </w:rPr>
      </w:pPr>
      <w:r>
        <w:rPr>
          <w:rFonts w:cs="Cambria" w:ascii="Cambria" w:hAnsi="Cambria" w:asciiTheme="majorHAnsi" w:hAnsiTheme="majorHAnsi"/>
          <w:b/>
          <w:sz w:val="22"/>
          <w:szCs w:val="22"/>
        </w:rPr>
        <w:t>od poniedziałku do piątku, w godz.: 7:30 – 14:30</w:t>
      </w:r>
    </w:p>
    <w:p>
      <w:pPr>
        <w:pStyle w:val="Normal"/>
        <w:ind w:left="9" w:hanging="0"/>
        <w:rPr>
          <w:rFonts w:ascii="Cambria" w:hAnsi="Cambria" w:cs="Cambria" w:asciiTheme="majorHAnsi" w:hAnsiTheme="majorHAnsi"/>
          <w:color w:val="000000"/>
          <w:sz w:val="22"/>
          <w:szCs w:val="22"/>
        </w:rPr>
      </w:pPr>
      <w:r>
        <w:rPr>
          <w:rFonts w:cs="Cambria" w:ascii="Cambria" w:hAnsi="Cambria"/>
          <w:color w:val="000000"/>
          <w:sz w:val="22"/>
          <w:szCs w:val="22"/>
        </w:rPr>
      </w:r>
    </w:p>
    <w:tbl>
      <w:tblPr>
        <w:tblW w:w="9078" w:type="dxa"/>
        <w:jc w:val="left"/>
        <w:tblInd w:w="55" w:type="dxa"/>
        <w:tblCellMar>
          <w:top w:w="83" w:type="dxa"/>
          <w:left w:w="0" w:type="dxa"/>
          <w:bottom w:w="0" w:type="dxa"/>
          <w:right w:w="115" w:type="dxa"/>
        </w:tblCellMar>
        <w:tblLook w:firstRow="0" w:noVBand="0" w:lastRow="0" w:firstColumn="0" w:lastColumn="0" w:noHBand="0" w:val="0000"/>
      </w:tblPr>
      <w:tblGrid>
        <w:gridCol w:w="412"/>
        <w:gridCol w:w="8665"/>
      </w:tblGrid>
      <w:tr>
        <w:trPr>
          <w:trHeight w:val="379" w:hRule="atLeast"/>
        </w:trPr>
        <w:tc>
          <w:tcPr>
            <w:tcW w:w="412" w:type="dxa"/>
            <w:tcBorders/>
            <w:shd w:color="auto" w:fill="E7E6E6" w:val="clear"/>
          </w:tcPr>
          <w:p>
            <w:pPr>
              <w:pStyle w:val="Normal"/>
              <w:spacing w:lineRule="auto" w:line="276"/>
              <w:rPr>
                <w:rFonts w:ascii="Cambria" w:hAnsi="Cambria" w:cs="Cambria"/>
                <w:b/>
                <w:b/>
                <w:color w:val="000000"/>
                <w:sz w:val="22"/>
                <w:szCs w:val="22"/>
              </w:rPr>
            </w:pPr>
            <w:r>
              <w:rPr>
                <w:rFonts w:cs="Cambria" w:ascii="Cambria" w:hAnsi="Cambria"/>
                <w:b/>
                <w:color w:val="000000"/>
                <w:sz w:val="22"/>
                <w:szCs w:val="22"/>
              </w:rPr>
              <w:t xml:space="preserve">2. </w:t>
            </w:r>
          </w:p>
        </w:tc>
        <w:tc>
          <w:tcPr>
            <w:tcW w:w="8665" w:type="dxa"/>
            <w:tcBorders/>
            <w:shd w:color="auto" w:fill="E7E6E6" w:val="clear"/>
          </w:tcPr>
          <w:p>
            <w:pPr>
              <w:pStyle w:val="Normal"/>
              <w:spacing w:lineRule="auto" w:line="276"/>
              <w:rPr>
                <w:rFonts w:ascii="Cambria" w:hAnsi="Cambria" w:cs="Cambria"/>
                <w:b/>
                <w:b/>
                <w:color w:val="000000"/>
                <w:sz w:val="22"/>
                <w:szCs w:val="22"/>
              </w:rPr>
            </w:pPr>
            <w:r>
              <w:rPr>
                <w:rFonts w:cs="Cambria" w:ascii="Cambria" w:hAnsi="Cambria"/>
                <w:b/>
                <w:color w:val="000000"/>
                <w:sz w:val="22"/>
                <w:szCs w:val="22"/>
              </w:rPr>
              <w:t xml:space="preserve">TRYB UDZIELANIA ZAMÓWIENIA </w:t>
            </w:r>
          </w:p>
        </w:tc>
      </w:tr>
    </w:tbl>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Postępowanie prowadzone jest w trybie podstawowym na podstawie art. 275 pkt 1 ustawy z dnia 11 września 2019 r. – Prawo zamówień publicznych (Dz.U. z 2026 r. poz. 793 ze zm.), zwanej dalej „PZP”, oraz aktów wykonawczych wydanych na podstawie PZP.</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Postępowanie jest prowadzone zgodnie z zasadami przewidzianymi dla zamówień klasycznych o wartości nieprzekraczającej progów unijnych. </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najpierw dokona badania i oceny ofert, a następnie dokona kwalifikacji podmiotowej Wykonawcy, którego oferta została najwyżej oceniona, w zakresie braku podstaw do wykluczenia oraz spełniania warunków udziału w postępowaniu.</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przewiduje wyboru najkorzystniejszej oferty z możliwością prowadzenia negocjacji.</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przewiduje przeprowadzenia postępowania z zastosowaniem aukcji elektronicznej.</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dopuszcza składania ofert wariantowych.</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nie zastrzega możliwości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przewiduje wprowadzenia wymagań, o których mowa w art. 96 ust.2 pkt 2 PZP.</w:t>
      </w:r>
    </w:p>
    <w:p>
      <w:pPr>
        <w:pStyle w:val="Normal"/>
        <w:numPr>
          <w:ilvl w:val="0"/>
          <w:numId w:val="6"/>
        </w:numPr>
        <w:spacing w:before="240" w:after="29"/>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Przedmiotowe zamówienie finansowane będzie ze środków własnych. </w:t>
      </w:r>
    </w:p>
    <w:p>
      <w:pPr>
        <w:pStyle w:val="Normal"/>
        <w:tabs>
          <w:tab w:val="clear" w:pos="709"/>
          <w:tab w:val="right" w:pos="9075" w:leader="none"/>
        </w:tabs>
        <w:ind w:left="1146" w:hanging="0"/>
        <w:rPr>
          <w:rFonts w:ascii="Cambria" w:hAnsi="Cambria" w:cs="Cambria" w:asciiTheme="majorHAnsi" w:hAnsiTheme="majorHAnsi"/>
          <w:color w:val="000000"/>
          <w:sz w:val="22"/>
          <w:szCs w:val="22"/>
        </w:rPr>
      </w:pPr>
      <w:r>
        <w:rPr>
          <w:rFonts w:cs="Cambria" w:ascii="Cambria" w:hAnsi="Cambria"/>
          <w:color w:val="000000"/>
          <w:sz w:val="22"/>
          <w:szCs w:val="22"/>
        </w:rPr>
      </w:r>
    </w:p>
    <w:p>
      <w:pPr>
        <w:pStyle w:val="Normal"/>
        <w:tabs>
          <w:tab w:val="clear" w:pos="709"/>
          <w:tab w:val="right" w:pos="9075" w:leader="none"/>
        </w:tabs>
        <w:ind w:left="1146" w:hanging="0"/>
        <w:rPr>
          <w:rFonts w:ascii="Cambria" w:hAnsi="Cambria" w:cs="Cambria" w:asciiTheme="majorHAnsi" w:hAnsiTheme="majorHAnsi"/>
          <w:color w:val="000000"/>
          <w:sz w:val="22"/>
          <w:szCs w:val="22"/>
        </w:rPr>
      </w:pPr>
      <w:r>
        <w:rPr>
          <w:rFonts w:cs="Cambria" w:ascii="Cambria" w:hAnsi="Cambria"/>
          <w:color w:val="000000"/>
          <w:sz w:val="22"/>
          <w:szCs w:val="22"/>
        </w:rPr>
      </w:r>
    </w:p>
    <w:tbl>
      <w:tblPr>
        <w:tblW w:w="9078" w:type="dxa"/>
        <w:jc w:val="left"/>
        <w:tblInd w:w="55" w:type="dxa"/>
        <w:tblCellMar>
          <w:top w:w="83" w:type="dxa"/>
          <w:left w:w="0" w:type="dxa"/>
          <w:bottom w:w="0" w:type="dxa"/>
          <w:right w:w="115" w:type="dxa"/>
        </w:tblCellMar>
        <w:tblLook w:firstRow="0" w:noVBand="0" w:lastRow="0" w:firstColumn="0" w:lastColumn="0" w:noHBand="0" w:val="0000"/>
      </w:tblPr>
      <w:tblGrid>
        <w:gridCol w:w="412"/>
        <w:gridCol w:w="8665"/>
      </w:tblGrid>
      <w:tr>
        <w:trPr>
          <w:trHeight w:val="379" w:hRule="atLeast"/>
        </w:trPr>
        <w:tc>
          <w:tcPr>
            <w:tcW w:w="412" w:type="dxa"/>
            <w:tcBorders/>
            <w:shd w:color="auto" w:fill="E7E6E6" w:val="clear"/>
          </w:tcPr>
          <w:p>
            <w:pPr>
              <w:pStyle w:val="Normal"/>
              <w:spacing w:lineRule="auto" w:line="276"/>
              <w:rPr>
                <w:rFonts w:ascii="Cambria" w:hAnsi="Cambria" w:cs="Cambria"/>
                <w:b/>
                <w:b/>
                <w:color w:val="000000"/>
                <w:sz w:val="22"/>
                <w:szCs w:val="22"/>
              </w:rPr>
            </w:pPr>
            <w:r>
              <w:rPr>
                <w:rFonts w:cs="Cambria" w:ascii="Cambria" w:hAnsi="Cambria"/>
                <w:b/>
                <w:color w:val="000000"/>
                <w:sz w:val="22"/>
                <w:szCs w:val="22"/>
              </w:rPr>
              <w:t xml:space="preserve">3. </w:t>
            </w:r>
          </w:p>
        </w:tc>
        <w:tc>
          <w:tcPr>
            <w:tcW w:w="8665" w:type="dxa"/>
            <w:tcBorders/>
            <w:shd w:color="auto" w:fill="E7E6E6" w:val="clear"/>
          </w:tcPr>
          <w:p>
            <w:pPr>
              <w:pStyle w:val="Normal"/>
              <w:spacing w:lineRule="auto" w:line="276"/>
              <w:rPr>
                <w:rFonts w:ascii="Cambria" w:hAnsi="Cambria" w:cs="Cambria"/>
                <w:b/>
                <w:b/>
                <w:color w:val="000000"/>
                <w:sz w:val="22"/>
                <w:szCs w:val="22"/>
              </w:rPr>
            </w:pPr>
            <w:r>
              <w:rPr>
                <w:rFonts w:cs="Cambria" w:ascii="Cambria" w:hAnsi="Cambria"/>
                <w:b/>
                <w:color w:val="000000"/>
                <w:sz w:val="22"/>
                <w:szCs w:val="22"/>
              </w:rPr>
              <w:t xml:space="preserve">OPIS PRZEDMIOTU ZAMÓWIENIA </w:t>
            </w:r>
          </w:p>
        </w:tc>
      </w:tr>
    </w:tbl>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Przedmiotem zamówienia są roboty budowlane polegające na: Wykonaniu prac remontowych w budynkach Uzdrowiska Rabka S.A. – Budynek Zakładu Przyrodoleczniczego – wymiana stolarki okiennej PVC i okiennej oraz drzwiowej Aluminiowej:</w:t>
      </w:r>
    </w:p>
    <w:p>
      <w:pPr>
        <w:pStyle w:val="ListParagraph"/>
        <w:numPr>
          <w:ilvl w:val="1"/>
          <w:numId w:val="14"/>
        </w:numPr>
        <w:jc w:val="both"/>
        <w:rPr>
          <w:rFonts w:ascii="Cambria" w:hAnsi="Cambria" w:cs="Cambria" w:asciiTheme="majorHAnsi" w:hAnsiTheme="majorHAnsi"/>
          <w:b/>
          <w:b/>
          <w:bCs/>
          <w:color w:val="000000"/>
        </w:rPr>
      </w:pPr>
      <w:r>
        <w:rPr>
          <w:rFonts w:cs="Cambria" w:ascii="Cambria" w:hAnsi="Cambria" w:asciiTheme="majorHAnsi" w:hAnsiTheme="majorHAnsi"/>
          <w:b/>
          <w:bCs/>
          <w:color w:val="000000"/>
        </w:rPr>
        <w:t>wymiana stolarki okiennej i drzwiowej w wybranych pomieszczeniach budynku ZPL wraz z obróbką wewnętrzną i zewnętrzną szpalet, montażem parapetów wewnętrznych oraz utylizacją materiałów z demontażu.</w:t>
      </w:r>
      <w:bookmarkStart w:id="1" w:name="_Hlk218850884"/>
      <w:bookmarkEnd w:id="1"/>
    </w:p>
    <w:p>
      <w:pPr>
        <w:pStyle w:val="Normal"/>
        <w:rPr>
          <w:rFonts w:ascii="Cambria" w:hAnsi="Cambria" w:cs="Cambria" w:asciiTheme="majorHAnsi" w:hAnsiTheme="majorHAnsi"/>
          <w:color w:val="000000"/>
        </w:rPr>
      </w:pPr>
      <w:r>
        <w:rPr>
          <w:rFonts w:cs="Cambria" w:ascii="Cambria" w:hAnsi="Cambria"/>
          <w:color w:val="000000"/>
        </w:rPr>
      </w:r>
    </w:p>
    <w:p>
      <w:pPr>
        <w:pStyle w:val="Normal"/>
        <w:numPr>
          <w:ilvl w:val="0"/>
          <w:numId w:val="14"/>
        </w:numPr>
        <w:shd w:val="clear" w:color="auto" w:fill="FFFFFF"/>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Lokalizacja inwestycji : </w:t>
      </w:r>
    </w:p>
    <w:p>
      <w:pPr>
        <w:pStyle w:val="Normal"/>
        <w:numPr>
          <w:ilvl w:val="1"/>
          <w:numId w:val="14"/>
        </w:numPr>
        <w:shd w:val="clear" w:color="auto" w:fill="FFFFFF"/>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Budynek Zakładu Przyrodoleczniczego - 34-700 Rabka-Zdrój, ul. Orkana 49; </w:t>
      </w:r>
    </w:p>
    <w:p>
      <w:pPr>
        <w:pStyle w:val="Normal"/>
        <w:shd w:val="clear" w:color="auto" w:fill="FFFFFF"/>
        <w:spacing w:before="0" w:after="240"/>
        <w:ind w:left="1770" w:hanging="0"/>
        <w:jc w:val="both"/>
        <w:rPr/>
      </w:pPr>
      <w:r>
        <w:rPr/>
      </w:r>
      <w:bookmarkStart w:id="2" w:name="_Hlk207570788"/>
      <w:bookmarkStart w:id="3" w:name="_Hlk174831139"/>
      <w:bookmarkStart w:id="4" w:name="_Hlk207570788"/>
      <w:bookmarkStart w:id="5" w:name="_Hlk174831139"/>
      <w:bookmarkEnd w:id="4"/>
      <w:bookmarkEnd w:id="5"/>
    </w:p>
    <w:p>
      <w:pPr>
        <w:pStyle w:val="Normal"/>
        <w:numPr>
          <w:ilvl w:val="0"/>
          <w:numId w:val="14"/>
        </w:numPr>
        <w:shd w:val="clear" w:color="auto" w:fill="FFFFFF"/>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Szczegółowy Opis Przedmiotu Zamówienia określony został w niniejszym dokumencie w szczególności w przedmiarze robót. Z uwagi na ryczałtowy charakter wynagrodzenia wykonawcy przedmiary mają charakter wyłącznie pomocniczy celem złożenia oferty. Wykonawca zobowiązany będzie wykonać cały opisany zakres robót.</w:t>
      </w:r>
    </w:p>
    <w:p>
      <w:pPr>
        <w:pStyle w:val="Normal"/>
        <w:numPr>
          <w:ilvl w:val="0"/>
          <w:numId w:val="14"/>
        </w:numPr>
        <w:shd w:val="clear" w:color="auto" w:fill="FFFFFF"/>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wymaga odbycia wizji lokalnej przed złożeniem oferty. Wymóg jest uzasadniony koniecznością dokonania pomiarów stolarki wykonywanej na wymiar oraz rozpoznania warunków dostępu, zabezpieczenia i prowadzenia robót w czynnym budynku. Termin wizji lokalnej należy uzgodnić telefonicznie z osobą wskazaną w rozdziale 10 SWZ. Zamawiający prowadzi listę obecności, na której przedstawiciel podaje imię i nazwisko oraz pełną nazwę reprezentowanego Wykonawcy. Złożenie oferty bez odbycia wymaganej wizji lokalnej skutkuje jej odrzuceniem na podstawie art. 226 ust. 1 pkt 18 PZP.</w:t>
      </w:r>
    </w:p>
    <w:p>
      <w:pPr>
        <w:pStyle w:val="Normal"/>
        <w:numPr>
          <w:ilvl w:val="0"/>
          <w:numId w:val="14"/>
        </w:numPr>
        <w:shd w:val="clear" w:color="auto" w:fill="FFFFFF"/>
        <w:spacing w:lineRule="auto" w:line="276" w:before="240" w:after="240"/>
        <w:jc w:val="both"/>
        <w:rPr>
          <w:rFonts w:ascii="Cambria" w:hAnsi="Cambria" w:cs="Cambria" w:asciiTheme="majorHAnsi" w:hAnsiTheme="majorHAnsi"/>
          <w:color w:val="000000"/>
          <w:sz w:val="22"/>
          <w:szCs w:val="22"/>
        </w:rPr>
      </w:pPr>
      <w:r>
        <w:rPr>
          <w:rFonts w:cs="Cambria" w:ascii="Cambria" w:hAnsi="Cambria"/>
          <w:color w:val="000000"/>
          <w:sz w:val="22"/>
          <w:szCs w:val="22"/>
        </w:rPr>
        <w:t>Do oferty nie należy dołączać protokołu ani zaświadczenia z wizji lokalnej. Spełnienie wymogu Zamawiający zweryfikuje na podstawie prowadzonej listy obecności; protokół wizji ma charakter dokumentacyjny i nie jest przedmiotowym ani podmiotowym środkiem dowodowym.</w:t>
      </w:r>
    </w:p>
    <w:p>
      <w:pPr>
        <w:pStyle w:val="Normal"/>
        <w:numPr>
          <w:ilvl w:val="0"/>
          <w:numId w:val="14"/>
        </w:numPr>
        <w:shd w:val="clear" w:color="auto" w:fill="FFFFFF"/>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Oznaczenie przedmiotu zamówienia wg kodów Wspólnego Słownika Zamówień CPV:</w:t>
      </w:r>
    </w:p>
    <w:p>
      <w:pPr>
        <w:pStyle w:val="Normal"/>
        <w:ind w:left="-5" w:hanging="0"/>
        <w:jc w:val="both"/>
        <w:rPr>
          <w:rFonts w:ascii="Cambria" w:hAnsi="Cambria" w:asciiTheme="majorHAnsi" w:hAnsiTheme="majorHAnsi"/>
          <w:sz w:val="22"/>
          <w:szCs w:val="22"/>
        </w:rPr>
      </w:pPr>
      <w:r>
        <w:rPr>
          <w:rFonts w:cs="Cambria" w:ascii="Cambria" w:hAnsi="Cambria" w:asciiTheme="majorHAnsi" w:hAnsiTheme="majorHAnsi"/>
          <w:color w:val="000000"/>
          <w:sz w:val="22"/>
          <w:szCs w:val="22"/>
        </w:rPr>
        <w:t xml:space="preserve"> </w:t>
      </w:r>
      <w:r>
        <w:rPr>
          <w:rFonts w:ascii="Cambria" w:hAnsi="Cambria" w:asciiTheme="majorHAnsi" w:hAnsiTheme="majorHAnsi"/>
          <w:b/>
          <w:sz w:val="22"/>
          <w:szCs w:val="22"/>
        </w:rPr>
        <w:t>Grupy robót:</w:t>
      </w:r>
      <w:r>
        <w:rPr>
          <w:rFonts w:ascii="Cambria" w:hAnsi="Cambria" w:asciiTheme="majorHAnsi" w:hAnsiTheme="majorHAnsi"/>
          <w:sz w:val="22"/>
          <w:szCs w:val="22"/>
        </w:rPr>
        <w:t xml:space="preserve">  </w:t>
        <w:tab/>
      </w:r>
    </w:p>
    <w:tbl>
      <w:tblPr>
        <w:tblStyle w:val="TableGrid"/>
        <w:tblW w:w="9125" w:type="dxa"/>
        <w:jc w:val="left"/>
        <w:tblInd w:w="0" w:type="dxa"/>
        <w:tblCellMar>
          <w:top w:w="20" w:type="dxa"/>
          <w:left w:w="108" w:type="dxa"/>
          <w:bottom w:w="0" w:type="dxa"/>
          <w:right w:w="108" w:type="dxa"/>
        </w:tblCellMar>
        <w:tblLook w:firstRow="1" w:noVBand="1" w:lastRow="0" w:firstColumn="1" w:lastColumn="0" w:noHBand="0" w:val="04a0"/>
      </w:tblPr>
      <w:tblGrid>
        <w:gridCol w:w="2121"/>
        <w:gridCol w:w="7003"/>
      </w:tblGrid>
      <w:tr>
        <w:trPr>
          <w:trHeight w:val="915" w:hRule="atLeast"/>
        </w:trPr>
        <w:tc>
          <w:tcPr>
            <w:tcW w:w="2121" w:type="dxa"/>
            <w:tcBorders/>
            <w:shd w:fill="auto" w:val="clear"/>
            <w:vAlign w:val="bottom"/>
          </w:tcPr>
          <w:p>
            <w:pPr>
              <w:pStyle w:val="Normal"/>
              <w:spacing w:lineRule="auto" w:line="259"/>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b/>
                <w:sz w:val="22"/>
                <w:szCs w:val="22"/>
              </w:rPr>
              <w:tab/>
              <w:tab/>
              <w:tab/>
              <w:tab/>
              <w:tab/>
              <w:t xml:space="preserve"> </w:t>
            </w:r>
          </w:p>
        </w:tc>
        <w:tc>
          <w:tcPr>
            <w:tcW w:w="7003" w:type="dxa"/>
            <w:tcBorders/>
            <w:shd w:fill="auto" w:val="clear"/>
          </w:tcPr>
          <w:p>
            <w:pPr>
              <w:pStyle w:val="Normal"/>
              <w:spacing w:lineRule="auto" w:line="259"/>
              <w:ind w:left="1134" w:right="58" w:hanging="1134"/>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i/>
                <w:sz w:val="22"/>
                <w:szCs w:val="22"/>
              </w:rPr>
              <w:t>45200000-9</w:t>
            </w:r>
            <w:r>
              <w:rPr>
                <w:rFonts w:eastAsia="" w:cs="" w:ascii="Cambria" w:hAnsi="Cambria" w:asciiTheme="majorHAnsi" w:cstheme="minorBidi" w:eastAsiaTheme="minorEastAsia" w:hAnsiTheme="majorHAnsi"/>
                <w:i/>
                <w:szCs w:val="22"/>
              </w:rPr>
              <w:t xml:space="preserve"> </w:t>
            </w:r>
            <w:r>
              <w:rPr>
                <w:rFonts w:eastAsia="" w:cs="" w:ascii="Cambria" w:hAnsi="Cambria" w:asciiTheme="majorHAnsi" w:cstheme="minorBidi" w:eastAsiaTheme="minorEastAsia" w:hAnsiTheme="majorHAnsi"/>
                <w:sz w:val="22"/>
                <w:szCs w:val="22"/>
              </w:rPr>
              <w:t>Roboty budowlane w zakresie wznoszenia kompletnych obiektów budowlanych lub ich części oraz roboty w zakresie inżynierii lądowej i wodnej</w:t>
            </w:r>
          </w:p>
          <w:p>
            <w:pPr>
              <w:pStyle w:val="Normal"/>
              <w:spacing w:lineRule="auto" w:line="259"/>
              <w:ind w:left="1134" w:right="58" w:hanging="1134"/>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i/>
                <w:sz w:val="22"/>
                <w:szCs w:val="22"/>
              </w:rPr>
              <w:t>45400000-1</w:t>
            </w:r>
            <w:r>
              <w:rPr>
                <w:rFonts w:eastAsia="" w:cs="" w:ascii="Cambria" w:hAnsi="Cambria" w:asciiTheme="majorHAnsi" w:cstheme="minorBidi" w:eastAsiaTheme="minorEastAsia" w:hAnsiTheme="majorHAnsi"/>
                <w:sz w:val="22"/>
                <w:szCs w:val="22"/>
              </w:rPr>
              <w:t xml:space="preserve"> Roboty wykończeniowe w zakresie obiektów budowlanych</w:t>
            </w:r>
          </w:p>
          <w:p>
            <w:pPr>
              <w:pStyle w:val="Normal"/>
              <w:spacing w:lineRule="auto" w:line="259"/>
              <w:ind w:left="1134" w:right="58" w:hanging="1134"/>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sz w:val="22"/>
                <w:szCs w:val="22"/>
              </w:rPr>
              <w:t xml:space="preserve"> </w:t>
            </w:r>
          </w:p>
        </w:tc>
      </w:tr>
      <w:tr>
        <w:trPr>
          <w:trHeight w:val="687" w:hRule="atLeast"/>
        </w:trPr>
        <w:tc>
          <w:tcPr>
            <w:tcW w:w="2121" w:type="dxa"/>
            <w:tcBorders/>
            <w:shd w:fill="auto" w:val="clear"/>
          </w:tcPr>
          <w:p>
            <w:pPr>
              <w:pStyle w:val="Normal"/>
              <w:spacing w:lineRule="auto" w:line="259"/>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b/>
                <w:sz w:val="22"/>
                <w:szCs w:val="22"/>
              </w:rPr>
              <w:t>Klasy robót:</w:t>
            </w:r>
            <w:r>
              <w:rPr>
                <w:rFonts w:eastAsia="" w:cs="" w:ascii="Cambria" w:hAnsi="Cambria" w:asciiTheme="majorHAnsi" w:cstheme="minorBidi" w:eastAsiaTheme="minorEastAsia" w:hAnsiTheme="majorHAnsi"/>
                <w:sz w:val="22"/>
                <w:szCs w:val="22"/>
              </w:rPr>
              <w:t xml:space="preserve">  </w:t>
            </w:r>
          </w:p>
        </w:tc>
        <w:tc>
          <w:tcPr>
            <w:tcW w:w="7003" w:type="dxa"/>
            <w:vMerge w:val="restart"/>
            <w:tcBorders/>
            <w:shd w:fill="auto" w:val="clear"/>
          </w:tcPr>
          <w:p>
            <w:pPr>
              <w:pStyle w:val="Normal"/>
              <w:spacing w:lineRule="auto" w:line="240" w:before="0" w:after="26"/>
              <w:ind w:left="1134" w:hanging="1134"/>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i/>
                <w:sz w:val="22"/>
                <w:szCs w:val="22"/>
              </w:rPr>
              <w:t>45110000-1</w:t>
            </w:r>
            <w:r>
              <w:rPr>
                <w:rFonts w:eastAsia="" w:cs="" w:ascii="Cambria" w:hAnsi="Cambria" w:asciiTheme="majorHAnsi" w:cstheme="minorBidi" w:eastAsiaTheme="minorEastAsia" w:hAnsiTheme="majorHAnsi"/>
                <w:sz w:val="22"/>
                <w:szCs w:val="22"/>
              </w:rPr>
              <w:t xml:space="preserve"> Roboty w zakresie burzenia i rozbiórki obiektów budowlanych;</w:t>
            </w:r>
          </w:p>
          <w:p>
            <w:pPr>
              <w:pStyle w:val="Normal"/>
              <w:spacing w:lineRule="auto" w:line="259"/>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i/>
                <w:sz w:val="22"/>
                <w:szCs w:val="22"/>
              </w:rPr>
              <w:t>45210000-2</w:t>
            </w:r>
            <w:r>
              <w:rPr>
                <w:rFonts w:eastAsia="" w:cs="" w:ascii="Cambria" w:hAnsi="Cambria" w:asciiTheme="majorHAnsi" w:cstheme="minorBidi" w:eastAsiaTheme="minorEastAsia" w:hAnsiTheme="majorHAnsi"/>
                <w:sz w:val="22"/>
                <w:szCs w:val="22"/>
              </w:rPr>
              <w:t xml:space="preserve"> Roboty budowlane w zakresie budynków</w:t>
            </w:r>
          </w:p>
          <w:p>
            <w:pPr>
              <w:pStyle w:val="Normal"/>
              <w:spacing w:lineRule="auto" w:line="259"/>
              <w:jc w:val="both"/>
              <w:rPr>
                <w:rFonts w:ascii="Cambria" w:hAnsi="Cambria" w:eastAsia="" w:cs="" w:asciiTheme="majorHAnsi" w:hAnsiTheme="majorHAnsi"/>
                <w:sz w:val="22"/>
                <w:szCs w:val="22"/>
              </w:rPr>
            </w:pPr>
            <w:r>
              <w:rPr>
                <w:rFonts w:eastAsia="" w:cs="" w:ascii="Cambria" w:hAnsi="Cambria"/>
                <w:sz w:val="22"/>
                <w:szCs w:val="22"/>
              </w:rPr>
            </w:r>
          </w:p>
        </w:tc>
      </w:tr>
      <w:tr>
        <w:trPr>
          <w:trHeight w:val="230" w:hRule="atLeast"/>
        </w:trPr>
        <w:tc>
          <w:tcPr>
            <w:tcW w:w="2121" w:type="dxa"/>
            <w:tcBorders/>
            <w:shd w:fill="auto" w:val="clear"/>
          </w:tcPr>
          <w:p>
            <w:pPr>
              <w:pStyle w:val="Normal"/>
              <w:spacing w:lineRule="auto" w:line="259"/>
              <w:jc w:val="both"/>
              <w:rPr>
                <w:rFonts w:ascii="Cambria" w:hAnsi="Cambria" w:eastAsia="" w:cs="" w:asciiTheme="majorHAnsi" w:hAnsiTheme="majorHAnsi"/>
                <w:b/>
                <w:b/>
                <w:sz w:val="22"/>
                <w:szCs w:val="22"/>
              </w:rPr>
            </w:pPr>
            <w:r>
              <w:rPr>
                <w:rFonts w:eastAsia="" w:cs="" w:ascii="Cambria" w:hAnsi="Cambria"/>
                <w:b/>
                <w:sz w:val="22"/>
                <w:szCs w:val="22"/>
              </w:rPr>
            </w:r>
          </w:p>
          <w:p>
            <w:pPr>
              <w:pStyle w:val="Normal"/>
              <w:spacing w:lineRule="auto" w:line="259"/>
              <w:jc w:val="both"/>
              <w:rPr>
                <w:rFonts w:ascii="Cambria" w:hAnsi="Cambria" w:eastAsia="" w:cs="" w:asciiTheme="majorHAnsi" w:hAnsiTheme="majorHAnsi"/>
                <w:b/>
                <w:b/>
                <w:sz w:val="22"/>
                <w:szCs w:val="22"/>
              </w:rPr>
            </w:pPr>
            <w:r>
              <w:rPr>
                <w:rFonts w:eastAsia="" w:cs="" w:ascii="Cambria" w:hAnsi="Cambria"/>
                <w:b/>
                <w:sz w:val="22"/>
                <w:szCs w:val="22"/>
              </w:rPr>
            </w:r>
          </w:p>
          <w:p>
            <w:pPr>
              <w:pStyle w:val="Normal"/>
              <w:spacing w:lineRule="auto" w:line="259"/>
              <w:jc w:val="both"/>
              <w:rPr>
                <w:rFonts w:ascii="Cambria" w:hAnsi="Cambria" w:eastAsia="" w:cs="" w:asciiTheme="majorHAnsi" w:hAnsiTheme="majorHAnsi"/>
                <w:b/>
                <w:b/>
                <w:sz w:val="22"/>
                <w:szCs w:val="22"/>
              </w:rPr>
            </w:pPr>
            <w:r>
              <w:rPr>
                <w:rFonts w:eastAsia="" w:cs="" w:ascii="Cambria" w:hAnsi="Cambria"/>
                <w:b/>
                <w:sz w:val="22"/>
                <w:szCs w:val="22"/>
              </w:rPr>
            </w:r>
          </w:p>
          <w:p>
            <w:pPr>
              <w:pStyle w:val="Normal"/>
              <w:spacing w:lineRule="auto" w:line="259"/>
              <w:jc w:val="both"/>
              <w:rPr>
                <w:rFonts w:ascii="Cambria" w:hAnsi="Cambria" w:eastAsia="" w:cs="" w:asciiTheme="majorHAnsi" w:hAnsiTheme="majorHAnsi"/>
                <w:b/>
                <w:b/>
                <w:sz w:val="22"/>
                <w:szCs w:val="22"/>
              </w:rPr>
            </w:pPr>
            <w:r>
              <w:rPr>
                <w:rFonts w:eastAsia="" w:cs="" w:ascii="Cambria" w:hAnsi="Cambria"/>
                <w:b/>
                <w:sz w:val="22"/>
                <w:szCs w:val="22"/>
              </w:rPr>
            </w:r>
          </w:p>
          <w:p>
            <w:pPr>
              <w:pStyle w:val="Normal"/>
              <w:spacing w:lineRule="auto" w:line="259"/>
              <w:jc w:val="both"/>
              <w:rPr>
                <w:rFonts w:ascii="Cambria" w:hAnsi="Cambria" w:asciiTheme="majorHAnsi" w:hAnsiTheme="majorHAnsi"/>
                <w:sz w:val="22"/>
                <w:szCs w:val="22"/>
              </w:rPr>
            </w:pPr>
            <w:r>
              <w:rPr>
                <w:rFonts w:eastAsia="" w:cs="" w:ascii="Cambria" w:hAnsi="Cambria" w:asciiTheme="majorHAnsi" w:cstheme="minorBidi" w:eastAsiaTheme="minorEastAsia" w:hAnsiTheme="majorHAnsi"/>
                <w:b/>
                <w:sz w:val="22"/>
                <w:szCs w:val="22"/>
              </w:rPr>
              <w:t>Kategorie robót:</w:t>
            </w:r>
          </w:p>
        </w:tc>
        <w:tc>
          <w:tcPr>
            <w:tcW w:w="7003" w:type="dxa"/>
            <w:vMerge w:val="continue"/>
            <w:tcBorders/>
            <w:shd w:fill="auto" w:val="clear"/>
          </w:tcPr>
          <w:p>
            <w:pPr>
              <w:pStyle w:val="Normal"/>
              <w:spacing w:lineRule="auto" w:line="259" w:before="0" w:after="160"/>
              <w:jc w:val="both"/>
              <w:rPr>
                <w:rFonts w:ascii="Cambria" w:hAnsi="Cambria" w:eastAsia="" w:cs="" w:asciiTheme="majorHAnsi" w:hAnsiTheme="majorHAnsi"/>
                <w:sz w:val="22"/>
                <w:szCs w:val="22"/>
              </w:rPr>
            </w:pPr>
            <w:r>
              <w:rPr>
                <w:rFonts w:eastAsia="" w:cs="" w:ascii="Cambria" w:hAnsi="Cambria"/>
                <w:sz w:val="22"/>
                <w:szCs w:val="22"/>
              </w:rPr>
            </w:r>
          </w:p>
        </w:tc>
      </w:tr>
    </w:tbl>
    <w:p>
      <w:pPr>
        <w:pStyle w:val="Normal"/>
        <w:ind w:left="2134" w:hanging="0"/>
        <w:jc w:val="both"/>
        <w:rPr>
          <w:rFonts w:ascii="Cambria" w:hAnsi="Cambria" w:asciiTheme="majorHAnsi" w:hAnsiTheme="majorHAnsi"/>
          <w:sz w:val="22"/>
          <w:szCs w:val="22"/>
        </w:rPr>
      </w:pPr>
      <w:r>
        <w:rPr>
          <w:rFonts w:ascii="Cambria" w:hAnsi="Cambria" w:asciiTheme="majorHAnsi" w:hAnsiTheme="majorHAnsi"/>
          <w:i/>
          <w:sz w:val="22"/>
          <w:szCs w:val="22"/>
        </w:rPr>
        <w:t>45111100-9</w:t>
      </w:r>
      <w:r>
        <w:rPr>
          <w:rFonts w:ascii="Cambria" w:hAnsi="Cambria" w:asciiTheme="majorHAnsi" w:hAnsiTheme="majorHAnsi"/>
          <w:sz w:val="22"/>
          <w:szCs w:val="22"/>
        </w:rPr>
        <w:t xml:space="preserve"> Roboty rozbiórkowe</w:t>
      </w:r>
    </w:p>
    <w:p>
      <w:pPr>
        <w:pStyle w:val="Normal"/>
        <w:ind w:left="2134" w:hanging="0"/>
        <w:jc w:val="both"/>
        <w:rPr>
          <w:rFonts w:ascii="Cambria" w:hAnsi="Cambria" w:asciiTheme="majorHAnsi" w:hAnsiTheme="majorHAnsi"/>
          <w:i/>
          <w:i/>
          <w:sz w:val="22"/>
          <w:szCs w:val="22"/>
        </w:rPr>
      </w:pPr>
      <w:r>
        <w:rPr>
          <w:rFonts w:ascii="Cambria" w:hAnsi="Cambria" w:asciiTheme="majorHAnsi" w:hAnsiTheme="majorHAnsi"/>
          <w:i/>
          <w:sz w:val="22"/>
          <w:szCs w:val="22"/>
        </w:rPr>
        <w:t xml:space="preserve">45442000-7 Nakładanie powierzchni kryjących </w:t>
      </w:r>
    </w:p>
    <w:p>
      <w:pPr>
        <w:pStyle w:val="Normal"/>
        <w:ind w:left="2134" w:hanging="0"/>
        <w:jc w:val="both"/>
        <w:rPr>
          <w:rFonts w:ascii="Cambria" w:hAnsi="Cambria" w:asciiTheme="majorHAnsi" w:hAnsiTheme="majorHAnsi"/>
          <w:i/>
          <w:i/>
          <w:sz w:val="22"/>
          <w:szCs w:val="22"/>
        </w:rPr>
      </w:pPr>
      <w:r>
        <w:rPr>
          <w:rFonts w:ascii="Cambria" w:hAnsi="Cambria" w:asciiTheme="majorHAnsi" w:hAnsiTheme="majorHAnsi"/>
          <w:i/>
          <w:sz w:val="22"/>
          <w:szCs w:val="22"/>
        </w:rPr>
        <w:t>45442100-8 Roboty malarskie</w:t>
      </w:r>
    </w:p>
    <w:p>
      <w:pPr>
        <w:pStyle w:val="Normal"/>
        <w:shd w:val="clear" w:color="auto" w:fill="FFFFFF"/>
        <w:spacing w:before="0" w:after="240"/>
        <w:jc w:val="both"/>
        <w:rPr>
          <w:rFonts w:ascii="Cambria" w:hAnsi="Cambria" w:cs="Cambria" w:asciiTheme="majorHAnsi" w:hAnsiTheme="majorHAnsi"/>
          <w:color w:val="000000"/>
          <w:sz w:val="22"/>
          <w:szCs w:val="22"/>
        </w:rPr>
      </w:pPr>
      <w:r>
        <w:rPr>
          <w:rFonts w:cs="Cambria" w:ascii="Cambria" w:hAnsi="Cambria"/>
          <w:color w:val="000000"/>
          <w:sz w:val="22"/>
          <w:szCs w:val="22"/>
        </w:rPr>
      </w:r>
    </w:p>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Informacje dodatkowe. W ramach przedsięwzięcia </w:t>
      </w:r>
      <w:bookmarkStart w:id="6" w:name="_Hlk207606771"/>
      <w:r>
        <w:rPr>
          <w:rFonts w:cs="Cambria" w:ascii="Cambria" w:hAnsi="Cambria" w:asciiTheme="majorHAnsi" w:hAnsiTheme="majorHAnsi"/>
          <w:color w:val="000000"/>
          <w:sz w:val="22"/>
          <w:szCs w:val="22"/>
        </w:rPr>
        <w:t>wykonania prac remontowych w budynkach Uzdrowiska Rabka S.A. – Budynek Zakładu Przyrodoleczniczego – wymiana stolarki okiennej PVC i okiennej oraz drzwiowej Aluminiowej będą prowadzone roboty związane z:</w:t>
      </w:r>
    </w:p>
    <w:p>
      <w:pPr>
        <w:pStyle w:val="Normal"/>
        <w:numPr>
          <w:ilvl w:val="0"/>
          <w:numId w:val="43"/>
        </w:numPr>
        <w:shd w:val="clear" w:color="auto" w:fill="FFFFFF"/>
        <w:spacing w:lineRule="auto" w:line="276" w:before="0" w:after="24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Wymiana stolarki okiennej i drzwiowej w wybranych pomieszczeniach budynku ZPL wraz z obróbką wewnętrzną i zewnętrzną szpalet, montażem parapetów wewnętrznych:</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Zabezpieczenie miejsca prowadzonych prac z możliwością funkcjonowania budynku;</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Dostarczenie na własny koszt rusztowań (lub podnośnika) w ilości niezbędnej do realizacji zadania;</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Demontaż istniejącej stolarki okiennej i drzwiowej;</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Dostosowanie otworów okiennych i drzwiowych do montażu stolarki okiennej i drzwiowej:</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Wykonanie podmurówki podokiennika z bloczków z betonu komórkowego o grubości 24cm dla 1 sztuki okna pomieszczenia Hallu głównego wejściowego;</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Dostawa i montaż stolarki okiennej PVC w systemie np. Gealan - S9000 lub równoważnym (ze szkleniem o współczynniku okna U nie większym niż 0,9 W/m2K, pakietem 3 szybowym o współczynniku U nie większym niż 0,5 W/m2K. Skrzydła dolne rozwierno-uchylne, naświetla uchylne. Podział szklenia wg istniejącego układu 600/1200.  Kolorystyka biały/biały):</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Pawilon A:</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0"/>
          <w:szCs w:val="20"/>
        </w:rPr>
      </w:pPr>
      <w:r>
        <w:rPr>
          <w:rFonts w:cs="Cambria" w:ascii="Cambria" w:hAnsi="Cambria" w:asciiTheme="majorHAnsi" w:hAnsiTheme="majorHAnsi"/>
          <w:color w:val="000000"/>
          <w:sz w:val="22"/>
          <w:szCs w:val="22"/>
        </w:rPr>
        <w:t>Kawiarnia koncertowa (wraz z usunięciem krat antywłamaniowych) – piętro I;</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Hall główny wejściowy (wraz z podmurowaniem podokiennika) – parter;</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Pawilon B:</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Zespół pomieszczeń biczów wodnych – piętro I;</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Pomieszczenie inhalatorni – piętro I;</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Klatka schodowa – parter, I piętro, II piętro;</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Pawilon C:</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Zespół pomieszczeń działu IT – piętro I;</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Pawilon D: </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Pomieszczenie nr 101D – piętro I;</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Dostawa i montaż stolarki aluminiowej w systemie np. Aluprof lub równoważnym (ze szkleniem o współczynniku okna U nie większym niż 0,9 W/m2K, pakietem 3 szybowym o współczynniku U nie większym niż 0,5 W/m2K, szkło bezpieczne w klasie P2 33.2/16/4/16/4. Szerokość drzwi po otwarciu minimum 905 mm. Samozamykacz z blokadą otwarcia na 90 stopni. Dwa zamki ryglujące oraz elektrozaczep. Okucia naświetli umożliwiające ich uchylenie z poziomu posadzki. Kolorystyka do potwierdzenia przez Zamawiającego):</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Pawilon B:</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Zespół pomieszczeń badania słuchu – parter;</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Pawilon C:</w:t>
      </w:r>
    </w:p>
    <w:p>
      <w:pPr>
        <w:pStyle w:val="Normal"/>
        <w:numPr>
          <w:ilvl w:val="3"/>
          <w:numId w:val="43"/>
        </w:numPr>
        <w:shd w:val="clear" w:color="auto" w:fill="FFFFFF"/>
        <w:spacing w:lineRule="auto" w:line="276"/>
        <w:ind w:left="297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Zespół pomieszczeń sklepu – parter;</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Wykonanie obróbki elementów szpalet okiennych:</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 </w:t>
      </w:r>
      <w:r>
        <w:rPr>
          <w:rFonts w:cs="Cambria" w:ascii="Cambria" w:hAnsi="Cambria" w:asciiTheme="majorHAnsi" w:hAnsiTheme="majorHAnsi"/>
          <w:color w:val="000000"/>
          <w:sz w:val="22"/>
          <w:szCs w:val="22"/>
        </w:rPr>
        <w:t>Wewnętrznych – Pawilon A (tynk, okładzina g-k lub równoważne do uzgodnienia z Zamawiającym);</w:t>
      </w:r>
    </w:p>
    <w:p>
      <w:pPr>
        <w:pStyle w:val="Normal"/>
        <w:numPr>
          <w:ilvl w:val="2"/>
          <w:numId w:val="43"/>
        </w:numPr>
        <w:shd w:val="clear" w:color="auto" w:fill="FFFFFF"/>
        <w:spacing w:lineRule="auto" w:line="276"/>
        <w:ind w:left="2410" w:hanging="50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Wewnętrznych i zewnętrznych – Pawilon B, C i D (tynk, okładzina g-k lub równoważne do uzgodnienia z Zamawiającym);</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Montaż parapetów wewnętrznych (kolorystyka do potwierdzenia z Zamawiającym);</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Wykonanie malowania i scalenia kolorystycznego wykonanych obróbek (kolorystyka do potwierdzenia z Zamawiającym);</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Usunięcie i utylizacja wszystkich odpadów budowlanych wytworzonych podczas realizacji prac.</w:t>
      </w:r>
    </w:p>
    <w:p>
      <w:pPr>
        <w:pStyle w:val="Normal"/>
        <w:shd w:val="clear" w:color="auto" w:fill="FFFFFF"/>
        <w:spacing w:lineRule="auto" w:line="276"/>
        <w:jc w:val="both"/>
        <w:rPr>
          <w:rFonts w:ascii="Cambria" w:hAnsi="Cambria" w:cs="Cambria" w:asciiTheme="majorHAnsi" w:hAnsiTheme="majorHAnsi"/>
          <w:color w:val="000000"/>
          <w:sz w:val="22"/>
          <w:szCs w:val="22"/>
        </w:rPr>
      </w:pPr>
      <w:r>
        <w:rPr>
          <w:rFonts w:cs="Cambria" w:ascii="Cambria" w:hAnsi="Cambria"/>
          <w:color w:val="000000"/>
          <w:sz w:val="22"/>
          <w:szCs w:val="22"/>
        </w:rPr>
      </w:r>
    </w:p>
    <w:p>
      <w:pPr>
        <w:pStyle w:val="Normal"/>
        <w:numPr>
          <w:ilvl w:val="0"/>
          <w:numId w:val="43"/>
        </w:numPr>
        <w:shd w:val="clear" w:color="auto" w:fill="FFFFFF"/>
        <w:spacing w:lineRule="auto" w:line="276" w:before="0" w:after="240"/>
        <w:ind w:left="993" w:hanging="284"/>
        <w:jc w:val="both"/>
        <w:rPr>
          <w:rFonts w:ascii="Cambria" w:hAnsi="Cambria" w:cs="Cambria" w:asciiTheme="majorHAnsi" w:hAnsiTheme="majorHAnsi"/>
          <w:color w:val="000000"/>
        </w:rPr>
      </w:pPr>
      <w:r>
        <w:rPr>
          <w:rFonts w:cs="Cambria" w:ascii="Cambria" w:hAnsi="Cambria" w:asciiTheme="majorHAnsi" w:hAnsiTheme="majorHAnsi"/>
          <w:b/>
          <w:bCs/>
          <w:color w:val="000000"/>
          <w:sz w:val="22"/>
          <w:szCs w:val="22"/>
        </w:rPr>
        <w:t xml:space="preserve"> </w:t>
      </w:r>
      <w:r>
        <w:rPr>
          <w:rFonts w:cs="Cambria" w:ascii="Cambria" w:hAnsi="Cambria" w:asciiTheme="majorHAnsi" w:hAnsiTheme="majorHAnsi"/>
          <w:color w:val="000000"/>
        </w:rPr>
        <w:t>Niezbędnych robotach towarzyszących polegających m.in. na :</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Uzupełnieniu przegród budowlanych po demontażu wraz z malowaniem docelowym powierzchni;</w:t>
      </w:r>
    </w:p>
    <w:p>
      <w:pPr>
        <w:pStyle w:val="Normal"/>
        <w:numPr>
          <w:ilvl w:val="1"/>
          <w:numId w:val="43"/>
        </w:numPr>
        <w:shd w:val="clear" w:color="auto" w:fill="FFFFFF"/>
        <w:spacing w:lineRule="auto" w:line="276"/>
        <w:ind w:left="1701" w:hanging="43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Uzupełnieniu przegród budowlanych w miejscu przejścia przez strefy pożarowe wraz z wykonaniem uzupełnienia przejść pożarowych odpowiedniej klasy, opracowaniem dokumentacji i oznakowaniem.</w:t>
      </w:r>
    </w:p>
    <w:p>
      <w:pPr>
        <w:pStyle w:val="Normal"/>
        <w:shd w:val="clear" w:color="auto" w:fill="FFFFFF"/>
        <w:spacing w:lineRule="auto" w:line="276"/>
        <w:ind w:left="1701" w:hanging="0"/>
        <w:jc w:val="both"/>
        <w:rPr>
          <w:rFonts w:ascii="Cambria" w:hAnsi="Cambria" w:cs="Cambria" w:asciiTheme="majorHAnsi" w:hAnsiTheme="majorHAnsi"/>
          <w:color w:val="000000"/>
          <w:sz w:val="22"/>
          <w:szCs w:val="22"/>
        </w:rPr>
      </w:pPr>
      <w:r>
        <w:rPr>
          <w:rFonts w:cs="Cambria" w:ascii="Cambria" w:hAnsi="Cambria"/>
          <w:color w:val="000000"/>
          <w:sz w:val="22"/>
          <w:szCs w:val="22"/>
        </w:rPr>
      </w:r>
    </w:p>
    <w:p>
      <w:pPr>
        <w:pStyle w:val="ListParagraph"/>
        <w:numPr>
          <w:ilvl w:val="0"/>
          <w:numId w:val="43"/>
        </w:numPr>
        <w:ind w:left="993" w:hanging="284"/>
        <w:rPr>
          <w:rFonts w:ascii="Cambria" w:hAnsi="Cambria" w:cs="Cambria" w:asciiTheme="majorHAnsi" w:hAnsiTheme="majorHAnsi"/>
          <w:color w:val="000000"/>
        </w:rPr>
      </w:pPr>
      <w:r>
        <w:rPr>
          <w:rFonts w:cs="Cambria" w:ascii="Cambria" w:hAnsi="Cambria" w:asciiTheme="majorHAnsi" w:hAnsiTheme="majorHAnsi"/>
          <w:color w:val="000000"/>
        </w:rPr>
        <w:t>Wykonaniu innych, a niewymienionych powyżej, robotach niezbędnych w celu prawidłowej realizacji zadania.</w:t>
      </w:r>
    </w:p>
    <w:p>
      <w:pPr>
        <w:pStyle w:val="ListParagraph"/>
        <w:numPr>
          <w:ilvl w:val="0"/>
          <w:numId w:val="43"/>
        </w:numPr>
        <w:ind w:left="993" w:hanging="284"/>
        <w:rPr>
          <w:rFonts w:ascii="Cambria" w:hAnsi="Cambria" w:cs="Cambria" w:asciiTheme="majorHAnsi" w:hAnsiTheme="majorHAnsi"/>
          <w:color w:val="000000"/>
        </w:rPr>
      </w:pPr>
      <w:r>
        <w:rPr>
          <w:rFonts w:cs="Cambria" w:ascii="Cambria" w:hAnsi="Cambria" w:asciiTheme="majorHAnsi" w:hAnsiTheme="majorHAnsi"/>
          <w:color w:val="000000"/>
        </w:rPr>
        <w:t>Wykonaniu niezbędnych sprawdzeń, badań i prób</w:t>
      </w:r>
      <w:bookmarkEnd w:id="6"/>
      <w:r>
        <w:rPr>
          <w:rFonts w:cs="Cambria" w:ascii="Cambria" w:hAnsi="Cambria" w:asciiTheme="majorHAnsi" w:hAnsiTheme="majorHAnsi"/>
          <w:color w:val="000000"/>
        </w:rPr>
        <w:t>.</w:t>
      </w:r>
    </w:p>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Na przedmiot zamówienia  składa się m. in. następujący zakres robót:</w:t>
      </w:r>
    </w:p>
    <w:p>
      <w:pPr>
        <w:pStyle w:val="Normal"/>
        <w:numPr>
          <w:ilvl w:val="0"/>
          <w:numId w:val="34"/>
        </w:numPr>
        <w:shd w:val="clear" w:color="auto" w:fill="FFFFFF"/>
        <w:spacing w:before="0" w:after="24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Roboty rozbiórkowe, w tym m.in. demontaż elementów istniejącej stolarki,  przegród zewnętrznych elewacji, roboty murowe podokienników, wykończenia ścian i elewacji, wykonanie nowych zabudów podokienników,  wykończenia/szpachlowanie elewacji, ścian, malowanie ścian. Prace należy wykonać wraz z niezbędnymi badaniami, sprawdzeniami, próbami i robotami towarzyszącymi.</w:t>
      </w:r>
      <w:bookmarkStart w:id="7" w:name="_Hlk207606805"/>
      <w:bookmarkEnd w:id="7"/>
    </w:p>
    <w:p>
      <w:pPr>
        <w:pStyle w:val="Normal"/>
        <w:numPr>
          <w:ilvl w:val="0"/>
          <w:numId w:val="34"/>
        </w:numPr>
        <w:shd w:val="clear" w:color="auto" w:fill="FFFFFF"/>
        <w:spacing w:before="0" w:after="24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Zakres robót obejmuje prace w budynkach:</w:t>
      </w:r>
    </w:p>
    <w:p>
      <w:pPr>
        <w:pStyle w:val="Normal"/>
        <w:numPr>
          <w:ilvl w:val="0"/>
          <w:numId w:val="51"/>
        </w:numPr>
        <w:shd w:val="clear" w:color="auto" w:fill="FFFFFF"/>
        <w:tabs>
          <w:tab w:val="clear" w:pos="709"/>
          <w:tab w:val="left" w:pos="1134" w:leader="none"/>
        </w:tabs>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Budynek Zakładu Przyrodoleczniczego - 34-700 Rabka-Zdrój, ul. Orkana 49;</w:t>
      </w:r>
    </w:p>
    <w:p>
      <w:pPr>
        <w:pStyle w:val="Normal"/>
        <w:numPr>
          <w:ilvl w:val="0"/>
          <w:numId w:val="34"/>
        </w:numPr>
        <w:shd w:val="clear" w:color="auto" w:fill="FFFFFF"/>
        <w:spacing w:before="0" w:after="24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Szacunkowe zestawienia robót i materiałów (jedynie do celów poglądowych):</w:t>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399"/>
        <w:gridCol w:w="4294"/>
        <w:gridCol w:w="441"/>
        <w:gridCol w:w="1568"/>
        <w:gridCol w:w="996"/>
        <w:gridCol w:w="1371"/>
      </w:tblGrid>
      <w:tr>
        <w:trPr>
          <w:trHeight w:val="1116" w:hRule="atLeast"/>
        </w:trPr>
        <w:tc>
          <w:tcPr>
            <w:tcW w:w="39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I.1.</w:t>
            </w:r>
          </w:p>
        </w:tc>
        <w:tc>
          <w:tcPr>
            <w:tcW w:w="4294" w:type="dxa"/>
            <w:tcBorders>
              <w:top w:val="single" w:sz="4" w:space="0" w:color="000000"/>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Wymiana stolarki okiennej i drzwiowej w wybranych pomieszczeniach budynku ZPL wraz z obróbką wewnętrzną i zewnętrzną szpalet, montażem parapetów wewnętrznych</w:t>
            </w:r>
          </w:p>
        </w:tc>
        <w:tc>
          <w:tcPr>
            <w:tcW w:w="441" w:type="dxa"/>
            <w:tcBorders>
              <w:top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j.m </w:t>
            </w:r>
          </w:p>
        </w:tc>
        <w:tc>
          <w:tcPr>
            <w:tcW w:w="1568" w:type="dxa"/>
            <w:tcBorders>
              <w:top w:val="single" w:sz="4" w:space="0" w:color="000000"/>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Ilość elementów</w:t>
            </w:r>
          </w:p>
        </w:tc>
        <w:tc>
          <w:tcPr>
            <w:tcW w:w="996" w:type="dxa"/>
            <w:tcBorders>
              <w:top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jednostka </w:t>
            </w:r>
          </w:p>
        </w:tc>
        <w:tc>
          <w:tcPr>
            <w:tcW w:w="1371" w:type="dxa"/>
            <w:tcBorders>
              <w:top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Ilość robót</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Zabezpieczenie miejsca prowadzonych prac z możliwością funkcjonowania budynku</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2</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Dostarczenie na własny koszt rusztowań (lub podnośnika) w ilości niezbędnej do realizacji zadania</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3</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Demontaż istniejącej stolarki okiennej i drzwiowej</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119,83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4</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Dostosowanie otworów okiennych i drzwiowych do montażu stolarki okiennej i drzwiowej</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r>
        <w:trPr>
          <w:trHeight w:val="828"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5</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Wykonanie podmurówki podokiennika z bloczków z betonu komórkowego o grubości 24cm dla 1 sztuki okna pomieszczenia Hallu głównego wejściowego</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2,94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Dostawa i montaż stolarki okiennej PVC:</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6.1</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Kawiarnia koncertowa (wraz z usunięciem krat antywłamaniowych) – piętro I;</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2</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9,72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6.2</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Hall główny wejściowy  – parter</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4,86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6.3</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biczów wodnych – piętro I</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5</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24,30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6.4</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Pomieszczenie inhalatorni – piętro I</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4,86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6.5</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Klatka schodowa – parter, I piętro, II piętro</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3</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14,58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6.6</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działu IT – piętro I</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4</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19,44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6.7</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Pomieszczenie nr 101D – piętro I</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4,86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7.</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Dostawa i montaż stolarki aluminiowej:</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7.1</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badania słuchu – parter</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21,89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7.2</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sklepu – parter</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15,32 </w:t>
            </w:r>
          </w:p>
        </w:tc>
      </w:tr>
      <w:tr>
        <w:trPr>
          <w:trHeight w:val="276"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Wykonanie obróbki elementów szpalet okiennych</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8.1</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Wewnętrznych – Pawilon A (tynk, okładzina g-k lub równoważne do uzgodnienia z Zamawiającym)</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mb</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18,90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8.2</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Wewnętrznych – Pawilon B, C i D (tynk, okładzina g-k lub równoważne do uzgodnienia z Zamawiającym)</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mb</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71,28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8.3</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Zewnętrznych – Pawilon B, C i D (tynk, okładzina g-k lub równoważne do uzgodnienia z Zamawiającym)</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14,26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9</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Montaż parapetów wewnętrznych (kolorystyka do potwierdzenia z Zamawiającym)</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mb</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47,60 </w:t>
            </w:r>
          </w:p>
        </w:tc>
      </w:tr>
      <w:tr>
        <w:trPr>
          <w:trHeight w:val="828"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10</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Wykonanie malowania i scalenia kolorystycznego wykonanych obróbek (kolorystyka do potwierdzenia z Zamawiającym)</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90,18 </w:t>
            </w:r>
          </w:p>
        </w:tc>
      </w:tr>
      <w:tr>
        <w:trPr>
          <w:trHeight w:val="552" w:hRule="atLeast"/>
        </w:trPr>
        <w:tc>
          <w:tcPr>
            <w:tcW w:w="399" w:type="dxa"/>
            <w:tcBorders>
              <w:left w:val="single" w:sz="4" w:space="0" w:color="000000"/>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11</w:t>
            </w:r>
          </w:p>
        </w:tc>
        <w:tc>
          <w:tcPr>
            <w:tcW w:w="4294"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Usunięcie i utylizacja wszystkich odpadów budowlanych wytworzonych podczas realizacji prac</w:t>
            </w:r>
          </w:p>
        </w:tc>
        <w:tc>
          <w:tcPr>
            <w:tcW w:w="44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568" w:type="dxa"/>
            <w:tcBorders>
              <w:bottom w:val="single" w:sz="4" w:space="0" w:color="000000"/>
              <w:right w:val="single" w:sz="4" w:space="0" w:color="000000"/>
            </w:tcBorders>
            <w:shd w:fill="auto" w:val="clear"/>
          </w:tcPr>
          <w:p>
            <w:pPr>
              <w:pStyle w:val="Normal"/>
              <w:numPr>
                <w:ilvl w:val="0"/>
                <w:numId w:val="0"/>
              </w:numPr>
              <w:suppressAutoHyphens w:val="false"/>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996"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371" w:type="dxa"/>
            <w:tcBorders>
              <w:bottom w:val="single" w:sz="4" w:space="0" w:color="000000"/>
              <w:right w:val="single" w:sz="4" w:space="0" w:color="000000"/>
            </w:tcBorders>
            <w:shd w:fill="auto" w:val="clear"/>
          </w:tcPr>
          <w:p>
            <w:pPr>
              <w:pStyle w:val="Normal"/>
              <w:numPr>
                <w:ilvl w:val="0"/>
                <w:numId w:val="0"/>
              </w:numPr>
              <w:suppressAutoHyphens w:val="false"/>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bl>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 ramach przedmiotu zamówienia i wynagrodzenia ryczałtowego wykonawca zobowiązany będzie wykonać i wliczyć koszt robót przygotowawczych, porządkowych, wywozu i utylizacji wytworzonych odpadów, utrzymania funkcjonowania budynku Zakładu Przyrodoleczniczego w trakcie prac remontowych, organizacji a następnie likwidacji placu budowy, w tym m.in. koszty utrzymania zaplecza budowy oraz drogi dojazdowej do terenu budowy, koszty związane z odbiorami robót, koszty wykonania inwentaryzacji powykonawczej oraz inne koszty wynikające z niniejszej umowy, w tym koszty związane z uzyskaniem prawomocnego pozwolenia na użytkowanie budynku przez Zamawiającego o ile jest to wymagane przepisami prawa. </w:t>
      </w:r>
    </w:p>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Pozostałe wymagania: </w:t>
      </w:r>
    </w:p>
    <w:p>
      <w:pPr>
        <w:pStyle w:val="Normal"/>
        <w:numPr>
          <w:ilvl w:val="0"/>
          <w:numId w:val="45"/>
        </w:numPr>
        <w:shd w:val="clear" w:color="auto" w:fill="FFFFFF"/>
        <w:tabs>
          <w:tab w:val="clear" w:pos="709"/>
          <w:tab w:val="left" w:pos="1134" w:leader="none"/>
        </w:tabs>
        <w:spacing w:before="0" w:after="240"/>
        <w:ind w:left="993" w:hanging="36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Wymagania dotyczące utrzymania Zakładu Przyrodoleczniczego: Wykonawca zobowiązany jest do takiego prowadzenia robót, które będzie umożliwiało funkcjonowanie obiektu.</w:t>
      </w:r>
    </w:p>
    <w:p>
      <w:pPr>
        <w:pStyle w:val="Normal"/>
        <w:numPr>
          <w:ilvl w:val="0"/>
          <w:numId w:val="45"/>
        </w:numPr>
        <w:shd w:val="clear" w:color="auto" w:fill="FFFFFF"/>
        <w:tabs>
          <w:tab w:val="clear" w:pos="709"/>
          <w:tab w:val="left" w:pos="1134" w:leader="none"/>
        </w:tabs>
        <w:spacing w:before="0" w:after="240"/>
        <w:ind w:left="993" w:hanging="36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Wymagania dotyczące kolorystyki i parametrów materiałów: przed wykonaniem (wbudowaniem) takich elementów zamówienia jak: stolarka okienna, stolarka aluminiowa, farby, obróbki blacharskie, itp., ich kolorystykę i parametry należy uzgodnić z Zamawiającym i uzyskać jego pisemną akceptację, w szczególności jeżeli kolorystyka i parametry nie są wyraźnie określone w dokumentacji. </w:t>
      </w:r>
    </w:p>
    <w:p>
      <w:pPr>
        <w:pStyle w:val="Normal"/>
        <w:numPr>
          <w:ilvl w:val="0"/>
          <w:numId w:val="45"/>
        </w:numPr>
        <w:shd w:val="clear" w:color="auto" w:fill="FFFFFF"/>
        <w:tabs>
          <w:tab w:val="clear" w:pos="709"/>
          <w:tab w:val="left" w:pos="1134" w:leader="none"/>
        </w:tabs>
        <w:spacing w:before="0" w:after="240"/>
        <w:ind w:left="993" w:hanging="36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Dodatkowe warunki dotyczące realizacji przedmiotu zamówienia, robót towarzyszących oraz tymczasowych nie objętych dokumentacją i przedmiarem robót konieczne do wykonania i uwzględnienia przez Wykonawcę to: </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organizacja i zabezpieczenie placu budowy,</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wykonanie robót nieujętych w przedmiocie zamówienia oraz kosztorysach, a niezbędnych do wykonania przedmiotu umowy i należytego funkcjonowania obiektu </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uporządkowanie terenu objętego placem budowy, </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zabezpieczenie mediów (woda, prąd, ciepło technologiczne) niezbędnych do funkcjonowania </w:t>
      </w:r>
      <w:r>
        <w:rPr>
          <w:rFonts w:cs="Cambria" w:ascii="Cambria" w:hAnsi="Cambria" w:asciiTheme="majorHAnsi" w:hAnsiTheme="majorHAnsi"/>
          <w:color w:val="000000"/>
          <w:sz w:val="22"/>
          <w:szCs w:val="22"/>
        </w:rPr>
        <w:t>Zakładu Przyrodoleczniczego</w:t>
      </w:r>
      <w:r>
        <w:rPr>
          <w:rFonts w:cs="Cambria" w:ascii="Cambria" w:hAnsi="Cambria" w:asciiTheme="majorHAnsi" w:hAnsiTheme="majorHAnsi"/>
          <w:sz w:val="22"/>
          <w:szCs w:val="22"/>
        </w:rPr>
        <w:t xml:space="preserve">,  </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wykonanie branżowych badań i sprawdzeń wynikających z przepisów prawa,</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wykonanie branżowych prób, odbiorów technicznych i technologicznych, </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zapewnienie w okresie gwarancji pełnego i nieodpłatnego serwisu gwarancyjnego, </w:t>
      </w:r>
    </w:p>
    <w:p>
      <w:pPr>
        <w:pStyle w:val="Normal"/>
        <w:numPr>
          <w:ilvl w:val="0"/>
          <w:numId w:val="44"/>
        </w:numPr>
        <w:shd w:val="clear" w:color="auto" w:fill="FFFFFF"/>
        <w:ind w:left="1560"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przekazanie certyfikatów zastosowanych materiałów oraz protokołów z prób wykonanych instalacji,</w:t>
      </w:r>
    </w:p>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Zasady ogólne realizacji przedmiotu zamówienia. </w:t>
      </w:r>
    </w:p>
    <w:p>
      <w:pPr>
        <w:pStyle w:val="Normal"/>
        <w:numPr>
          <w:ilvl w:val="3"/>
          <w:numId w:val="33"/>
        </w:numPr>
        <w:shd w:val="clear" w:color="auto" w:fill="FFFFFF"/>
        <w:spacing w:before="240" w:after="240"/>
        <w:ind w:left="1134"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Wszystkie roboty muszą być wykonane zgodnie z obowiązującymi przepisami, w szczególności wymogami ustawy z dnia 7 lipca 1994 r. Prawo budowlane (tekst jednolity Dz. U. z 2025 r. poz. 418 ze zm.) normami, warunkami technicznymi  i sztuką budowlaną, przepisami dotyczącymi bhp przy wykonywaniu robót budowlanych, tj. Rozporządzeniem Ministra Infrastruktury z dnia 6 lutego 2003 r. w sprawie bezpieczeństwa i higieny pracy podczas wykonywania robót budowlanych (Dz. U. z 2003 r.,  nr 47, poz. 401), przepisami ppoż. oraz zgodnie z poleceniami inspektora nadzoru.  </w:t>
      </w:r>
    </w:p>
    <w:p>
      <w:pPr>
        <w:pStyle w:val="Normal"/>
        <w:numPr>
          <w:ilvl w:val="3"/>
          <w:numId w:val="33"/>
        </w:numPr>
        <w:shd w:val="clear" w:color="auto" w:fill="FFFFFF"/>
        <w:spacing w:before="0" w:after="240"/>
        <w:ind w:left="1134"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Roboty należy prowadzić zgodnie z wymogami dokumentacji, przedmiarem robót, wymogami niniejszej SWZ, z należytą starannością w ich wykonaniu, dobrą jakością i właściwą organizacją pracy.</w:t>
      </w:r>
    </w:p>
    <w:p>
      <w:pPr>
        <w:pStyle w:val="Normal"/>
        <w:numPr>
          <w:ilvl w:val="3"/>
          <w:numId w:val="33"/>
        </w:numPr>
        <w:shd w:val="clear" w:color="auto" w:fill="FFFFFF"/>
        <w:spacing w:before="0" w:after="240"/>
        <w:ind w:left="1134"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Wykonawca będzie zobowiązany do uprzątnięcia pozostałości po pracach oraz pozostałych odpadów po działalności własnej (odpady budowlane, puste opakowania, zużyte elementy maszyn, itp.). </w:t>
      </w:r>
    </w:p>
    <w:p>
      <w:pPr>
        <w:pStyle w:val="Normal"/>
        <w:numPr>
          <w:ilvl w:val="3"/>
          <w:numId w:val="33"/>
        </w:numPr>
        <w:shd w:val="clear" w:color="auto" w:fill="FFFFFF"/>
        <w:spacing w:before="0" w:after="240"/>
        <w:ind w:left="1134"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Wszystkie prace należy wykonać w czynnych obiektach. W związku z tym Wykonawca jest zobowiązany do zaplanowania i przeprowadzenia prac w sposób gwarantujący bezpieczeństwo pracowników i pacjentów, a także innych osób przebywających na obiekcie, jak również zminimalizowanie ograniczeń i uciążliwości związanych z wykonywanymi robotami.</w:t>
      </w:r>
    </w:p>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Formularzu Oferty. W przypadku braku wskazania w Ofercie podwykonawstwa Wykonawca będzie mógł wprowadzić podwykonawcę wyłącznie na warunkach określonych w umowie. </w:t>
      </w:r>
    </w:p>
    <w:p>
      <w:pPr>
        <w:pStyle w:val="Normal"/>
        <w:numPr>
          <w:ilvl w:val="0"/>
          <w:numId w:val="14"/>
        </w:numPr>
        <w:shd w:val="clear" w:color="auto" w:fill="FFFFFF"/>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Zgodnie z art. 95 PZP Zamawiający wymaga zatrudnienia przez Wykonawcę lub podwykonawcę na podstawie stosunku pracy osób wykonujących pod kierownictwem pracodawcy czynności polegające na demontażu i montażu stolarki okiennej lub drzwiowej, wykonywaniu obróbek murarskich, tynkarskich i malarskich, montażu parapetów oraz pracach porządkowych i związanych z gospodarką odpadami, jeżeli wykonywanie tych czynności odpowiada warunkom określonym w art. 22 § 1 ustawy z dnia 26 czerwca 1974 r. – Kodeks pracy (Dz. U. z 2025 r. poz. 277 ze zm.). Sposób dokumentowania, kontroli i sankcje określa wzór Umowy stanowiący załącznik nr 9 do SWZ.</w:t>
      </w:r>
    </w:p>
    <w:p>
      <w:pPr>
        <w:pStyle w:val="ListParagraph"/>
        <w:numPr>
          <w:ilvl w:val="0"/>
          <w:numId w:val="14"/>
        </w:numPr>
        <w:shd w:val="clear" w:color="auto" w:fill="FFFFFF"/>
        <w:spacing w:before="240" w:after="200"/>
        <w:jc w:val="both"/>
        <w:rPr>
          <w:rFonts w:ascii="Cambria" w:hAnsi="Cambria" w:cs="Cambria" w:asciiTheme="majorHAnsi" w:hAnsiTheme="majorHAnsi"/>
          <w:b/>
          <w:b/>
        </w:rPr>
      </w:pPr>
      <w:r>
        <w:rPr>
          <w:rFonts w:cs="Cambria" w:ascii="Cambria" w:hAnsi="Cambria" w:asciiTheme="majorHAnsi" w:hAnsiTheme="majorHAnsi"/>
          <w:b/>
        </w:rPr>
        <w:t xml:space="preserve">Równoważność: </w:t>
      </w:r>
    </w:p>
    <w:p>
      <w:pPr>
        <w:pStyle w:val="Normal"/>
        <w:shd w:val="clear" w:color="auto" w:fill="FFFFFF"/>
        <w:spacing w:before="240" w:after="0"/>
        <w:ind w:left="70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W przypadku, gdy Zamawiający użył w opisie przedmiotu zamówienia normy, aprobaty, specyfikacji technicznych i systemów odniesienia, o których mowa w art. 101 ustawy Pzp należy rozumieć je jako przykładowe. Zamawiający zgodnie z art. 101 ust. 4 ustawy Pzp dopuszcza w każdym przypadku zastosowanie rozwiązań równoważnych opisywanym w treści SWZ. Każdorazowo, gdy wskazana jest w niniejszej SWZ lub załącznikach do SWZ norma, należy przyjąć, że w odniesieniu do niej użyto sformułowania „lub równoważna”.</w:t>
      </w:r>
    </w:p>
    <w:p>
      <w:pPr>
        <w:pStyle w:val="Normal"/>
        <w:shd w:val="clear" w:color="auto" w:fill="FFFFFF"/>
        <w:spacing w:before="240" w:after="0"/>
        <w:ind w:left="70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i w załącznikach do SWZ,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 </w:t>
      </w:r>
    </w:p>
    <w:p>
      <w:pPr>
        <w:pStyle w:val="Normal"/>
        <w:shd w:val="clear" w:color="auto" w:fill="FFFFFF"/>
        <w:spacing w:before="240" w:after="0"/>
        <w:ind w:left="70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Równoważność polega na możliwości zaoferowania przedmiotu zamówienia o nie gorszych parametrach technicznych, konfiguracjach, wymaganiach normatywnych, użytkowych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 </w:t>
      </w:r>
    </w:p>
    <w:p>
      <w:pPr>
        <w:pStyle w:val="Normal"/>
        <w:shd w:val="clear" w:color="auto" w:fill="FFFFFF"/>
        <w:spacing w:before="240" w:after="240"/>
        <w:ind w:left="70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t>
      </w:r>
    </w:p>
    <w:p>
      <w:pPr>
        <w:pStyle w:val="Normal"/>
        <w:shd w:val="clear" w:color="auto" w:fill="FFFFFF"/>
        <w:spacing w:before="240" w:after="240"/>
        <w:ind w:left="70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 takiej sytuacji Zamawiający wymaga złożenia wraz z ofertą stosownych dokumentów, uwiarygodniających te materiały lub urządzenia. Będą one podlegały ocenie w trakcie badania oferty. </w:t>
      </w:r>
    </w:p>
    <w:p>
      <w:pPr>
        <w:pStyle w:val="Normal"/>
        <w:shd w:val="clear" w:color="auto" w:fill="FFFFFF"/>
        <w:spacing w:before="240" w:after="240"/>
        <w:ind w:left="70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Zamawiający zobowiązuje Wykonawców do wykazania rozwiązań równoważnych do zastosowania w stosunku do dokumentacji postępowania. W myśl art. 101 ust. 5 PZP Wykonawca, który powołuje się na rozwiązania równoważne (w sytuacji, gdy opis przedmiotu zamówienia odnosi się do norm, ocen technicznych, specyfikacji technicznych i systemów referencji technicznych, o których mowa w art. 101 ust. 1 pkt 2) i ust. 3 PZP), obowiązany jest udowodnić w ofercie, że oferowane przez niego roboty budowlane i rozwiązania spełniają wymagania określone w SWZ. Brak wskazania tych elementów będzie traktowane, jako wybór elementów opisanych w SWZ (w tym w załącznikach do SWZ). </w:t>
      </w:r>
    </w:p>
    <w:p>
      <w:pPr>
        <w:pStyle w:val="Normal"/>
        <w:shd w:val="clear" w:color="auto" w:fill="FFFFFF"/>
        <w:spacing w:before="240" w:after="240"/>
        <w:ind w:left="70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Zamawiający zobowiązuje Wykonawców do wykazania rozwiązań równoważnych do zastosowania w stosunku do dokumentacji postępowania (SWZ i załącznikach do niej).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 </w:t>
      </w:r>
    </w:p>
    <w:p>
      <w:pPr>
        <w:pStyle w:val="Normal"/>
        <w:shd w:val="clear" w:color="auto" w:fill="FFFFFF"/>
        <w:spacing w:before="240" w:after="0"/>
        <w:jc w:val="both"/>
        <w:rPr>
          <w:rFonts w:ascii="Cambria" w:hAnsi="Cambria" w:cs="Cambria" w:asciiTheme="majorHAnsi" w:hAnsiTheme="majorHAnsi"/>
          <w:sz w:val="22"/>
          <w:szCs w:val="22"/>
        </w:rPr>
      </w:pPr>
      <w:r>
        <w:rPr>
          <w:rFonts w:cs="Cambria" w:ascii="Cambria" w:hAnsi="Cambria" w:asciiTheme="majorHAnsi" w:hAnsiTheme="majorHAnsi"/>
          <w:b/>
          <w:sz w:val="22"/>
          <w:szCs w:val="22"/>
        </w:rPr>
        <w:t>Kryteria stosowane w celu oceny równoważności:</w:t>
      </w:r>
    </w:p>
    <w:p>
      <w:pPr>
        <w:pStyle w:val="Normal"/>
        <w:shd w:val="clear" w:color="auto" w:fill="FFFFFF"/>
        <w:spacing w:before="240" w:after="0"/>
        <w:ind w:left="720"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Wykonawca, który powołuje się na rozwiązania równoważne, jest zobowiązany wykazać w Ofercie, że oferowane przez niego rozwiązanie, spełnia wymagania określone przez Zamawiającego. </w:t>
      </w:r>
    </w:p>
    <w:p>
      <w:pPr>
        <w:pStyle w:val="Normal"/>
        <w:shd w:val="clear" w:color="auto" w:fill="FFFFFF"/>
        <w:spacing w:before="240" w:after="0"/>
        <w:ind w:left="720"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W takim przypadku Wykonawca zobowiązany jest: </w:t>
      </w:r>
    </w:p>
    <w:p>
      <w:pPr>
        <w:pStyle w:val="Normal"/>
        <w:numPr>
          <w:ilvl w:val="1"/>
          <w:numId w:val="32"/>
        </w:numPr>
        <w:shd w:val="clear" w:color="auto" w:fill="FFFFFF"/>
        <w:spacing w:before="240" w:after="0"/>
        <w:ind w:left="1134"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Podać w Ofercie – Poprzez wypełnienie tabeli pod nazwą: „Wykaz materiałów i urządzeń równoważnych oraz rozwiązań równoważnych”, znajdującej się na Formularzu Oferta Załącznik nr 2 do SWZ, podając: Nazwę (typ, rodzaj) materiału/urządzenia lub/oraz opis rozwiązania (norma, europejska ocena techniczna, aprobata, specyfikacja techniczna, system referencji technicznej) oryginalnego: (wynikających z dokumentacji) oraz nazwę (typ, rodzaj) materiału/urządzenia równoważnego lub/oraz opis rozwiązania równoważnego (norma, europejska ocena techniczna, aprobata, specyfikacja techniczna, system referencji technicznej), a także podać nazwę producenta materiału/urządzenia równoważnego;</w:t>
      </w:r>
    </w:p>
    <w:p>
      <w:pPr>
        <w:pStyle w:val="Normal"/>
        <w:numPr>
          <w:ilvl w:val="1"/>
          <w:numId w:val="32"/>
        </w:numPr>
        <w:shd w:val="clear" w:color="auto" w:fill="FFFFFF"/>
        <w:ind w:left="1134"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Przedłożyć wraz z ofertą odpowiednie dokumenty (w języku polskim) np. karty techniczne, karty katalogowe producenta, wymagane przepisami prawa certyfikaty, inne dokumenty, opisujące techniczne parametry zaoferowanych materiałów i urządzeń równoważnych, lub/oraz inne dokumenty dotyczące norm, europejskich ocen technicznych, aprobat, specyfikacji technicznych i systemów referencji technicznych, pozwalające jednoznacznie stwierdzić, że są one rzeczywiście równoważne.</w:t>
      </w:r>
    </w:p>
    <w:p>
      <w:pPr>
        <w:pStyle w:val="Normal"/>
        <w:numPr>
          <w:ilvl w:val="1"/>
          <w:numId w:val="32"/>
        </w:numPr>
        <w:shd w:val="clear" w:color="auto" w:fill="FFFFFF"/>
        <w:ind w:left="1134" w:hanging="425"/>
        <w:jc w:val="both"/>
        <w:rPr>
          <w:rFonts w:ascii="Cambria" w:hAnsi="Cambria" w:cs="Cambria" w:asciiTheme="majorHAnsi" w:hAnsiTheme="majorHAnsi"/>
          <w:sz w:val="22"/>
          <w:szCs w:val="22"/>
        </w:rPr>
      </w:pPr>
      <w:r>
        <w:rPr>
          <w:rFonts w:cs="Cambria" w:ascii="Cambria" w:hAnsi="Cambria" w:asciiTheme="majorHAnsi" w:hAnsiTheme="majorHAnsi"/>
          <w:sz w:val="22"/>
          <w:szCs w:val="22"/>
        </w:rPr>
        <w:t>Równoważność pod względem parametrów technicznych, użytkowych oraz eksploatacyjnych ma w szczególności zapewnić uzyskanie parametrów technicznych nie gorszych od założonych w niniejszej SWZ. W przypadku niewskazania przez Wykonawcę w ofercie rozwiązania równoważnego, Zamawiający uzna, iż Wykonawca będzie realizował przedmiot zamówienia zgodnie z rozwiązaniami wskazanymi w SWZ i jej załącznikach.</w:t>
      </w:r>
    </w:p>
    <w:p>
      <w:pPr>
        <w:pStyle w:val="Normal"/>
        <w:numPr>
          <w:ilvl w:val="1"/>
          <w:numId w:val="32"/>
        </w:numPr>
        <w:shd w:val="clear" w:color="auto" w:fill="FFFFFF"/>
        <w:ind w:left="1134" w:hanging="425"/>
        <w:jc w:val="both"/>
        <w:rPr>
          <w:rFonts w:ascii="Cambria" w:hAnsi="Cambria" w:cs="Cambria" w:asciiTheme="majorHAnsi" w:hAnsiTheme="majorHAnsi"/>
          <w:b/>
          <w:b/>
          <w:sz w:val="22"/>
          <w:szCs w:val="22"/>
        </w:rPr>
      </w:pPr>
      <w:r>
        <w:rPr>
          <w:rFonts w:cs="Cambria" w:ascii="Cambria" w:hAnsi="Cambria" w:asciiTheme="majorHAnsi" w:hAnsiTheme="majorHAnsi"/>
          <w:sz w:val="22"/>
          <w:szCs w:val="22"/>
        </w:rPr>
        <w:t>Zastosowane materiały i urządzenia winny być dopuszczone do obrotu i stosowania w budownictwie w rozumieniu ustawy z dnia 7 lipca 1994 r. Prawo budowlane.</w:t>
      </w:r>
    </w:p>
    <w:p>
      <w:pPr>
        <w:pStyle w:val="Normal"/>
        <w:shd w:val="clear" w:color="auto" w:fill="FFFFFF"/>
        <w:jc w:val="both"/>
        <w:rPr>
          <w:rFonts w:ascii="Cambria" w:hAnsi="Cambria" w:cs="Cambria" w:asciiTheme="majorHAnsi" w:hAnsiTheme="majorHAnsi"/>
          <w:b/>
          <w:b/>
          <w:sz w:val="22"/>
          <w:szCs w:val="22"/>
        </w:rPr>
      </w:pPr>
      <w:r>
        <w:rPr>
          <w:rFonts w:cs="Cambria" w:ascii="Cambria" w:hAnsi="Cambria"/>
          <w:b/>
          <w:sz w:val="22"/>
          <w:szCs w:val="22"/>
        </w:rPr>
      </w:r>
    </w:p>
    <w:p>
      <w:pPr>
        <w:pStyle w:val="Normal"/>
        <w:shd w:val="clear" w:color="auto" w:fill="FFFFFF"/>
        <w:jc w:val="both"/>
        <w:rPr>
          <w:rFonts w:ascii="Cambria" w:hAnsi="Cambria" w:cs="Cambria" w:asciiTheme="majorHAnsi" w:hAnsiTheme="majorHAnsi"/>
          <w:b/>
          <w:b/>
          <w:sz w:val="22"/>
          <w:szCs w:val="22"/>
        </w:rPr>
      </w:pPr>
      <w:r>
        <w:rPr>
          <w:rFonts w:cs="Cambria" w:ascii="Cambria" w:hAnsi="Cambria"/>
          <w:b/>
          <w:sz w:val="22"/>
          <w:szCs w:val="22"/>
        </w:rPr>
      </w:r>
    </w:p>
    <w:p>
      <w:pPr>
        <w:pStyle w:val="Normal"/>
        <w:shd w:val="clear" w:color="auto" w:fill="FFFFFF"/>
        <w:jc w:val="both"/>
        <w:rPr>
          <w:rFonts w:ascii="Cambria" w:hAnsi="Cambria" w:cs="Cambria" w:asciiTheme="majorHAnsi" w:hAnsiTheme="majorHAnsi"/>
          <w:sz w:val="22"/>
          <w:szCs w:val="22"/>
        </w:rPr>
      </w:pPr>
      <w:r>
        <w:rPr>
          <w:rFonts w:cs="Cambria" w:ascii="Cambria" w:hAnsi="Cambria" w:asciiTheme="majorHAnsi" w:hAnsiTheme="majorHAnsi"/>
          <w:b/>
          <w:sz w:val="22"/>
          <w:szCs w:val="22"/>
        </w:rPr>
        <w:t xml:space="preserve">Uwaga: </w:t>
      </w:r>
    </w:p>
    <w:p>
      <w:pPr>
        <w:pStyle w:val="Normal"/>
        <w:numPr>
          <w:ilvl w:val="0"/>
          <w:numId w:val="37"/>
        </w:numPr>
        <w:shd w:val="clear" w:color="auto" w:fill="FFFFFF"/>
        <w:spacing w:before="240" w:after="0"/>
        <w:jc w:val="both"/>
        <w:rPr>
          <w:rFonts w:ascii="Cambria" w:hAnsi="Cambria" w:cs="Cambria" w:asciiTheme="majorHAnsi" w:hAnsiTheme="majorHAnsi"/>
          <w:sz w:val="22"/>
          <w:szCs w:val="22"/>
        </w:rPr>
      </w:pPr>
      <w:r>
        <w:rPr>
          <w:rFonts w:cs="Cambria" w:ascii="Cambria" w:hAnsi="Cambria" w:asciiTheme="majorHAnsi" w:hAnsiTheme="majorHAnsi"/>
          <w:sz w:val="22"/>
          <w:szCs w:val="22"/>
        </w:rPr>
        <w:t>Jeżeli dokumenty potwierdzające równoważność nie zostaną złożone albo będą niekompletne, Zamawiający wezwie do ich złożenia lub uzupełnienia na podstawie art. 107 ust. 2 PZP, o ile rozwiązanie równoważne zostało jednoznacznie wskazane w ofercie. Uzupełnienie nie może prowadzić do zmiany treści oferty. Brak potwierdzenia równoważności po wezwaniu skutkuje odrzuceniem oferty na podstawie art. 226 ust. 1 pkt 5 PZP.</w:t>
      </w:r>
    </w:p>
    <w:p>
      <w:pPr>
        <w:pStyle w:val="ListParagraph"/>
        <w:numPr>
          <w:ilvl w:val="0"/>
          <w:numId w:val="14"/>
        </w:numPr>
        <w:shd w:val="clear" w:color="auto" w:fill="FFFFFF"/>
        <w:spacing w:before="240" w:after="240"/>
        <w:jc w:val="both"/>
        <w:rPr>
          <w:rFonts w:ascii="Cambria" w:hAnsi="Cambria" w:cs="Cambria" w:asciiTheme="majorHAnsi" w:hAnsiTheme="majorHAnsi"/>
          <w:color w:val="000000"/>
        </w:rPr>
      </w:pPr>
      <w:r>
        <w:rPr>
          <w:rFonts w:cs="Cambria" w:ascii="Cambria" w:hAnsi="Cambria" w:asciiTheme="majorHAnsi" w:hAnsiTheme="majorHAnsi"/>
          <w:color w:val="000000"/>
        </w:rPr>
        <w:t>Powody niedokonania podziału zamówienia na części:</w:t>
      </w:r>
    </w:p>
    <w:p>
      <w:pPr>
        <w:pStyle w:val="Normal"/>
        <w:shd w:val="clear" w:color="auto" w:fill="FFFFFF"/>
        <w:spacing w:before="0" w:after="240"/>
        <w:ind w:left="720" w:hanging="0"/>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Przedmiot zamówienia tworzy spójny technologicznie zakres robót w jednym czynnym budynku. Podział mógłby powodować trudności w koordynacji pomiarów, dostaw, montażu i odpowiedzialności gwarancyjnej oraz zwiększać uciążliwości dla użytkowników obiektu. Zakres i wartość zamówienia pozostają dostępne dla małych i średnich przedsiębiorstw, dlatego Zamawiający nie dokonuje podziału zamówienia na części.</w:t>
      </w:r>
    </w:p>
    <w:tbl>
      <w:tblPr>
        <w:tblW w:w="9076" w:type="dxa"/>
        <w:jc w:val="left"/>
        <w:tblInd w:w="55" w:type="dxa"/>
        <w:tblCellMar>
          <w:top w:w="83" w:type="dxa"/>
          <w:left w:w="0" w:type="dxa"/>
          <w:bottom w:w="0" w:type="dxa"/>
          <w:right w:w="115" w:type="dxa"/>
        </w:tblCellMar>
        <w:tblLook w:firstRow="0" w:noVBand="0" w:lastRow="0" w:firstColumn="0" w:lastColumn="0" w:noHBand="0" w:val="0000"/>
      </w:tblPr>
      <w:tblGrid>
        <w:gridCol w:w="412"/>
        <w:gridCol w:w="8663"/>
      </w:tblGrid>
      <w:tr>
        <w:trPr>
          <w:trHeight w:val="501" w:hRule="atLeast"/>
        </w:trPr>
        <w:tc>
          <w:tcPr>
            <w:tcW w:w="412" w:type="dxa"/>
            <w:tcBorders/>
            <w:shd w:color="auto" w:fill="E7E6E6" w:val="clear"/>
          </w:tcPr>
          <w:p>
            <w:pPr>
              <w:pStyle w:val="Normal"/>
              <w:spacing w:before="240" w:after="0"/>
              <w:ind w:left="55" w:hanging="0"/>
              <w:rPr>
                <w:rFonts w:ascii="Cambria" w:hAnsi="Cambria" w:asciiTheme="majorHAnsi" w:hAnsiTheme="majorHAnsi"/>
              </w:rPr>
            </w:pPr>
            <w:r>
              <w:rPr>
                <w:rFonts w:cs="Cambria" w:ascii="Cambria" w:hAnsi="Cambria" w:asciiTheme="majorHAnsi" w:hAnsiTheme="majorHAnsi"/>
                <w:b/>
                <w:color w:val="000000"/>
                <w:sz w:val="22"/>
                <w:szCs w:val="22"/>
              </w:rPr>
              <w:t>4.</w:t>
            </w:r>
            <w:r>
              <w:rPr>
                <w:rFonts w:eastAsia="Arial" w:cs="Cambria" w:ascii="Cambria" w:hAnsi="Cambria" w:asciiTheme="majorHAnsi" w:hAnsiTheme="majorHAnsi"/>
                <w:b/>
                <w:color w:val="000000"/>
                <w:sz w:val="22"/>
                <w:szCs w:val="22"/>
              </w:rPr>
              <w:t xml:space="preserve"> </w:t>
            </w:r>
          </w:p>
        </w:tc>
        <w:tc>
          <w:tcPr>
            <w:tcW w:w="8663" w:type="dxa"/>
            <w:tcBorders/>
            <w:shd w:color="auto" w:fill="E7E6E6" w:val="clear"/>
          </w:tcPr>
          <w:p>
            <w:pPr>
              <w:pStyle w:val="Normal"/>
              <w:spacing w:before="240" w:after="240"/>
              <w:rPr>
                <w:rFonts w:ascii="Cambria" w:hAnsi="Cambria" w:asciiTheme="majorHAnsi" w:hAnsiTheme="majorHAnsi"/>
              </w:rPr>
            </w:pPr>
            <w:r>
              <w:rPr>
                <w:rFonts w:cs="Cambria" w:ascii="Cambria" w:hAnsi="Cambria" w:asciiTheme="majorHAnsi" w:hAnsiTheme="majorHAnsi"/>
                <w:b/>
                <w:color w:val="000000"/>
                <w:sz w:val="22"/>
                <w:szCs w:val="22"/>
              </w:rPr>
              <w:t xml:space="preserve">OKRES REALIZACJI ZAMÓWIENIA. </w:t>
            </w:r>
          </w:p>
        </w:tc>
      </w:tr>
    </w:tbl>
    <w:p>
      <w:pPr>
        <w:pStyle w:val="Normal"/>
        <w:numPr>
          <w:ilvl w:val="0"/>
          <w:numId w:val="27"/>
        </w:numPr>
        <w:spacing w:before="240" w:after="240"/>
        <w:ind w:left="426" w:hanging="426"/>
        <w:jc w:val="both"/>
        <w:rPr/>
      </w:pPr>
      <w:r>
        <w:rPr>
          <w:rFonts w:cs="Cambria" w:ascii="Cambria" w:hAnsi="Cambria" w:asciiTheme="majorHAnsi" w:hAnsiTheme="majorHAnsi"/>
          <w:sz w:val="22"/>
          <w:szCs w:val="22"/>
        </w:rPr>
        <w:t>Przedmiot zamówienia należy wykonać w terminie: 8 tygodni</w:t>
      </w:r>
      <w:r>
        <w:rPr>
          <w:rFonts w:cs="Cambria" w:ascii="Cambria" w:hAnsi="Cambria" w:asciiTheme="majorHAnsi" w:hAnsiTheme="majorHAnsi"/>
          <w:sz w:val="22"/>
          <w:szCs w:val="22"/>
        </w:rPr>
        <w:t xml:space="preserve"> od daty podpisania umowy</w:t>
      </w:r>
    </w:p>
    <w:tbl>
      <w:tblPr>
        <w:tblW w:w="9076" w:type="dxa"/>
        <w:jc w:val="left"/>
        <w:tblInd w:w="55" w:type="dxa"/>
        <w:tblCellMar>
          <w:top w:w="83" w:type="dxa"/>
          <w:left w:w="0" w:type="dxa"/>
          <w:bottom w:w="0" w:type="dxa"/>
          <w:right w:w="21" w:type="dxa"/>
        </w:tblCellMar>
        <w:tblLook w:firstRow="0" w:noVBand="0" w:lastRow="0" w:firstColumn="0" w:lastColumn="0" w:noHBand="0" w:val="0000"/>
      </w:tblPr>
      <w:tblGrid>
        <w:gridCol w:w="412"/>
        <w:gridCol w:w="8663"/>
      </w:tblGrid>
      <w:tr>
        <w:trPr>
          <w:trHeight w:val="650" w:hRule="atLeast"/>
        </w:trPr>
        <w:tc>
          <w:tcPr>
            <w:tcW w:w="412" w:type="dxa"/>
            <w:tcBorders/>
            <w:shd w:color="auto" w:fill="E7E6E6" w:val="clear"/>
          </w:tcPr>
          <w:p>
            <w:pPr>
              <w:pStyle w:val="Normal"/>
              <w:spacing w:before="240" w:after="0"/>
              <w:ind w:left="55" w:hanging="0"/>
              <w:rPr>
                <w:rFonts w:ascii="Cambria" w:hAnsi="Cambria" w:asciiTheme="majorHAnsi" w:hAnsiTheme="majorHAnsi"/>
              </w:rPr>
            </w:pPr>
            <w:r>
              <w:rPr>
                <w:rFonts w:cs="Cambria" w:ascii="Cambria" w:hAnsi="Cambria" w:asciiTheme="majorHAnsi" w:hAnsiTheme="majorHAnsi"/>
                <w:b/>
                <w:color w:val="000000"/>
                <w:sz w:val="22"/>
                <w:szCs w:val="22"/>
              </w:rPr>
              <w:t>5.</w:t>
            </w:r>
            <w:r>
              <w:rPr>
                <w:rFonts w:eastAsia="Arial" w:cs="Cambria" w:ascii="Cambria" w:hAnsi="Cambria" w:asciiTheme="majorHAnsi" w:hAnsiTheme="majorHAnsi"/>
                <w:b/>
                <w:color w:val="000000"/>
                <w:sz w:val="22"/>
                <w:szCs w:val="22"/>
              </w:rPr>
              <w:t xml:space="preserve"> </w:t>
            </w:r>
          </w:p>
        </w:tc>
        <w:tc>
          <w:tcPr>
            <w:tcW w:w="8663" w:type="dxa"/>
            <w:tcBorders/>
            <w:shd w:color="auto" w:fill="E7E6E6" w:val="clear"/>
          </w:tcPr>
          <w:p>
            <w:pPr>
              <w:pStyle w:val="Normal"/>
              <w:spacing w:before="240" w:after="240"/>
              <w:rPr>
                <w:rFonts w:ascii="Cambria" w:hAnsi="Cambria" w:asciiTheme="majorHAnsi" w:hAnsiTheme="majorHAnsi"/>
              </w:rPr>
            </w:pPr>
            <w:r>
              <w:rPr>
                <w:rFonts w:cs="Cambria" w:ascii="Cambria" w:hAnsi="Cambria" w:asciiTheme="majorHAnsi" w:hAnsiTheme="majorHAnsi"/>
                <w:b/>
                <w:color w:val="000000"/>
                <w:sz w:val="22"/>
                <w:szCs w:val="22"/>
              </w:rPr>
              <w:t xml:space="preserve">INFORMACJA O PRZEWIDYWANYCH ZAMÓWIENIACH, O KTÓRYCH MOWA W ART. 214 ust. 1 PKT 7 i 8  PZP, JEŻELI ZAMAWIAJĄCY PRZEWIDUJE UDZIELENIE TAKICH ZAMÓWIEŃ. </w:t>
            </w:r>
          </w:p>
        </w:tc>
      </w:tr>
    </w:tbl>
    <w:p>
      <w:pPr>
        <w:pStyle w:val="Normal"/>
        <w:rPr>
          <w:rFonts w:ascii="Cambria" w:hAnsi="Cambria" w:cs="Cambria" w:asciiTheme="majorHAnsi" w:hAnsiTheme="majorHAnsi"/>
          <w:sz w:val="22"/>
          <w:szCs w:val="22"/>
        </w:rPr>
      </w:pPr>
      <w:r>
        <w:rPr>
          <w:rFonts w:cs="Cambria" w:ascii="Cambria" w:hAnsi="Cambria"/>
          <w:sz w:val="22"/>
          <w:szCs w:val="22"/>
        </w:rPr>
      </w:r>
    </w:p>
    <w:p>
      <w:pPr>
        <w:pStyle w:val="ListParagraph"/>
        <w:spacing w:lineRule="auto" w:line="240"/>
        <w:ind w:left="426" w:hanging="0"/>
        <w:jc w:val="both"/>
        <w:rPr>
          <w:rFonts w:ascii="Cambria" w:hAnsi="Cambria" w:cs="Cambria" w:asciiTheme="majorHAnsi" w:hAnsiTheme="majorHAnsi"/>
          <w:b/>
          <w:b/>
          <w:color w:val="000000"/>
        </w:rPr>
      </w:pPr>
      <w:r>
        <w:rPr>
          <w:rFonts w:ascii="Cambria" w:hAnsi="Cambria" w:asciiTheme="majorHAnsi" w:hAnsiTheme="majorHAnsi"/>
        </w:rPr>
        <w:t xml:space="preserve">Zamawiający nie przewiduje możliwości udzielenia zamówień, o których mowa w art. 214 ust. 1 pkt 7 i 8. </w:t>
      </w:r>
    </w:p>
    <w:tbl>
      <w:tblPr>
        <w:tblW w:w="9076" w:type="dxa"/>
        <w:jc w:val="left"/>
        <w:tblInd w:w="55" w:type="dxa"/>
        <w:tblCellMar>
          <w:top w:w="83" w:type="dxa"/>
          <w:left w:w="0" w:type="dxa"/>
          <w:bottom w:w="0" w:type="dxa"/>
          <w:right w:w="13" w:type="dxa"/>
        </w:tblCellMar>
        <w:tblLook w:firstRow="0" w:noVBand="0" w:lastRow="0" w:firstColumn="0" w:lastColumn="0" w:noHBand="0" w:val="0000"/>
      </w:tblPr>
      <w:tblGrid>
        <w:gridCol w:w="412"/>
        <w:gridCol w:w="8663"/>
      </w:tblGrid>
      <w:tr>
        <w:trPr>
          <w:trHeight w:val="648" w:hRule="atLeast"/>
        </w:trPr>
        <w:tc>
          <w:tcPr>
            <w:tcW w:w="412" w:type="dxa"/>
            <w:tcBorders/>
            <w:shd w:color="auto" w:fill="E7E6E6" w:val="clear"/>
          </w:tcPr>
          <w:p>
            <w:pPr>
              <w:pStyle w:val="Normal"/>
              <w:spacing w:before="240" w:after="240"/>
              <w:ind w:left="55" w:hanging="0"/>
              <w:jc w:val="both"/>
              <w:rPr>
                <w:rFonts w:ascii="Cambria" w:hAnsi="Cambria" w:asciiTheme="majorHAnsi" w:hAnsiTheme="majorHAnsi"/>
              </w:rPr>
            </w:pPr>
            <w:r>
              <w:rPr>
                <w:rFonts w:cs="Cambria" w:ascii="Cambria" w:hAnsi="Cambria" w:asciiTheme="majorHAnsi" w:hAnsiTheme="majorHAnsi"/>
                <w:b/>
                <w:color w:val="000000"/>
                <w:sz w:val="22"/>
                <w:szCs w:val="22"/>
              </w:rPr>
              <w:t>6.</w:t>
            </w:r>
            <w:r>
              <w:rPr>
                <w:rFonts w:eastAsia="Arial" w:cs="Cambria" w:ascii="Cambria" w:hAnsi="Cambria" w:asciiTheme="majorHAnsi" w:hAnsiTheme="majorHAnsi"/>
                <w:b/>
                <w:color w:val="000000"/>
                <w:sz w:val="22"/>
                <w:szCs w:val="22"/>
              </w:rPr>
              <w:t xml:space="preserve"> </w:t>
            </w:r>
          </w:p>
        </w:tc>
        <w:tc>
          <w:tcPr>
            <w:tcW w:w="8663"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 xml:space="preserve">PODSTAWY WYKLUCZENIA, O KTÓRYCH MOWA W ART. 108 ust. 1 PZP ORAZ PODSTAWY WYKLUCZENIA, O KTÓRYCH MOWA W ART. 109 ust. 1 PZP </w:t>
            </w:r>
          </w:p>
        </w:tc>
      </w:tr>
    </w:tbl>
    <w:p>
      <w:pPr>
        <w:pStyle w:val="Normal"/>
        <w:numPr>
          <w:ilvl w:val="0"/>
          <w:numId w:val="23"/>
        </w:numPr>
        <w:spacing w:before="240" w:after="24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 postępowaniu mogą brać udział Wykonawcy, którzy nie podlegają wykluczeniu z postępowania o udzielenie zamówienia w okolicznościach, o których mowa w art. 108 ust. 1 PZP. Na podstawie:</w:t>
      </w:r>
    </w:p>
    <w:p>
      <w:pPr>
        <w:pStyle w:val="Normal"/>
        <w:spacing w:before="24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1)</w:t>
        <w:tab/>
        <w:t>art. 108 ust. 1 pkt 1) PZP Zamawiający wykluczy Wykonawcę będącego osobą fizyczną, którego prawomocnie skazano za przestępstwo:</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a)</w:t>
        <w:tab/>
        <w:t>udziału w zorganizowanej grupie przestępczej albo związku mającym na celu popełnienie przestępstwa lub przestępstwa skarbowego, o którym mowa w art. 258 Kodeksu karnego,</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b)</w:t>
        <w:tab/>
        <w:t>handlu ludźmi, o którym mowa w art. 189a Kodeksu karnego,</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c)</w:t>
        <w:tab/>
        <w:t>o którym mowa w art. 228-230 a, art. 250a Kodeksu karnego, w art. 46-48 ustawy z dnia 25 czerwca 2010 r. o sporcie (Dz. U. z 2022.1599 t.j. zze zm. ) lub  w art. 54 ust. 1-4 ustawy z dnia 12 maja 2011 r. o refundacji leków, środków spożywczych specjalnego przeznaczenia żywieniowego oraz wyrobów medycznych (Dz. U. z 2023.826 t.j. ze zm.),</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d)</w:t>
        <w:tab/>
        <w:t>finansowania przestępstwa o charakterze terrorystycznym, o którym mowa w art. 165 a Kodeksu karnego, lub przestępstwo udaremniania lub utrudniania stwierdzenia przestępnego pochodzenia pieniędzy lub ukrywania ich pochodzenia, o którym mowa w art. 299 Kodeksu karnego,</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e)</w:t>
        <w:tab/>
        <w:t>o charakterze terrorystycznym, o którym mowa w art. 115 § 20 Kodeksu karnego, lub mające na celu popełnienie tego przestępstwa,</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f)</w:t>
        <w:tab/>
        <w:t>powierzenia wykonywania pracy małoletniemu cudzoziemcowi, o którym mowa w art. 9 ust. 2 ustawy z dnia 15 czerwca 2012 r. o skutkach powierzania wykonywania pracy cudzoziemcom przebywającym wbrew przepisom na terytorium Rzeczypospolitej Polskiej (Dz. U. 2021.1745 t.j.  z późn. zm.),</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g)</w:t>
        <w:tab/>
        <w:t>przeciwko obrotowi gospodarczemu, o których mowa w art. 296-307 Kodeksu karnego, przestępstwo oszustwa, o którym mowa w art. 286 Kodeksu karnego, przestępstwo przeciwko wiarygodności dokumentów, o których mowa w art. 270-277 d Kodeksu karnego, lub przestępstwo skarbowe,</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h)</w:t>
        <w:tab/>
        <w:t>o którym mowa w art. 9 ust. 1 i 3 lub art. 10 ustawy z dnia 15 czerwca 2012 r. o skutkach powierzania wykonywania pracy cudzoziemcom przebywającym wbrew przepisom na terytorium Rzeczypospolitej Polskiej</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lub za odpowiedni czyn zabroniony określony w przepisach prawa obcego;</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2)</w:t>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3)</w:t>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4)</w:t>
        <w:tab/>
        <w:t>art. 108 ust. 1 pkt 4) PZP Zamawiający wykluczy Wykonawcę, wobec którego orzeczono zakaz ubiegania się o zamówienia publiczne;</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5)</w:t>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pPr>
        <w:pStyle w:val="Normal"/>
        <w:spacing w:before="0" w:after="240"/>
        <w:ind w:left="567"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6)</w:t>
        <w:tab/>
        <w:t>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(tekst jedn. Dz. U. z 2020 r. poz. 1076 z późn. zm.), chyba że spowodowane tym zakłócenie konkurencji może być wyeliminowane w inny sposób niż przez wykluczenie Wykonawcy z udziału w postępowaniu o udzielenie zamówienia.</w:t>
      </w:r>
    </w:p>
    <w:p>
      <w:pPr>
        <w:pStyle w:val="Normal"/>
        <w:numPr>
          <w:ilvl w:val="0"/>
          <w:numId w:val="23"/>
        </w:numPr>
        <w:spacing w:before="240" w:after="24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 postępowaniu mogą brać udział Wykonawcy, którzy nie podlegają wykluczeniu z postępowania o udzielenie zamówienia w okolicznościach, o których mowa w art. 109 ust. 1 pkt 4  PZP.</w:t>
      </w:r>
    </w:p>
    <w:p>
      <w:pPr>
        <w:pStyle w:val="Normal"/>
        <w:numPr>
          <w:ilvl w:val="0"/>
          <w:numId w:val="18"/>
        </w:numPr>
        <w:spacing w:before="240" w:after="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Na podstawie: 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pPr>
        <w:pStyle w:val="Normal"/>
        <w:numPr>
          <w:ilvl w:val="0"/>
          <w:numId w:val="23"/>
        </w:numPr>
        <w:spacing w:before="240" w:after="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stosuje również podstawy wykluczenia określone w art. 7 ust. 1 ustawy z dnia 13 kwietnia 2022 r. o szczególnych rozwiązaniach w zakresie przeciwdziałania wspieraniu agresji na Ukrainę oraz służących ochronie bezpieczeństwa narodowego (Dz. U. z 2025 r. poz. 514 ze zm.), zwanej dalej „ustawą sankcyjną”.</w:t>
      </w:r>
    </w:p>
    <w:p>
      <w:pPr>
        <w:pStyle w:val="Normal"/>
        <w:spacing w:before="240" w:after="0"/>
        <w:ind w:left="284" w:hanging="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Zgodnie z art. 7 ust. 1 UOBN z postępowania o udzielenie zamówienia Zamawiający wyklucza Wykonawcę: </w:t>
      </w:r>
    </w:p>
    <w:p>
      <w:pPr>
        <w:pStyle w:val="Normal"/>
        <w:numPr>
          <w:ilvl w:val="1"/>
          <w:numId w:val="10"/>
        </w:numPr>
        <w:spacing w:before="240" w:after="240"/>
        <w:ind w:left="709"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wymienionego w wykazach określonych w rozporządzeniu 765/2006 i rozporządzeniu 269/2014 albo wpisanego na listę na podstawie decyzji w sprawie wpisu na listę rozstrzygającej o zastosowaniu środka, o którym mowa w art. 1 pkt 3 UOBN;</w:t>
      </w:r>
    </w:p>
    <w:p>
      <w:pPr>
        <w:pStyle w:val="Normal"/>
        <w:numPr>
          <w:ilvl w:val="1"/>
          <w:numId w:val="10"/>
        </w:numPr>
        <w:spacing w:before="0" w:after="240"/>
        <w:ind w:left="709"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którego beneficjentem rzeczywistym w rozumieniu ustawy z dnia 1 marca 2018 r. o przeciwdziałaniu praniu pieniędzy oraz finansowaniu terroryzmu (Dz. U. z 2023.1124 t.j.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UOBN;</w:t>
      </w:r>
    </w:p>
    <w:p>
      <w:pPr>
        <w:pStyle w:val="Normal"/>
        <w:numPr>
          <w:ilvl w:val="1"/>
          <w:numId w:val="10"/>
        </w:numPr>
        <w:spacing w:before="0" w:after="240"/>
        <w:ind w:left="709"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którego jednostką dominującą w rozumieniu art. 3 ust. 1 pkt 37 ustawy z dnia 29 września 1994 r. o rachunkowości (Dz. U. z 2023.120 t.j. ),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UOBN.</w:t>
      </w:r>
    </w:p>
    <w:p>
      <w:pPr>
        <w:pStyle w:val="Normal"/>
        <w:numPr>
          <w:ilvl w:val="0"/>
          <w:numId w:val="23"/>
        </w:numPr>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Wykluczenie na podstawie art. 7 ust. 1 ustawy sankcyjnej następuje na okres trwania okoliczności określonych w tym przepisie. Ofertę Wykonawcy wykluczonego na tej podstawie Zamawiający odrzuca.</w:t>
      </w:r>
    </w:p>
    <w:p>
      <w:pPr>
        <w:pStyle w:val="Normal"/>
        <w:numPr>
          <w:ilvl w:val="0"/>
          <w:numId w:val="23"/>
        </w:numPr>
        <w:spacing w:before="240" w:after="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weryfikuje przesłanki wykluczenia określone w art. 7 ust. 1 ustawy sankcyjnej w szczególności na podstawie:</w:t>
      </w:r>
    </w:p>
    <w:p>
      <w:pPr>
        <w:pStyle w:val="Normal"/>
        <w:numPr>
          <w:ilvl w:val="0"/>
          <w:numId w:val="18"/>
        </w:numPr>
        <w:spacing w:before="240" w:after="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oświadczenia o braku podstaw do wykluczenia z postępowania na podstawie art. 7 ust. 1 ustawy z dnia 13.04.2022 r. o szczególnych rozwiązaniach w zakresie przeciwdziałania wspieraniu agresji na Ukrainę oraz służących ochronie bezpieczeństwa narodowego składa każdy z wykonawców ubiegających się o udzielenie zamówienia oraz podmiot udostępniający zasoby do dyspozycji wykonawcy odpowiednio </w:t>
      </w:r>
      <w:r>
        <w:rPr>
          <w:rFonts w:cs="Cambria" w:ascii="Cambria" w:hAnsi="Cambria" w:asciiTheme="majorHAnsi" w:hAnsiTheme="majorHAnsi"/>
          <w:b/>
          <w:color w:val="000000"/>
          <w:sz w:val="22"/>
          <w:szCs w:val="22"/>
        </w:rPr>
        <w:t xml:space="preserve">załącznik nr 3 i 4 </w:t>
      </w:r>
      <w:r>
        <w:rPr>
          <w:rFonts w:cs="Cambria" w:ascii="Cambria" w:hAnsi="Cambria" w:asciiTheme="majorHAnsi" w:hAnsiTheme="majorHAnsi"/>
          <w:color w:val="000000"/>
          <w:sz w:val="22"/>
          <w:szCs w:val="22"/>
        </w:rPr>
        <w:t xml:space="preserve">do SWZ. </w:t>
      </w:r>
    </w:p>
    <w:p>
      <w:pPr>
        <w:pStyle w:val="Normal"/>
        <w:numPr>
          <w:ilvl w:val="0"/>
          <w:numId w:val="23"/>
        </w:numPr>
        <w:spacing w:before="240" w:after="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Wykonawca może zostać wykluczony przez Zamawiającego na każdym etapie postępowania o udzielenie zamówienia. </w:t>
      </w:r>
    </w:p>
    <w:p>
      <w:pPr>
        <w:pStyle w:val="Normal"/>
        <w:numPr>
          <w:ilvl w:val="0"/>
          <w:numId w:val="23"/>
        </w:numPr>
        <w:spacing w:before="240" w:after="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Procedura "self-cleaningu" (samooczyszczenia). </w:t>
      </w:r>
    </w:p>
    <w:p>
      <w:pPr>
        <w:pStyle w:val="Normal"/>
        <w:numPr>
          <w:ilvl w:val="0"/>
          <w:numId w:val="19"/>
        </w:numPr>
        <w:spacing w:before="240" w:after="0"/>
        <w:ind w:left="709"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Wykonawca nie podlega wykluczeniu w okolicznościach określonych w art. 108 ust. 1 pkt 1, 2 i 5 lub art. 109 ust. 1 pkt 4 PZP, jeżeli udowodni Zamawiającemu, że spełnił łącznie przesłanki określone w art. 110 ust. 2 PZP, z uwzględnieniem ograniczeń wynikających z art. 110 ust. 3 PZP.</w:t>
      </w:r>
    </w:p>
    <w:p>
      <w:pPr>
        <w:pStyle w:val="Normal"/>
        <w:numPr>
          <w:ilvl w:val="1"/>
          <w:numId w:val="4"/>
        </w:numPr>
        <w:spacing w:before="240" w:after="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naprawił lub zobowiązał się do naprawienia szkody wyrządzonej przestępstwem, wykroczeniem lub swoim nieprawidłowym postępowaniem, w tym poprzez zadośćuczynienie pieniężne;</w:t>
      </w:r>
    </w:p>
    <w:p>
      <w:pPr>
        <w:pStyle w:val="Normal"/>
        <w:numPr>
          <w:ilvl w:val="1"/>
          <w:numId w:val="4"/>
        </w:numPr>
        <w:spacing w:before="240" w:after="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pPr>
        <w:pStyle w:val="Normal"/>
        <w:numPr>
          <w:ilvl w:val="1"/>
          <w:numId w:val="4"/>
        </w:numPr>
        <w:spacing w:before="240" w:after="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podjął konkretne środki techniczne, organizacyjne i kadrowe, odpowiednie dla zapobiegania dalszym przestępstwom, wykroczeniom lub nieprawidłowemu postępowaniu, w szczególności:</w:t>
      </w:r>
    </w:p>
    <w:p>
      <w:pPr>
        <w:pStyle w:val="Normal"/>
        <w:numPr>
          <w:ilvl w:val="2"/>
          <w:numId w:val="4"/>
        </w:numPr>
        <w:ind w:left="1418"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zerwał wszelkie powiązania z osobami lub podmiotami odpowiedzialnymi za nieprawidłowe postępowanie wykonawcy,</w:t>
      </w:r>
    </w:p>
    <w:p>
      <w:pPr>
        <w:pStyle w:val="Normal"/>
        <w:numPr>
          <w:ilvl w:val="2"/>
          <w:numId w:val="4"/>
        </w:numPr>
        <w:ind w:left="1418"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zreorganizował personel,</w:t>
      </w:r>
    </w:p>
    <w:p>
      <w:pPr>
        <w:pStyle w:val="Normal"/>
        <w:numPr>
          <w:ilvl w:val="2"/>
          <w:numId w:val="4"/>
        </w:numPr>
        <w:ind w:left="1418"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wdrożył system sprawozdawczości i kontroli,</w:t>
      </w:r>
    </w:p>
    <w:p>
      <w:pPr>
        <w:pStyle w:val="Normal"/>
        <w:numPr>
          <w:ilvl w:val="2"/>
          <w:numId w:val="4"/>
        </w:numPr>
        <w:ind w:left="1418"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utworzył struktury audytu wewnętrznego do monitorowania przestrzegania przepisów, wewnętrznych regulacji lub standardów,</w:t>
      </w:r>
    </w:p>
    <w:p>
      <w:pPr>
        <w:pStyle w:val="Normal"/>
        <w:numPr>
          <w:ilvl w:val="2"/>
          <w:numId w:val="4"/>
        </w:numPr>
        <w:ind w:left="1418"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wprowadził wewnętrzne regulacje dotyczące odpowiedzialności i odszkodowań za nieprzestrzeganie przepisów, wewnętrznych regulacji lub standardów.</w:t>
      </w:r>
    </w:p>
    <w:p>
      <w:pPr>
        <w:pStyle w:val="Normal"/>
        <w:numPr>
          <w:ilvl w:val="0"/>
          <w:numId w:val="23"/>
        </w:numPr>
        <w:spacing w:before="240" w:after="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ocenia, czy podjęte przez wykonawcę czynności, o których mowa powyżej, są wystarczające do wykazania jego rzetelności, uwzględniając wagę i szczególne okoliczności czynu wykonawcy. </w:t>
      </w:r>
    </w:p>
    <w:p>
      <w:pPr>
        <w:pStyle w:val="Normal"/>
        <w:numPr>
          <w:ilvl w:val="0"/>
          <w:numId w:val="23"/>
        </w:numPr>
        <w:spacing w:before="240" w:after="0"/>
        <w:ind w:left="284" w:hanging="28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Jeżeli podjęte przez wykonawcę czynności, o których mowa powyżej, nie są wystarczające do wykazania jego rzetelności, zamawiający wyklucza wykonawcę.</w:t>
      </w:r>
    </w:p>
    <w:p>
      <w:pPr>
        <w:pStyle w:val="Normal"/>
        <w:ind w:left="707" w:hanging="708"/>
        <w:rPr>
          <w:rFonts w:ascii="Cambria" w:hAnsi="Cambria" w:cs="Cambria" w:asciiTheme="majorHAnsi" w:hAnsiTheme="majorHAnsi"/>
          <w:color w:val="000000"/>
          <w:sz w:val="22"/>
          <w:szCs w:val="22"/>
        </w:rPr>
      </w:pPr>
      <w:r>
        <w:rPr>
          <w:rFonts w:cs="Cambria" w:ascii="Cambria" w:hAnsi="Cambria"/>
          <w:color w:val="000000"/>
          <w:sz w:val="22"/>
          <w:szCs w:val="22"/>
        </w:rPr>
      </w:r>
    </w:p>
    <w:tbl>
      <w:tblPr>
        <w:tblW w:w="9076" w:type="dxa"/>
        <w:jc w:val="left"/>
        <w:tblInd w:w="55" w:type="dxa"/>
        <w:tblCellMar>
          <w:top w:w="83" w:type="dxa"/>
          <w:left w:w="0" w:type="dxa"/>
          <w:bottom w:w="0" w:type="dxa"/>
          <w:right w:w="115" w:type="dxa"/>
        </w:tblCellMar>
        <w:tblLook w:firstRow="0" w:noVBand="0" w:lastRow="0" w:firstColumn="0" w:lastColumn="0" w:noHBand="0" w:val="0000"/>
      </w:tblPr>
      <w:tblGrid>
        <w:gridCol w:w="412"/>
        <w:gridCol w:w="8663"/>
      </w:tblGrid>
      <w:tr>
        <w:trPr>
          <w:trHeight w:val="379" w:hRule="atLeast"/>
        </w:trPr>
        <w:tc>
          <w:tcPr>
            <w:tcW w:w="412" w:type="dxa"/>
            <w:tcBorders/>
            <w:shd w:color="auto" w:fill="E7E6E6" w:val="clear"/>
          </w:tcPr>
          <w:p>
            <w:pPr>
              <w:pStyle w:val="Normal"/>
              <w:spacing w:before="240" w:after="0"/>
              <w:ind w:left="55" w:hanging="0"/>
              <w:rPr>
                <w:rFonts w:ascii="Cambria" w:hAnsi="Cambria" w:asciiTheme="majorHAnsi" w:hAnsiTheme="majorHAnsi"/>
              </w:rPr>
            </w:pPr>
            <w:r>
              <w:rPr>
                <w:rFonts w:cs="Cambria" w:ascii="Cambria" w:hAnsi="Cambria" w:asciiTheme="majorHAnsi" w:hAnsiTheme="majorHAnsi"/>
                <w:b/>
                <w:color w:val="000000"/>
                <w:sz w:val="22"/>
                <w:szCs w:val="22"/>
              </w:rPr>
              <w:t>7.</w:t>
            </w:r>
            <w:r>
              <w:rPr>
                <w:rFonts w:eastAsia="Arial" w:cs="Cambria" w:ascii="Cambria" w:hAnsi="Cambria" w:asciiTheme="majorHAnsi" w:hAnsiTheme="majorHAnsi"/>
                <w:b/>
                <w:color w:val="000000"/>
                <w:sz w:val="22"/>
                <w:szCs w:val="22"/>
              </w:rPr>
              <w:t xml:space="preserve"> </w:t>
            </w:r>
          </w:p>
        </w:tc>
        <w:tc>
          <w:tcPr>
            <w:tcW w:w="8663" w:type="dxa"/>
            <w:tcBorders/>
            <w:shd w:color="auto" w:fill="E7E6E6" w:val="clear"/>
          </w:tcPr>
          <w:p>
            <w:pPr>
              <w:pStyle w:val="Normal"/>
              <w:spacing w:before="240" w:after="240"/>
              <w:rPr>
                <w:rFonts w:ascii="Cambria" w:hAnsi="Cambria" w:asciiTheme="majorHAnsi" w:hAnsiTheme="majorHAnsi"/>
              </w:rPr>
            </w:pPr>
            <w:r>
              <w:rPr>
                <w:rFonts w:cs="Cambria" w:ascii="Cambria" w:hAnsi="Cambria" w:asciiTheme="majorHAnsi" w:hAnsiTheme="majorHAnsi"/>
                <w:b/>
                <w:color w:val="000000"/>
                <w:sz w:val="22"/>
                <w:szCs w:val="22"/>
              </w:rPr>
              <w:t xml:space="preserve">WARUNKI UDZIAŁU W POSTĘPOWANIU O UDZIELENIE ZAMÓWIENIA  </w:t>
            </w:r>
          </w:p>
        </w:tc>
      </w:tr>
    </w:tbl>
    <w:p>
      <w:pPr>
        <w:pStyle w:val="Normal"/>
        <w:numPr>
          <w:ilvl w:val="0"/>
          <w:numId w:val="12"/>
        </w:numPr>
        <w:spacing w:before="240" w:after="268"/>
        <w:ind w:left="284" w:hanging="28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 postępowaniu mogą brać udział Wykonawcy, którzy nie podlegają wykluczeniu z postępowania na warunkach określonych w rozdziale 6 oraz spełniają warunki udziału w postępowaniu dotyczące: </w:t>
      </w:r>
    </w:p>
    <w:p>
      <w:pPr>
        <w:pStyle w:val="Normal"/>
        <w:numPr>
          <w:ilvl w:val="0"/>
          <w:numId w:val="9"/>
        </w:numPr>
        <w:spacing w:before="0" w:after="4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zdolności do występowania w obrocie gospodarczym : </w:t>
      </w:r>
    </w:p>
    <w:p>
      <w:pPr>
        <w:pStyle w:val="Normal"/>
        <w:numPr>
          <w:ilvl w:val="0"/>
          <w:numId w:val="11"/>
        </w:numPr>
        <w:spacing w:before="0" w:after="239"/>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nie stawia warunku w powyższym zakresie. </w:t>
      </w:r>
    </w:p>
    <w:p>
      <w:pPr>
        <w:pStyle w:val="Normal"/>
        <w:numPr>
          <w:ilvl w:val="0"/>
          <w:numId w:val="9"/>
        </w:numPr>
        <w:spacing w:before="0" w:after="41"/>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uprawnień do prowadzenia określonej działalności gospodarczej lub zawodowej, o ile wynika to z odrębnych przepisów : </w:t>
      </w:r>
    </w:p>
    <w:p>
      <w:pPr>
        <w:pStyle w:val="Normal"/>
        <w:numPr>
          <w:ilvl w:val="0"/>
          <w:numId w:val="11"/>
        </w:numPr>
        <w:spacing w:before="0" w:after="239"/>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nie stawia warunku w powyższym zakresie. </w:t>
      </w:r>
    </w:p>
    <w:p>
      <w:pPr>
        <w:pStyle w:val="Normal"/>
        <w:numPr>
          <w:ilvl w:val="0"/>
          <w:numId w:val="9"/>
        </w:numPr>
        <w:spacing w:before="0" w:after="46"/>
        <w:jc w:val="both"/>
        <w:rPr>
          <w:rFonts w:ascii="Cambria" w:hAnsi="Cambria" w:cs="Cambria" w:asciiTheme="majorHAnsi" w:hAnsiTheme="majorHAnsi"/>
          <w:sz w:val="22"/>
          <w:szCs w:val="22"/>
        </w:rPr>
      </w:pPr>
      <w:r>
        <w:rPr>
          <w:rFonts w:cs="Cambria" w:ascii="Cambria" w:hAnsi="Cambria" w:asciiTheme="majorHAnsi" w:hAnsiTheme="majorHAnsi"/>
          <w:color w:val="000000"/>
          <w:sz w:val="22"/>
          <w:szCs w:val="22"/>
        </w:rPr>
        <w:t>sytuacji ekonomicznej lub finansowej:</w:t>
      </w:r>
    </w:p>
    <w:p>
      <w:pPr>
        <w:pStyle w:val="Normal"/>
        <w:numPr>
          <w:ilvl w:val="0"/>
          <w:numId w:val="11"/>
        </w:numPr>
        <w:spacing w:before="0" w:after="239"/>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nie stawia warunku w powyższym zakresie. </w:t>
      </w:r>
    </w:p>
    <w:p>
      <w:pPr>
        <w:pStyle w:val="Normal"/>
        <w:numPr>
          <w:ilvl w:val="0"/>
          <w:numId w:val="9"/>
        </w:numPr>
        <w:tabs>
          <w:tab w:val="clear" w:pos="709"/>
          <w:tab w:val="center" w:pos="376" w:leader="none"/>
        </w:tabs>
        <w:spacing w:before="0" w:after="27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zdolności technicznej lub zawodowej:  </w:t>
      </w:r>
    </w:p>
    <w:p>
      <w:pPr>
        <w:pStyle w:val="Normal"/>
        <w:numPr>
          <w:ilvl w:val="0"/>
          <w:numId w:val="3"/>
        </w:numPr>
        <w:tabs>
          <w:tab w:val="clear" w:pos="709"/>
          <w:tab w:val="center" w:pos="376" w:leader="none"/>
          <w:tab w:val="center" w:pos="1418" w:leader="none"/>
        </w:tabs>
        <w:spacing w:before="0" w:after="275"/>
        <w:ind w:left="1418" w:hanging="284"/>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Warunek w zakresie doświadczenia zostanie uznany za spełniony, jeżeli Wykonawca wykaże, że w okresie ostatnich 5 lat liczonych wstecz od dnia, w którym upływa termin składania ofert (a jeżeli okres prowadzenia działalności jest krótszy – w tym okresie), wykonał należycie co najmniej jedną robotę budowlaną polegającą na wymianie lub montażu zewnętrznej stolarki okiennej lub drzwiowej wraz z obróbkami budowlanymi w budynku użyteczności publicznej, o wartości robót nie mniejszej niż 150 000,00 zł brutto.</w:t>
      </w:r>
    </w:p>
    <w:p>
      <w:pPr>
        <w:pStyle w:val="Normal"/>
        <w:tabs>
          <w:tab w:val="clear" w:pos="709"/>
          <w:tab w:val="center" w:pos="376" w:leader="none"/>
          <w:tab w:val="center" w:pos="1418" w:leader="none"/>
        </w:tabs>
        <w:spacing w:before="0" w:after="275"/>
        <w:ind w:left="1418" w:hanging="0"/>
        <w:jc w:val="both"/>
        <w:rPr>
          <w:rFonts w:ascii="Cambria" w:hAnsi="Cambria" w:cs="Cambria" w:asciiTheme="majorHAnsi" w:hAnsiTheme="majorHAnsi"/>
          <w:color w:val="000000"/>
          <w:sz w:val="22"/>
          <w:szCs w:val="22"/>
        </w:rPr>
      </w:pPr>
      <w:r>
        <w:rPr>
          <w:rFonts w:cs="Cambria" w:ascii="Cambria" w:hAnsi="Cambria" w:asciiTheme="majorHAnsi" w:hAnsiTheme="majorHAnsi"/>
          <w:b/>
          <w:color w:val="000000"/>
          <w:sz w:val="22"/>
          <w:szCs w:val="22"/>
        </w:rPr>
        <w:t>Uwaga :</w:t>
      </w:r>
    </w:p>
    <w:p>
      <w:pPr>
        <w:pStyle w:val="Normal"/>
        <w:numPr>
          <w:ilvl w:val="0"/>
          <w:numId w:val="37"/>
        </w:numPr>
        <w:tabs>
          <w:tab w:val="clear" w:pos="709"/>
          <w:tab w:val="center" w:pos="376" w:leader="none"/>
          <w:tab w:val="center" w:pos="1560" w:leader="none"/>
        </w:tabs>
        <w:spacing w:before="0" w:after="275"/>
        <w:ind w:left="1560"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Przez zamówienie wykonane należy rozumieć: zamówienia rozpoczęte i zakończone w okresie ostatnich 5 lat przed upływem terminu składania ofert (a jeżeli okres prowadzenia działalności jest krótszy – w tym okresie).</w:t>
      </w:r>
    </w:p>
    <w:p>
      <w:pPr>
        <w:pStyle w:val="Normal"/>
        <w:numPr>
          <w:ilvl w:val="0"/>
          <w:numId w:val="37"/>
        </w:numPr>
        <w:tabs>
          <w:tab w:val="clear" w:pos="709"/>
          <w:tab w:val="center" w:pos="376" w:leader="none"/>
          <w:tab w:val="center" w:pos="1560" w:leader="none"/>
        </w:tabs>
        <w:spacing w:before="0" w:after="275"/>
        <w:ind w:left="1560"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Zamówienia zakończone w ww. okresie to zamówienia, których rozpoczęcie mogło nastąpić wcześniej niż w ww. okresie.</w:t>
      </w:r>
    </w:p>
    <w:p>
      <w:pPr>
        <w:pStyle w:val="Normal"/>
        <w:numPr>
          <w:ilvl w:val="0"/>
          <w:numId w:val="37"/>
        </w:numPr>
        <w:tabs>
          <w:tab w:val="clear" w:pos="709"/>
          <w:tab w:val="center" w:pos="376" w:leader="none"/>
          <w:tab w:val="center" w:pos="1560" w:leader="none"/>
        </w:tabs>
        <w:spacing w:before="0" w:after="275"/>
        <w:ind w:left="1560" w:hanging="426"/>
        <w:jc w:val="both"/>
        <w:rPr>
          <w:rFonts w:ascii="Cambria" w:hAnsi="Cambria" w:cs="Cambria" w:asciiTheme="majorHAnsi" w:hAnsiTheme="majorHAnsi"/>
          <w:sz w:val="22"/>
          <w:szCs w:val="22"/>
        </w:rPr>
      </w:pPr>
      <w:r>
        <w:rPr>
          <w:rFonts w:cs="Cambria" w:ascii="Cambria" w:hAnsi="Cambria" w:asciiTheme="majorHAnsi" w:hAnsiTheme="majorHAnsi"/>
          <w:color w:val="000000"/>
          <w:sz w:val="22"/>
          <w:szCs w:val="22"/>
        </w:rPr>
        <w:t>Zamawiający nie dopuszcza możliwości sumowania robót o mniejszej wartości celem uzyskania wartości referencyjnej wskazanej w warunku.</w:t>
      </w:r>
    </w:p>
    <w:p>
      <w:pPr>
        <w:pStyle w:val="Normal"/>
        <w:numPr>
          <w:ilvl w:val="0"/>
          <w:numId w:val="37"/>
        </w:numPr>
        <w:tabs>
          <w:tab w:val="clear" w:pos="709"/>
          <w:tab w:val="center" w:pos="376" w:leader="none"/>
          <w:tab w:val="center" w:pos="1560" w:leader="none"/>
        </w:tabs>
        <w:spacing w:before="0" w:after="275"/>
        <w:ind w:left="1560" w:hanging="426"/>
        <w:jc w:val="both"/>
        <w:rPr>
          <w:rFonts w:ascii="Cambria" w:hAnsi="Cambria" w:cs="Cambria" w:asciiTheme="majorHAnsi" w:hAnsiTheme="majorHAnsi"/>
          <w:color w:val="000000"/>
          <w:sz w:val="22"/>
          <w:szCs w:val="22"/>
        </w:rPr>
      </w:pPr>
      <w:r>
        <w:rPr>
          <w:rFonts w:cs="Cambria" w:ascii="Cambria" w:hAnsi="Cambria" w:asciiTheme="majorHAnsi" w:hAnsiTheme="majorHAnsi"/>
          <w:sz w:val="22"/>
          <w:szCs w:val="22"/>
        </w:rPr>
        <w:t>Jeżeli wykonawca powołuje się na doświadczenie w realizacji robót budowlanych wykonywanych wspólnie z innymi wykonawcami Wykonawca może wykazać wyłącznie roboty budowlane, w których wykonaniu wykonawca ten bezpośrednio uczestniczył;</w:t>
      </w:r>
    </w:p>
    <w:p>
      <w:pPr>
        <w:pStyle w:val="Normal"/>
        <w:numPr>
          <w:ilvl w:val="0"/>
          <w:numId w:val="37"/>
        </w:numPr>
        <w:tabs>
          <w:tab w:val="clear" w:pos="709"/>
          <w:tab w:val="center" w:pos="376" w:leader="none"/>
          <w:tab w:val="center" w:pos="1560" w:leader="none"/>
        </w:tabs>
        <w:spacing w:before="0" w:after="275"/>
        <w:ind w:left="1560" w:hanging="426"/>
        <w:jc w:val="both"/>
        <w:rPr>
          <w:rFonts w:ascii="Cambria" w:hAnsi="Cambria" w:cs="Cambria" w:asciiTheme="majorHAnsi" w:hAnsiTheme="majorHAnsi"/>
          <w:color w:val="000000"/>
          <w:sz w:val="22"/>
          <w:szCs w:val="22"/>
        </w:rPr>
      </w:pPr>
      <w:r>
        <w:rPr>
          <w:rFonts w:ascii="Cambria" w:hAnsi="Cambria" w:asciiTheme="majorHAnsi" w:hAnsiTheme="majorHAnsi"/>
          <w:sz w:val="22"/>
          <w:szCs w:val="22"/>
        </w:rPr>
        <w:t>Jeżeli w dokumentach złożonych na potwierdzenie spełnienia warunków udziału w postępowaniu jakiejkolwiek wartości zostaną podane w walucie obcej, to Zamawiający przeliczy wartość waluty na złote wedle średniego kursu NBP z dnia przekazania ogłoszenia o zamówieniu do Biuletynu Zamówień Publicznych.</w:t>
      </w:r>
    </w:p>
    <w:p>
      <w:pPr>
        <w:pStyle w:val="Normal"/>
        <w:spacing w:before="0" w:after="31"/>
        <w:ind w:left="1418" w:hanging="284"/>
        <w:jc w:val="both"/>
        <w:rPr>
          <w:rFonts w:ascii="Cambria" w:hAnsi="Cambria" w:cs="Cambria" w:asciiTheme="majorHAnsi" w:hAnsiTheme="majorHAnsi"/>
          <w:b/>
          <w:b/>
          <w:sz w:val="22"/>
          <w:szCs w:val="22"/>
        </w:rPr>
      </w:pPr>
      <w:r>
        <w:rPr>
          <w:rFonts w:cs="Cambria" w:ascii="Cambria" w:hAnsi="Cambria" w:asciiTheme="majorHAnsi" w:hAnsiTheme="majorHAnsi"/>
          <w:color w:val="000000"/>
          <w:sz w:val="22"/>
          <w:szCs w:val="22"/>
        </w:rPr>
        <w:t>b)</w:t>
        <w:tab/>
        <w:t xml:space="preserve">Warunek w zakresie osób skierowanych przez Wykonawcę do realizacji zamówienia, zostanie uznany za spełniony, jeśli Wykonawca wykaże, że dysponuje lub będzie dysponował: </w:t>
      </w:r>
    </w:p>
    <w:p>
      <w:pPr>
        <w:pStyle w:val="Normal"/>
        <w:numPr>
          <w:ilvl w:val="0"/>
          <w:numId w:val="40"/>
        </w:numPr>
        <w:spacing w:before="240" w:after="240"/>
        <w:ind w:left="1843" w:hanging="425"/>
        <w:jc w:val="both"/>
        <w:rPr>
          <w:rFonts w:ascii="Cambria" w:hAnsi="Cambria" w:cs="Cambria" w:asciiTheme="majorHAnsi" w:hAnsiTheme="majorHAnsi"/>
          <w:sz w:val="22"/>
          <w:szCs w:val="22"/>
        </w:rPr>
      </w:pPr>
      <w:r>
        <w:rPr>
          <w:rFonts w:cs="Cambria" w:ascii="Cambria" w:hAnsi="Cambria" w:asciiTheme="majorHAnsi" w:hAnsiTheme="majorHAnsi"/>
          <w:b/>
          <w:sz w:val="22"/>
          <w:szCs w:val="22"/>
        </w:rPr>
        <w:t xml:space="preserve">min. 1 osobą na stanowisko kierownika budowy: </w:t>
      </w:r>
    </w:p>
    <w:p>
      <w:pPr>
        <w:pStyle w:val="Normal"/>
        <w:numPr>
          <w:ilvl w:val="0"/>
          <w:numId w:val="41"/>
        </w:numPr>
        <w:spacing w:before="0" w:after="240"/>
        <w:ind w:left="1843" w:hanging="425"/>
        <w:jc w:val="both"/>
        <w:rPr>
          <w:rFonts w:ascii="Cambria" w:hAnsi="Cambria" w:cs="Arial" w:asciiTheme="majorHAnsi" w:hAnsiTheme="majorHAnsi"/>
          <w:sz w:val="22"/>
          <w:szCs w:val="22"/>
          <w:lang w:val="cs-CZ"/>
        </w:rPr>
      </w:pPr>
      <w:r>
        <w:rPr>
          <w:rFonts w:cs="Cambria" w:ascii="Cambria" w:hAnsi="Cambria" w:asciiTheme="majorHAnsi" w:hAnsiTheme="majorHAnsi"/>
          <w:sz w:val="22"/>
          <w:szCs w:val="22"/>
        </w:rPr>
        <w:t>uprawnienia budowlane do kierowania robotami budowlanymi w specjalności konstrukcyjno-budowlanej, wydane na podstawie ustawy z dnia 7 lipca 1994 r. – Prawo budowlane (Dz. U. z 2025 r. poz. 418 ze zm.) i aktów wykonawczych, albo odpowiadające im uprawnienia wydane na podstawie wcześniej obowiązujących przepisów, lub kwalifikacje równoważne uznane na terytorium Rzeczypospolitej Polskiej zgodnie z art. 12a Prawa budowlanego;</w:t>
      </w:r>
    </w:p>
    <w:p>
      <w:pPr>
        <w:pStyle w:val="Normal"/>
        <w:numPr>
          <w:ilvl w:val="0"/>
          <w:numId w:val="41"/>
        </w:numPr>
        <w:spacing w:before="0" w:after="240"/>
        <w:ind w:left="1843" w:hanging="425"/>
        <w:jc w:val="both"/>
        <w:rPr>
          <w:rFonts w:ascii="Cambria" w:hAnsi="Cambria" w:cs="Cambria" w:asciiTheme="majorHAnsi" w:hAnsiTheme="majorHAnsi"/>
          <w:color w:val="000000"/>
          <w:sz w:val="22"/>
          <w:szCs w:val="22"/>
        </w:rPr>
      </w:pPr>
      <w:r>
        <w:rPr>
          <w:rFonts w:cs="Cambria" w:ascii="Cambria" w:hAnsi="Cambria" w:asciiTheme="majorHAnsi" w:hAnsiTheme="majorHAnsi"/>
          <w:sz w:val="22"/>
          <w:szCs w:val="22"/>
        </w:rPr>
        <w:t>doświadczenie zawodowe na stanowisku kierownika budowy lub kierownika robót przy realizacji co najmniej jednej roboty budowlanej obejmującej wymianę lub montaż zewnętrznej stolarki okiennej lub drzwiowej w budynku użyteczności publicznej, o wartości robót nie mniejszej niż 150 000,00 zł brutto.</w:t>
      </w:r>
    </w:p>
    <w:p>
      <w:pPr>
        <w:pStyle w:val="Normal"/>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b/>
          <w:sz w:val="22"/>
          <w:szCs w:val="22"/>
        </w:rPr>
        <w:t xml:space="preserve">Uwaga: </w:t>
      </w:r>
    </w:p>
    <w:p>
      <w:pPr>
        <w:pStyle w:val="Normal"/>
        <w:numPr>
          <w:ilvl w:val="0"/>
          <w:numId w:val="38"/>
        </w:numPr>
        <w:suppressAutoHyphens w:val="false"/>
        <w:ind w:left="1276"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 przypadku osób posiadających kwalifikacje nabyte poza terytorium Rzeczypospolitej Polskiej Zamawiający dopuszcza kwalifikacje równoważne, uznane na zasadach określonych w art. 12a Prawa budowlanego oraz w ustawie z dnia 22 grudnia 2015 r. o zasadach uznawania kwalifikacji zawodowych nabytych w państwach członkowskich Unii Europejskiej (Dz. U. z 2026 r. poz. 166).</w:t>
      </w:r>
    </w:p>
    <w:p>
      <w:pPr>
        <w:pStyle w:val="Normal"/>
        <w:numPr>
          <w:ilvl w:val="0"/>
          <w:numId w:val="38"/>
        </w:numPr>
        <w:suppressAutoHyphens w:val="false"/>
        <w:spacing w:before="240" w:after="0"/>
        <w:ind w:left="1276"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Wyżej wymieniona osoba winna posiadać biegłą znajomość języka polskiego. Zamawiający dopuszcza zmianę tego wymogu wyłącznie w przypadku, gdy Wykonawca na własny koszt zapewni tłumacza języka polskiego, który zapewni stałe i biegłe tłumaczenie w kontaktach pomiędzy Zamawiającym a personelem Wykonawcy, a także zapewni tłumaczenie na bieżąco wszystkich dokumentów związanych z realizacją przedmiotowego zamówienia, stworzonych zarówno przez Wykonawcę, jak i dostarczonych przez Zamawiającego.</w:t>
      </w:r>
    </w:p>
    <w:p>
      <w:pPr>
        <w:pStyle w:val="Normal"/>
        <w:numPr>
          <w:ilvl w:val="0"/>
          <w:numId w:val="38"/>
        </w:numPr>
        <w:suppressAutoHyphens w:val="false"/>
        <w:spacing w:before="240" w:after="0"/>
        <w:ind w:left="1276"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dopuszcza możliwość łączenia uprawnień przez poszczególne osoby.</w:t>
      </w:r>
    </w:p>
    <w:p>
      <w:pPr>
        <w:pStyle w:val="Normal"/>
        <w:numPr>
          <w:ilvl w:val="0"/>
          <w:numId w:val="38"/>
        </w:numPr>
        <w:suppressAutoHyphens w:val="false"/>
        <w:spacing w:before="240" w:after="0"/>
        <w:ind w:left="1276"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stosuje poziomów zdolności, o których mowa w art. 112 ust. 3 PZP, ponieważ na dzień wszczęcia postępowania dla przedmiotu zamówienia nie określono odpowiednich poziomów zdolności w przepisach wydanych na podstawie art. 5 ust. 4 ustawy z dnia 5 sierpnia 2025 r. o certyfikacji wykonawców zamówień publicznych (Dz. U. z 2025 r. poz. 1235 oraz z 2026 r. poz. 421).</w:t>
      </w:r>
    </w:p>
    <w:p>
      <w:pPr>
        <w:pStyle w:val="Normal"/>
        <w:numPr>
          <w:ilvl w:val="0"/>
          <w:numId w:val="12"/>
        </w:numPr>
        <w:spacing w:before="240" w:after="126"/>
        <w:ind w:left="426" w:hanging="42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7.1.3 oraz 7.1.4 litera b) powinni spełniać łącznie wszyscy Wykonawcy. Natomiast warunek określony w pkt 7.1.4 litera a) musi spełnić co najmniej jeden z tych wykonawców ubiegających się o zamówienie. </w:t>
      </w:r>
    </w:p>
    <w:p>
      <w:pPr>
        <w:pStyle w:val="Normal"/>
        <w:numPr>
          <w:ilvl w:val="0"/>
          <w:numId w:val="12"/>
        </w:numPr>
        <w:spacing w:before="240" w:after="126"/>
        <w:ind w:left="426" w:hanging="42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 przypadku Wykonawców wykonujących działalność w formie spółki cywilnej postanowienia dot. oferty Wykonawców wspólnie ubiegających się o udzielenie zamówienia (konsorcjum) stosuje się odpowiednio. </w:t>
      </w:r>
    </w:p>
    <w:p>
      <w:pPr>
        <w:pStyle w:val="Normal"/>
        <w:numPr>
          <w:ilvl w:val="0"/>
          <w:numId w:val="12"/>
        </w:numPr>
        <w:spacing w:before="240" w:after="126"/>
        <w:ind w:left="426" w:hanging="42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 odniesieniu do warunków dotyczących wykształcenia, kwalifikacji zawodowych lub doświadczenia Wykonawcy wspólnie ubiegający się o udzielenie zamówienia mogą polegać na zdolnościach tych Wykonawców, którzy wykonają roboty budowlane lub usługi do realizacji których te zdolności są wymagane. W przypadku, Wykonawców wspólnie ubiegający się o udzielenie zamówienia </w:t>
      </w:r>
      <w:r>
        <w:rPr>
          <w:rFonts w:cs="Cambria" w:ascii="Cambria" w:hAnsi="Cambria" w:asciiTheme="majorHAnsi" w:hAnsiTheme="majorHAnsi"/>
          <w:b/>
          <w:color w:val="000000"/>
          <w:sz w:val="22"/>
          <w:szCs w:val="22"/>
        </w:rPr>
        <w:t>dołączają do oferty</w:t>
      </w:r>
      <w:r>
        <w:rPr>
          <w:rFonts w:cs="Cambria" w:ascii="Cambria" w:hAnsi="Cambria" w:asciiTheme="majorHAnsi" w:hAnsiTheme="majorHAnsi"/>
          <w:color w:val="000000"/>
          <w:sz w:val="22"/>
          <w:szCs w:val="22"/>
        </w:rPr>
        <w:t xml:space="preserve"> oświadczenie, z którego wynika, które roboty budowlane lub usługi wykonają poszczególni Wykonawcy. Wzór oświadczenia stanowi </w:t>
      </w:r>
      <w:r>
        <w:rPr>
          <w:rFonts w:cs="Cambria" w:ascii="Cambria" w:hAnsi="Cambria" w:asciiTheme="majorHAnsi" w:hAnsiTheme="majorHAnsi"/>
          <w:b/>
          <w:color w:val="000000"/>
          <w:sz w:val="22"/>
          <w:szCs w:val="22"/>
        </w:rPr>
        <w:t xml:space="preserve">załącznik nr 10 </w:t>
      </w:r>
      <w:r>
        <w:rPr>
          <w:rFonts w:cs="Cambria" w:ascii="Cambria" w:hAnsi="Cambria" w:asciiTheme="majorHAnsi" w:hAnsiTheme="majorHAnsi"/>
          <w:color w:val="000000"/>
          <w:sz w:val="22"/>
          <w:szCs w:val="22"/>
        </w:rPr>
        <w:t xml:space="preserve">do SWZ.  </w:t>
      </w:r>
    </w:p>
    <w:p>
      <w:pPr>
        <w:pStyle w:val="Normal"/>
        <w:numPr>
          <w:ilvl w:val="0"/>
          <w:numId w:val="12"/>
        </w:numPr>
        <w:spacing w:before="240" w:after="126"/>
        <w:ind w:left="426" w:hanging="42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Pr>
          <w:rFonts w:cs="Cambria" w:ascii="Cambria" w:hAnsi="Cambria" w:asciiTheme="majorHAnsi" w:hAnsiTheme="majorHAnsi"/>
          <w:b/>
          <w:color w:val="000000"/>
          <w:sz w:val="22"/>
          <w:szCs w:val="22"/>
        </w:rPr>
        <w:t xml:space="preserve"> </w:t>
      </w:r>
    </w:p>
    <w:p>
      <w:pPr>
        <w:pStyle w:val="Normal"/>
        <w:spacing w:before="0" w:after="268"/>
        <w:ind w:left="426" w:hanging="708"/>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ab/>
        <w:t>Wykonawca, który polega na zdolnościach technicznych lub zawodowych podmiotów udostępniających zasoby składa wraz  z ofertą:</w:t>
      </w:r>
      <w:r>
        <w:rPr>
          <w:rFonts w:cs="Cambria" w:ascii="Cambria" w:hAnsi="Cambria" w:asciiTheme="majorHAnsi" w:hAnsiTheme="majorHAnsi"/>
          <w:b/>
          <w:color w:val="000000"/>
          <w:sz w:val="22"/>
          <w:szCs w:val="22"/>
        </w:rPr>
        <w:t xml:space="preserve"> </w:t>
      </w:r>
    </w:p>
    <w:p>
      <w:pPr>
        <w:pStyle w:val="Normal"/>
        <w:numPr>
          <w:ilvl w:val="1"/>
          <w:numId w:val="22"/>
        </w:numPr>
        <w:spacing w:before="0" w:after="246"/>
        <w:ind w:left="1134" w:hanging="425"/>
        <w:jc w:val="both"/>
        <w:rPr>
          <w:rFonts w:ascii="Cambria" w:hAnsi="Cambria" w:cs="Cambria" w:asciiTheme="majorHAnsi" w:hAnsiTheme="majorHAnsi"/>
          <w:color w:val="000000"/>
          <w:sz w:val="22"/>
          <w:szCs w:val="22"/>
        </w:rPr>
      </w:pPr>
      <w:r>
        <w:rPr>
          <w:rFonts w:cs="Cambria" w:ascii="Cambria" w:hAnsi="Cambria" w:asciiTheme="majorHAnsi" w:hAnsiTheme="majorHAnsi"/>
          <w:b/>
          <w:color w:val="000000"/>
          <w:sz w:val="22"/>
          <w:szCs w:val="22"/>
        </w:rPr>
        <w:t>zobowiązanie podmiotu udostępniającego</w:t>
      </w:r>
      <w:r>
        <w:rPr>
          <w:rFonts w:cs="Cambria" w:ascii="Cambria" w:hAnsi="Cambria" w:asciiTheme="majorHAnsi" w:hAnsiTheme="majorHAnsi"/>
          <w:color w:val="000000"/>
          <w:sz w:val="22"/>
          <w:szCs w:val="22"/>
        </w:rPr>
        <w:t xml:space="preserve"> zasoby do oddania mu do dyspozycji niezbędnych zasobów na potrzeby realizacji danego zamówienia lub inny podmiotowy środek dowodowy potwierdzający, że wykonawca realizując zamówienie, będzie dysponował niezbędnymi zasobami tych podmiotów. </w:t>
      </w:r>
    </w:p>
    <w:p>
      <w:pPr>
        <w:pStyle w:val="Normal"/>
        <w:ind w:left="876" w:hanging="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w:t>
      </w:r>
    </w:p>
    <w:p>
      <w:pPr>
        <w:pStyle w:val="Normal"/>
        <w:numPr>
          <w:ilvl w:val="3"/>
          <w:numId w:val="25"/>
        </w:numPr>
        <w:spacing w:before="0" w:after="8"/>
        <w:ind w:left="1432" w:hanging="56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zakres dostępnych wykonawcy zasobów podmiotu udostępniającego zasoby;  </w:t>
      </w:r>
    </w:p>
    <w:p>
      <w:pPr>
        <w:pStyle w:val="Normal"/>
        <w:numPr>
          <w:ilvl w:val="3"/>
          <w:numId w:val="25"/>
        </w:numPr>
        <w:spacing w:before="0" w:after="8"/>
        <w:ind w:left="1432" w:hanging="56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sposób i okres udostępnienia wykonawcy i wykorzystania przez niego zasobów podmiotu udostępniającego te zasoby przy wykonywaniu zamówienia;  </w:t>
      </w:r>
    </w:p>
    <w:p>
      <w:pPr>
        <w:pStyle w:val="Normal"/>
        <w:numPr>
          <w:ilvl w:val="3"/>
          <w:numId w:val="25"/>
        </w:numPr>
        <w:spacing w:before="0" w:after="246"/>
        <w:ind w:left="1432" w:hanging="56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w:t>
      </w:r>
    </w:p>
    <w:p>
      <w:pPr>
        <w:pStyle w:val="Normal"/>
        <w:spacing w:before="0" w:after="246"/>
        <w:ind w:left="1432" w:hanging="0"/>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 xml:space="preserve">Niewiążący wzór zobowiązania do oddania wykonawcy do dyspozycji niezbędnych zasobów na potrzeby wykonania zamówienia stanowi </w:t>
      </w:r>
      <w:r>
        <w:rPr>
          <w:rFonts w:cs="Cambria" w:ascii="Cambria" w:hAnsi="Cambria" w:asciiTheme="majorHAnsi" w:hAnsiTheme="majorHAnsi"/>
          <w:b/>
          <w:color w:val="000000"/>
          <w:sz w:val="22"/>
          <w:szCs w:val="22"/>
        </w:rPr>
        <w:t xml:space="preserve">załącznik nr 8 </w:t>
      </w:r>
      <w:r>
        <w:rPr>
          <w:rFonts w:cs="Cambria" w:ascii="Cambria" w:hAnsi="Cambria" w:asciiTheme="majorHAnsi" w:hAnsiTheme="majorHAnsi"/>
          <w:color w:val="000000"/>
          <w:sz w:val="22"/>
          <w:szCs w:val="22"/>
        </w:rPr>
        <w:t xml:space="preserve">do SWZ. </w:t>
      </w:r>
    </w:p>
    <w:p>
      <w:pPr>
        <w:pStyle w:val="Normal"/>
        <w:numPr>
          <w:ilvl w:val="1"/>
          <w:numId w:val="22"/>
        </w:numPr>
        <w:spacing w:before="0" w:after="243"/>
        <w:ind w:left="1276" w:hanging="567"/>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oświadczenie podmiotu udostępniającego zasoby</w:t>
      </w:r>
      <w:r>
        <w:rPr>
          <w:rFonts w:cs="Cambria" w:ascii="Cambria" w:hAnsi="Cambria" w:asciiTheme="majorHAnsi" w:hAnsiTheme="majorHAnsi"/>
          <w:color w:val="000000"/>
          <w:sz w:val="22"/>
          <w:szCs w:val="22"/>
        </w:rPr>
        <w:t>, potwierdzające brak podstaw wykluczenia tego podmiotu oraz odpowiednio spełnianie warunków udziału w postępowaniu, w zakresie, w jakim wykonawca powołuje się na jego zasoby (</w:t>
      </w:r>
      <w:r>
        <w:rPr>
          <w:rFonts w:cs="Cambria" w:ascii="Cambria" w:hAnsi="Cambria" w:asciiTheme="majorHAnsi" w:hAnsiTheme="majorHAnsi"/>
          <w:b/>
          <w:color w:val="000000"/>
          <w:sz w:val="22"/>
          <w:szCs w:val="22"/>
        </w:rPr>
        <w:t>załącznik nr 4</w:t>
      </w:r>
      <w:r>
        <w:rPr>
          <w:rFonts w:cs="Cambria" w:ascii="Cambria" w:hAnsi="Cambria" w:asciiTheme="majorHAnsi" w:hAnsiTheme="majorHAnsi"/>
          <w:color w:val="000000"/>
          <w:sz w:val="22"/>
          <w:szCs w:val="22"/>
        </w:rPr>
        <w:t xml:space="preserve">). </w:t>
      </w:r>
    </w:p>
    <w:p>
      <w:pPr>
        <w:pStyle w:val="Normal"/>
        <w:spacing w:before="0" w:after="123"/>
        <w:ind w:left="851" w:hanging="567"/>
        <w:jc w:val="both"/>
        <w:rPr>
          <w:rFonts w:ascii="Cambria" w:hAnsi="Cambria" w:cs="Cambria" w:asciiTheme="majorHAnsi" w:hAnsiTheme="majorHAnsi"/>
          <w:color w:val="000000"/>
          <w:sz w:val="22"/>
          <w:szCs w:val="22"/>
        </w:rPr>
      </w:pPr>
      <w:r>
        <w:rPr>
          <w:rFonts w:cs="Cambria" w:ascii="Cambria" w:hAnsi="Cambria" w:asciiTheme="majorHAnsi" w:hAnsiTheme="majorHAnsi"/>
          <w:b/>
          <w:color w:val="000000"/>
          <w:sz w:val="22"/>
          <w:szCs w:val="22"/>
        </w:rPr>
        <w:tab/>
        <w:t xml:space="preserve">UWAGA: </w:t>
      </w:r>
      <w:r>
        <w:rPr>
          <w:rFonts w:cs="Cambria" w:ascii="Cambria" w:hAnsi="Cambria" w:asciiTheme="majorHAnsi" w:hAnsiTheme="majorHAnsi"/>
          <w:color w:val="000000"/>
          <w:sz w:val="22"/>
          <w:szCs w:val="22"/>
        </w:rPr>
        <w:t xml:space="preserve">Wykonawca </w:t>
      </w:r>
      <w:r>
        <w:rPr>
          <w:rFonts w:cs="Cambria" w:ascii="Cambria" w:hAnsi="Cambria" w:asciiTheme="majorHAnsi" w:hAnsiTheme="majorHAnsi"/>
          <w:b/>
          <w:color w:val="000000"/>
          <w:sz w:val="22"/>
          <w:szCs w:val="22"/>
        </w:rPr>
        <w:t>nie może</w:t>
      </w:r>
      <w:r>
        <w:rPr>
          <w:rFonts w:cs="Cambria" w:ascii="Cambria" w:hAnsi="Cambria" w:asciiTheme="majorHAnsi" w:hAnsiTheme="majorHAnsi"/>
          <w:color w:val="000000"/>
          <w:sz w:val="22"/>
          <w:szCs w:val="22"/>
        </w:rPr>
        <w:t xml:space="preserve">, po upływie terminu składania ofert, powoływać się na zdolności lub sytuację podmiotów udostępniających zasoby, jeżeli na etapie składania ofert nie polegał on w danym zakresie na zdolnościach lub sytuacji podmiotów udostępniających zasoby. </w:t>
      </w:r>
    </w:p>
    <w:p>
      <w:pPr>
        <w:pStyle w:val="Normal"/>
        <w:numPr>
          <w:ilvl w:val="0"/>
          <w:numId w:val="12"/>
        </w:numPr>
        <w:suppressAutoHyphens w:val="false"/>
        <w:spacing w:before="0" w:after="1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Wykonawca, który polega na zdolnościach technicznych lub zawodowych albo sytuacji finansowej lub ekonomicznej podmiotu udostępniającego zasoby na zasadach określonych w art. 118 PZP, jest zobowiązany do przedstawienia podmiotowych środków dowodowych, o których mowa w pkt 9.2 SWZ, dotyczących tego podmiotu i potwierdzających, że nie zachodzą wobec niego podstawy wykluczenia z postępowania – w zakresie, w jakim okoliczności te nie zostały potwierdzone ważnym certyfikatem wykonawcy zamówień publicznych wydanym temu podmiotowi.</w:t>
      </w:r>
    </w:p>
    <w:p>
      <w:pPr>
        <w:pStyle w:val="Normal"/>
        <w:suppressAutoHyphens w:val="false"/>
        <w:spacing w:before="0" w:after="126"/>
        <w:ind w:left="703" w:hanging="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Certyfikat nie zastępuje oświadczenia podmiotu udostępniającego zasoby, o którym mowa w art. 125 ust. 5 PZP, składanego wraz z ofertą.</w:t>
      </w:r>
    </w:p>
    <w:p>
      <w:pPr>
        <w:pStyle w:val="Normal"/>
        <w:suppressAutoHyphens w:val="false"/>
        <w:spacing w:before="0" w:after="126"/>
        <w:ind w:left="703" w:hanging="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Podmiotowe środki dowodowe wykonawca składa w terminie wskazanym przez Zamawiającego, nie krótszym niż 5 dni od dnia wezwania wystosowanego na podstawie art. 274 ust. 1 PZP.</w:t>
      </w:r>
      <w:r>
        <w:rPr>
          <w:rFonts w:cs="Cambria" w:ascii="Cambria" w:hAnsi="Cambria" w:asciiTheme="majorHAnsi" w:hAnsiTheme="majorHAnsi"/>
          <w:color w:val="000000"/>
          <w:sz w:val="22"/>
          <w:szCs w:val="22"/>
          <w:lang w:eastAsia="pl-PL"/>
        </w:rPr>
        <w:t xml:space="preserve"> </w:t>
      </w:r>
    </w:p>
    <w:p>
      <w:pPr>
        <w:pStyle w:val="Normal"/>
        <w:numPr>
          <w:ilvl w:val="0"/>
          <w:numId w:val="12"/>
        </w:numPr>
        <w:suppressAutoHyphens w:val="false"/>
        <w:spacing w:before="0" w:after="126"/>
        <w:jc w:val="both"/>
        <w:rPr>
          <w:rFonts w:ascii="Cambria" w:hAnsi="Cambria" w:cs="Cambria" w:asciiTheme="majorHAnsi" w:hAnsiTheme="majorHAnsi"/>
          <w:sz w:val="22"/>
          <w:szCs w:val="22"/>
          <w:lang w:eastAsia="pl-PL"/>
        </w:rPr>
      </w:pPr>
      <w:r>
        <w:rPr>
          <w:rFonts w:cs="Cambria" w:ascii="Cambria" w:hAnsi="Cambria" w:asciiTheme="majorHAnsi" w:hAnsiTheme="majorHAnsi"/>
          <w:sz w:val="22"/>
          <w:szCs w:val="22"/>
          <w:lang w:eastAsia="pl-PL"/>
        </w:rPr>
        <w:t>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pPr>
        <w:pStyle w:val="Normal"/>
        <w:suppressAutoHyphens w:val="false"/>
        <w:spacing w:before="0" w:after="126"/>
        <w:ind w:left="426" w:hanging="0"/>
        <w:jc w:val="both"/>
        <w:rPr>
          <w:rFonts w:ascii="Cambria" w:hAnsi="Cambria" w:cs="Cambria" w:asciiTheme="majorHAnsi" w:hAnsiTheme="majorHAnsi"/>
          <w:sz w:val="22"/>
          <w:szCs w:val="22"/>
          <w:lang w:eastAsia="pl-PL"/>
        </w:rPr>
      </w:pPr>
      <w:r>
        <w:rPr>
          <w:rFonts w:cs="Cambria" w:ascii="Cambria" w:hAnsi="Cambria" w:asciiTheme="majorHAnsi" w:hAnsiTheme="majorHAnsi"/>
          <w:sz w:val="22"/>
          <w:szCs w:val="22"/>
          <w:lang w:eastAsia="pl-PL"/>
        </w:rPr>
        <w:t>Ocena spełniania warunków udziału w postępowaniu zostanie dokonana zgodnie z formułą „spełnia/nie spełnia”, na podstawie oświadczenia, o którym mowa w art. 125 ust. 1 PZP, składanego wraz z ofertą, a następnie – w odniesieniu do wykonawcy, którego oferta została najwyżej oceniona – na podstawie:</w:t>
      </w:r>
    </w:p>
    <w:p>
      <w:pPr>
        <w:pStyle w:val="Normal"/>
        <w:suppressAutoHyphens w:val="false"/>
        <w:spacing w:before="0" w:after="126"/>
        <w:ind w:left="993" w:hanging="284"/>
        <w:jc w:val="both"/>
        <w:rPr>
          <w:rFonts w:ascii="Cambria" w:hAnsi="Cambria" w:cs="Cambria" w:asciiTheme="majorHAnsi" w:hAnsiTheme="majorHAnsi"/>
          <w:sz w:val="22"/>
          <w:szCs w:val="22"/>
          <w:lang w:eastAsia="pl-PL"/>
        </w:rPr>
      </w:pPr>
      <w:r>
        <w:rPr>
          <w:rFonts w:cs="Cambria" w:ascii="Cambria" w:hAnsi="Cambria" w:asciiTheme="majorHAnsi" w:hAnsiTheme="majorHAnsi"/>
          <w:sz w:val="22"/>
          <w:szCs w:val="22"/>
          <w:lang w:eastAsia="pl-PL"/>
        </w:rPr>
        <w:t>1) ważnego certyfikatu wykonawcy zamówień publicznych – w zakresie objętym certyfikacją i odpowiadającym warunkom określonym przez Zamawiającego;</w:t>
      </w:r>
    </w:p>
    <w:p>
      <w:pPr>
        <w:pStyle w:val="Normal"/>
        <w:suppressAutoHyphens w:val="false"/>
        <w:spacing w:before="0" w:after="126"/>
        <w:ind w:left="993" w:hanging="284"/>
        <w:jc w:val="both"/>
        <w:rPr>
          <w:rFonts w:ascii="Cambria" w:hAnsi="Cambria" w:cs="Cambria" w:asciiTheme="majorHAnsi" w:hAnsiTheme="majorHAnsi"/>
          <w:b/>
          <w:b/>
          <w:color w:val="000000"/>
          <w:sz w:val="22"/>
          <w:szCs w:val="22"/>
        </w:rPr>
      </w:pPr>
      <w:r>
        <w:rPr>
          <w:rFonts w:cs="Cambria" w:ascii="Cambria" w:hAnsi="Cambria" w:asciiTheme="majorHAnsi" w:hAnsiTheme="majorHAnsi"/>
          <w:sz w:val="22"/>
          <w:szCs w:val="22"/>
          <w:lang w:eastAsia="pl-PL"/>
        </w:rPr>
        <w:t>2) podmiotowych środków dowodowych wskazanych w rozdziale 9 SWZ – w zakresie nieobjętym certyfikatem albo niepotwierdzonym certyfikatem na poziomie wymaganym w SWZ.</w:t>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12"/>
        <w:gridCol w:w="8663"/>
      </w:tblGrid>
      <w:tr>
        <w:trPr>
          <w:trHeight w:val="382" w:hRule="atLeast"/>
        </w:trPr>
        <w:tc>
          <w:tcPr>
            <w:tcW w:w="412" w:type="dxa"/>
            <w:tcBorders/>
            <w:shd w:color="auto" w:fill="E7E6E6" w:val="clear"/>
          </w:tcPr>
          <w:p>
            <w:pPr>
              <w:pStyle w:val="Normal"/>
              <w:spacing w:before="240" w:after="240"/>
              <w:ind w:left="55" w:hanging="0"/>
              <w:rPr>
                <w:rFonts w:ascii="Cambria" w:hAnsi="Cambria" w:asciiTheme="majorHAnsi" w:hAnsiTheme="majorHAnsi"/>
              </w:rPr>
            </w:pPr>
            <w:r>
              <w:rPr>
                <w:rFonts w:cs="Cambria" w:ascii="Cambria" w:hAnsi="Cambria" w:asciiTheme="majorHAnsi" w:hAnsiTheme="majorHAnsi"/>
                <w:b/>
                <w:color w:val="000000"/>
                <w:sz w:val="22"/>
                <w:szCs w:val="22"/>
              </w:rPr>
              <w:t>8.</w:t>
            </w:r>
            <w:r>
              <w:rPr>
                <w:rFonts w:eastAsia="Arial" w:cs="Cambria" w:ascii="Cambria" w:hAnsi="Cambria" w:asciiTheme="majorHAnsi" w:hAnsiTheme="majorHAnsi"/>
                <w:b/>
                <w:color w:val="000000"/>
                <w:sz w:val="22"/>
                <w:szCs w:val="22"/>
              </w:rPr>
              <w:t xml:space="preserve"> </w:t>
            </w:r>
          </w:p>
        </w:tc>
        <w:tc>
          <w:tcPr>
            <w:tcW w:w="8663" w:type="dxa"/>
            <w:tcBorders/>
            <w:shd w:color="auto" w:fill="E7E6E6" w:val="clear"/>
          </w:tcPr>
          <w:p>
            <w:pPr>
              <w:pStyle w:val="Normal"/>
              <w:spacing w:before="240" w:after="240"/>
              <w:rPr>
                <w:rFonts w:ascii="Cambria" w:hAnsi="Cambria" w:asciiTheme="majorHAnsi" w:hAnsiTheme="majorHAnsi"/>
              </w:rPr>
            </w:pPr>
            <w:r>
              <w:rPr>
                <w:rFonts w:cs="Cambria" w:ascii="Cambria" w:hAnsi="Cambria" w:asciiTheme="majorHAnsi" w:hAnsiTheme="majorHAnsi"/>
                <w:b/>
                <w:color w:val="000000"/>
                <w:sz w:val="22"/>
                <w:szCs w:val="22"/>
              </w:rPr>
              <w:t xml:space="preserve">INFORMACJA O PRZEDMIOTOWYCH ŚRODKACH DOWODOWYCH  </w:t>
            </w:r>
          </w:p>
        </w:tc>
      </w:tr>
    </w:tbl>
    <w:p>
      <w:pPr>
        <w:pStyle w:val="Normal"/>
        <w:spacing w:before="240" w:after="240"/>
        <w:ind w:left="426" w:hanging="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żąda przedmiotowych środków dowodowych, z wyjątkiem dokumentów potwierdzających równoważność – wyłącznie w przypadku zaoferowania rozwiązań równoważnych zgodnie z rozdziałem 3 SWZ.</w:t>
      </w:r>
    </w:p>
    <w:p>
      <w:pPr>
        <w:pStyle w:val="ListParagraph"/>
        <w:numPr>
          <w:ilvl w:val="1"/>
          <w:numId w:val="12"/>
        </w:numPr>
        <w:rPr>
          <w:rFonts w:ascii="Cambria" w:hAnsi="Cambria" w:cs="Cambria" w:asciiTheme="majorHAnsi" w:hAnsiTheme="majorHAnsi"/>
          <w:color w:val="000000"/>
        </w:rPr>
      </w:pPr>
      <w:r>
        <w:rPr>
          <w:rFonts w:cs="Cambria" w:ascii="Cambria" w:hAnsi="Cambria" w:asciiTheme="majorHAnsi" w:hAnsiTheme="majorHAnsi"/>
          <w:color w:val="000000"/>
        </w:rPr>
        <w:t>Wykonawca oferujący rozwiązania równoważne wskazuje je w Formularzu Oferty i składa dokumenty pozwalające ocenić ich zgodność z wymaganiami Zamawiającego.</w:t>
      </w:r>
    </w:p>
    <w:p>
      <w:pPr>
        <w:pStyle w:val="ListParagraph"/>
        <w:numPr>
          <w:ilvl w:val="1"/>
          <w:numId w:val="12"/>
        </w:numPr>
        <w:rPr>
          <w:rFonts w:ascii="Cambria" w:hAnsi="Cambria" w:cs="Cambria" w:asciiTheme="majorHAnsi" w:hAnsiTheme="majorHAnsi"/>
          <w:color w:val="000000"/>
        </w:rPr>
      </w:pPr>
      <w:r>
        <w:rPr>
          <w:rFonts w:cs="Cambria" w:ascii="Cambria" w:hAnsi="Cambria" w:asciiTheme="majorHAnsi" w:hAnsiTheme="majorHAnsi"/>
          <w:color w:val="000000"/>
        </w:rPr>
        <w:t>Jeżeli dokumenty te nie zostaną złożone albo będą niekompletne, Zamawiający stosuje art. 107 ust. 2 PZP na zasadach określonych w rozdziale 3 SWZ. Protokół wizji lokalnej nie jest przedmiotowym środkiem dowodowym i nie podlega załączeniu do oferty.</w:t>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12"/>
        <w:gridCol w:w="8663"/>
      </w:tblGrid>
      <w:tr>
        <w:trPr>
          <w:trHeight w:val="379" w:hRule="atLeast"/>
        </w:trPr>
        <w:tc>
          <w:tcPr>
            <w:tcW w:w="412" w:type="dxa"/>
            <w:tcBorders/>
            <w:shd w:color="auto" w:fill="E7E6E6" w:val="clear"/>
          </w:tcPr>
          <w:p>
            <w:pPr>
              <w:pStyle w:val="Normal"/>
              <w:spacing w:before="240" w:after="240"/>
              <w:ind w:left="55" w:hanging="0"/>
              <w:rPr>
                <w:rFonts w:ascii="Cambria" w:hAnsi="Cambria" w:asciiTheme="majorHAnsi" w:hAnsiTheme="majorHAnsi"/>
              </w:rPr>
            </w:pPr>
            <w:r>
              <w:rPr>
                <w:rFonts w:cs="Cambria" w:ascii="Cambria" w:hAnsi="Cambria" w:asciiTheme="majorHAnsi" w:hAnsiTheme="majorHAnsi"/>
                <w:b/>
                <w:color w:val="000000"/>
                <w:sz w:val="22"/>
                <w:szCs w:val="22"/>
              </w:rPr>
              <w:t>9.</w:t>
            </w:r>
            <w:r>
              <w:rPr>
                <w:rFonts w:eastAsia="Arial" w:cs="Cambria" w:ascii="Cambria" w:hAnsi="Cambria" w:asciiTheme="majorHAnsi" w:hAnsiTheme="majorHAnsi"/>
                <w:b/>
                <w:color w:val="000000"/>
                <w:sz w:val="22"/>
                <w:szCs w:val="22"/>
              </w:rPr>
              <w:t xml:space="preserve"> </w:t>
            </w:r>
          </w:p>
        </w:tc>
        <w:tc>
          <w:tcPr>
            <w:tcW w:w="8663" w:type="dxa"/>
            <w:tcBorders/>
            <w:shd w:color="auto" w:fill="E7E6E6" w:val="clear"/>
          </w:tcPr>
          <w:p>
            <w:pPr>
              <w:pStyle w:val="Normal"/>
              <w:spacing w:before="240" w:after="0"/>
              <w:rPr>
                <w:rFonts w:ascii="Cambria" w:hAnsi="Cambria" w:asciiTheme="majorHAnsi" w:hAnsiTheme="majorHAnsi"/>
              </w:rPr>
            </w:pPr>
            <w:r>
              <w:rPr>
                <w:rFonts w:cs="Cambria" w:ascii="Cambria" w:hAnsi="Cambria" w:asciiTheme="majorHAnsi" w:hAnsiTheme="majorHAnsi"/>
                <w:b/>
                <w:color w:val="000000"/>
                <w:sz w:val="22"/>
                <w:szCs w:val="22"/>
              </w:rPr>
              <w:t xml:space="preserve">WYKAZ PODMIOTOWYCH ŚRODKÓW DOWODOWYCH </w:t>
            </w:r>
          </w:p>
        </w:tc>
      </w:tr>
    </w:tbl>
    <w:p>
      <w:pPr>
        <w:pStyle w:val="Normal"/>
        <w:spacing w:before="240" w:after="151"/>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b/>
          <w:color w:val="000000"/>
          <w:sz w:val="22"/>
          <w:szCs w:val="22"/>
        </w:rPr>
        <w:t>9.1</w:t>
      </w:r>
      <w:r>
        <w:rPr>
          <w:rFonts w:cs="Cambria" w:ascii="Cambria" w:hAnsi="Cambria" w:asciiTheme="majorHAnsi" w:hAnsiTheme="majorHAnsi"/>
          <w:color w:val="000000"/>
          <w:sz w:val="22"/>
          <w:szCs w:val="22"/>
        </w:rPr>
        <w:t xml:space="preserve"> W celu potwierdzenia spełnienia warunków udziału, o których mowa w pkt 7.1 SWZ, wykonawca będzie obowiązany przedstawić Zamawiającemu następujące podmiotowe środki dowodowe, w terminach wskazanych w SWZ – w zakresie, w jakim podmiotowe środki dowodowe nie zostały zastąpione ważnym certyfikatem wykonawcy zamówień publicznych zgodnie z pkt 9.2a SWZ:</w:t>
      </w:r>
    </w:p>
    <w:p>
      <w:pPr>
        <w:pStyle w:val="Normal"/>
        <w:numPr>
          <w:ilvl w:val="0"/>
          <w:numId w:val="39"/>
        </w:numPr>
        <w:spacing w:before="240" w:after="151"/>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Wykaz robót budowlanych stanowi </w:t>
      </w:r>
      <w:r>
        <w:rPr>
          <w:rFonts w:cs="Cambria" w:ascii="Cambria" w:hAnsi="Cambria" w:asciiTheme="majorHAnsi" w:hAnsiTheme="majorHAnsi"/>
          <w:b/>
          <w:color w:val="000000"/>
          <w:sz w:val="22"/>
          <w:szCs w:val="22"/>
        </w:rPr>
        <w:t>załącznik nr 6 do SWZ</w:t>
      </w:r>
      <w:r>
        <w:rPr>
          <w:rFonts w:cs="Cambria" w:ascii="Cambria" w:hAnsi="Cambria" w:asciiTheme="majorHAnsi" w:hAnsiTheme="majorHAnsi"/>
          <w:color w:val="000000"/>
          <w:sz w:val="22"/>
          <w:szCs w:val="22"/>
        </w:rPr>
        <w:t>.</w:t>
      </w:r>
    </w:p>
    <w:p>
      <w:pPr>
        <w:pStyle w:val="Normal"/>
        <w:numPr>
          <w:ilvl w:val="0"/>
          <w:numId w:val="39"/>
        </w:numPr>
        <w:spacing w:before="240" w:after="151"/>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pPr>
        <w:pStyle w:val="Normal"/>
        <w:tabs>
          <w:tab w:val="clear" w:pos="709"/>
          <w:tab w:val="left" w:pos="567" w:leader="none"/>
        </w:tabs>
        <w:spacing w:before="240" w:after="151"/>
        <w:ind w:left="1004" w:hanging="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Jeżeli Wykonawca powołuje się na doświadczenie w realizacji robót budowlanych, wykonanych wspólnie z innymi wykonawcami informacje określone w wykazie robót budowlanych dotyczą robót budowlanych, w których wykonawca ten bezpośrednio uczestniczył.</w:t>
      </w:r>
    </w:p>
    <w:p>
      <w:pPr>
        <w:pStyle w:val="Normal"/>
        <w:numPr>
          <w:ilvl w:val="0"/>
          <w:numId w:val="39"/>
        </w:numPr>
        <w:tabs>
          <w:tab w:val="clear" w:pos="709"/>
          <w:tab w:val="left" w:pos="567" w:leader="none"/>
        </w:tabs>
        <w:spacing w:before="240" w:after="151"/>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Wykaz osób skierowanych przez Wykonawcę do realizacji zamówienia, w szczególności odpowiedzialnych za kierowanie robotami budowlanymi, wraz z informacjami na temat ich kwalifikacji zawodowych, uprawnień i doświadczenia niezbędnych do wykonania zamówienia, zakresu wykonywanych czynności oraz podstawy dysponowania tymi osobami (wzór stanowi załącznik nr 5 do SWZ).</w:t>
      </w:r>
    </w:p>
    <w:p>
      <w:pPr>
        <w:pStyle w:val="Normal"/>
        <w:spacing w:before="240" w:after="151"/>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b/>
          <w:color w:val="000000"/>
          <w:sz w:val="22"/>
          <w:szCs w:val="22"/>
        </w:rPr>
        <w:t>9.2</w:t>
      </w:r>
      <w:r>
        <w:rPr>
          <w:rFonts w:cs="Cambria" w:ascii="Cambria" w:hAnsi="Cambria" w:asciiTheme="majorHAnsi" w:hAnsiTheme="majorHAnsi"/>
          <w:color w:val="000000"/>
          <w:sz w:val="22"/>
          <w:szCs w:val="22"/>
        </w:rPr>
        <w:tab/>
        <w:t>W celu potwierdzenia braku podstaw wykluczenia z postępowania, o których mowa w rozdziale 6 SWZ, wykonawca będzie obowiązany przedstawić Zamawiającemu następujące podmiotowe środki dowodowe – w zakresie, w jakim podmiotowe środki dowodowe nie zostały zastąpione ważnym certyfikatem wykonawcy zamówień publicznych zgodnie z pkt 9.2a SWZ:</w:t>
      </w:r>
    </w:p>
    <w:p>
      <w:pPr>
        <w:pStyle w:val="Normal"/>
        <w:numPr>
          <w:ilvl w:val="0"/>
          <w:numId w:val="29"/>
        </w:numPr>
        <w:spacing w:before="240" w:after="151"/>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 celu potwierdzenia braku podstaw wykluczenia Zamawiający żąda oświadczenia Wykonawcy o aktualności informacji zawartych w oświadczeniu, o którym mowa w art. 125 ust. 1 PZP, w zakresie art. 108 ust. 1 pkt 1–6 i art. 109 ust. 1 pkt 4 PZP oraz art. 7 ust. 1 ustawy sankcyjnej – w zakresie niepotwierdzonym ważnym certyfikatem wykonawcy zamówień publicznych.</w:t>
      </w:r>
    </w:p>
    <w:p>
      <w:pPr>
        <w:pStyle w:val="Normal"/>
        <w:numPr>
          <w:ilvl w:val="0"/>
          <w:numId w:val="29"/>
        </w:numPr>
        <w:spacing w:before="240" w:after="151"/>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pPr>
        <w:pStyle w:val="Normal"/>
        <w:spacing w:before="240" w:after="151"/>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9.2a   Zasady posługiwania się certyfikatem wykonawcy zamówień publicznych:</w:t>
      </w:r>
    </w:p>
    <w:p>
      <w:pPr>
        <w:pStyle w:val="Normal"/>
        <w:spacing w:before="240" w:after="151"/>
        <w:ind w:left="993"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1. Wykonawca może, zamiast odpowiednich podmiotowych środków dowodowych wskazanych w pkt 9.1 i 9.2 SWZ, posłużyć się ważnym certyfikatem wykonawcy zamówień publicznych, o którym mowa w art. 124 ust. 2 PZP.</w:t>
      </w:r>
    </w:p>
    <w:p>
      <w:pPr>
        <w:pStyle w:val="Normal"/>
        <w:spacing w:before="240" w:after="151"/>
        <w:ind w:left="993"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2. Certyfikat zastępuje podmiotowe środki dowodowe wyłącznie w zakresie, w jakim potwierdza brak podstaw wykluczenia albo spełnianie warunków udziału w postępowaniu odpowiadających wymaganiom określonym przez Zamawiającego.</w:t>
      </w:r>
    </w:p>
    <w:p>
      <w:pPr>
        <w:pStyle w:val="Normal"/>
        <w:spacing w:before="240" w:after="151"/>
        <w:ind w:left="993"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3. Jeżeli certyfikat obejmuje jedynie część podstaw wykluczenia albo część warunku udziału w postępowaniu lub potwierdza spełnianie warunku na poziomie niższym niż wymagany w SWZ, wykonawca składa odpowiednie podmiotowe środki dowodowe w pozostałym zakresie.</w:t>
      </w:r>
    </w:p>
    <w:p>
      <w:pPr>
        <w:pStyle w:val="Normal"/>
        <w:spacing w:before="240" w:after="151"/>
        <w:ind w:left="993"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4. W zakresie wynikającym z ważnego certyfikatu Zamawiający nie żąda od wykonawcy innych podmiotowych środków dowodowych, z uwzględnieniem art. 124 ust. 4 PZP oraz art. 31 ust. 6 ustawy o certyfikacji wykonawców zamówień publicznych.</w:t>
      </w:r>
    </w:p>
    <w:p>
      <w:pPr>
        <w:pStyle w:val="Normal"/>
        <w:spacing w:before="240" w:after="151"/>
        <w:ind w:left="993"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5. Certyfikat nie zastępuje oświadczenia, o którym mowa w art. 125 ust. 1 PZP. W oświadczeniu tym wykonawca wskazuje, czy będzie posługiwał się certyfikatem, oraz podaje dane wymagane w art. 273 ust. 2 PZP.</w:t>
      </w:r>
    </w:p>
    <w:p>
      <w:pPr>
        <w:pStyle w:val="Normal"/>
        <w:spacing w:before="240" w:after="151"/>
        <w:ind w:left="993"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6. Jeżeli wykonawca podał dane umożliwiające identyfikację i uzyskanie certyfikatu z bezpłatnej i ogólnodostępnej bazy certyfikacji, Zamawiający samodzielnie zweryfikuje certyfikat i nie będzie wzywał wykonawcy do złożenia podmiotowych środków dowodowych w zakresie wynikającym z tego certyfikatu.</w:t>
      </w:r>
    </w:p>
    <w:p>
      <w:pPr>
        <w:pStyle w:val="Normal"/>
        <w:spacing w:before="240" w:after="151"/>
        <w:ind w:left="993"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7. Certyfikat nie potwierdza braku podstaw wykluczenia nieobjętych ustawową certyfikacją, w szczególności podstaw określonych w art. 108 ust. 1 pkt 6 i art. 109 ust. 1 pkt 6 PZP ani podstaw wykluczenia wynikających z przepisów sankcyjnych. Certyfikat nie obejmuje również zdarzeń zaistniałych w konkretnym postępowaniu, których zgodnie z ustawą o certyfikacji nie można potwierdzić certyfikatem.</w:t>
      </w:r>
    </w:p>
    <w:p>
      <w:pPr>
        <w:pStyle w:val="Normal"/>
        <w:spacing w:before="240" w:after="151"/>
        <w:ind w:left="993" w:hanging="426"/>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8. Posługiwanie się certyfikatem jest dobrowolne. Zamawiający nie wymaga od wykonawcy uzyskania lub posiadania certyfikatu jako warunku ubiegania się o udzielenie zamówienia.</w:t>
      </w:r>
    </w:p>
    <w:p>
      <w:pPr>
        <w:pStyle w:val="Normal"/>
        <w:spacing w:before="240" w:after="151"/>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b/>
          <w:color w:val="000000"/>
          <w:sz w:val="22"/>
          <w:szCs w:val="22"/>
        </w:rPr>
        <w:t>9.3.</w:t>
      </w:r>
      <w:r>
        <w:rPr>
          <w:rFonts w:cs="Cambria" w:ascii="Cambria" w:hAnsi="Cambria" w:asciiTheme="majorHAnsi" w:hAnsiTheme="majorHAnsi"/>
          <w:color w:val="000000"/>
          <w:sz w:val="22"/>
          <w:szCs w:val="22"/>
        </w:rPr>
        <w:t xml:space="preserve"> </w:t>
        <w:tab/>
        <w:t xml:space="preserve">Jeżeli Wykonawca ma siedzibę lub miejsce zamieszkania poza terytorium Rzeczypospolitej Polskiej, zamiast dokumentów, o których mowa w pkt 9.2 pkt 2 ) składa dokument lub dokumenty wystawione w kraju, w którym wykonawca ma siedzibę lub miejsce zamieszkania, potwierdzające odpowiednio, że nie otwarto jego likwidacji ani nie ogłoszono upadłości. </w:t>
      </w:r>
    </w:p>
    <w:p>
      <w:pPr>
        <w:pStyle w:val="Normal"/>
        <w:spacing w:before="240" w:after="151"/>
        <w:ind w:left="567" w:hanging="567"/>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ab/>
        <w:t>Dokument, o którym mowa powyżej, powinien być wystawiony nie wcześniej niż 3 miesiące przed upływem terminu składania ofert.</w:t>
      </w:r>
    </w:p>
    <w:p>
      <w:pPr>
        <w:pStyle w:val="Normal"/>
        <w:spacing w:before="240" w:after="151"/>
        <w:ind w:left="567" w:hanging="567"/>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9.4</w:t>
      </w:r>
      <w:r>
        <w:rPr>
          <w:rFonts w:cs="Cambria" w:ascii="Cambria" w:hAnsi="Cambria" w:asciiTheme="majorHAnsi" w:hAnsiTheme="majorHAnsi"/>
          <w:color w:val="000000"/>
          <w:sz w:val="22"/>
          <w:szCs w:val="22"/>
        </w:rPr>
        <w:t xml:space="preserve"> </w:t>
        <w:tab/>
        <w:t>Jeżeli w kraju, w którym Wykonawca ma siedzibę lub miejsce zamieszkania, nie wydaje się dokumentów, o których mowa w pkt 9.2 pkt 2) zastępuje się je w całości lub części</w:t>
      </w:r>
      <w:r>
        <w:rPr>
          <w:rFonts w:cs="Cambria" w:ascii="Cambria" w:hAnsi="Cambria" w:asciiTheme="majorHAnsi" w:hAnsiTheme="majorHAnsi"/>
          <w:sz w:val="22"/>
          <w:szCs w:val="22"/>
        </w:rPr>
        <w:t xml:space="preserve"> </w:t>
      </w:r>
      <w:r>
        <w:rPr>
          <w:rFonts w:cs="Cambria" w:ascii="Cambria" w:hAnsi="Cambria" w:asciiTheme="majorHAnsi" w:hAnsiTheme="majorHAnsi"/>
          <w:color w:val="000000"/>
          <w:sz w:val="22"/>
          <w:szCs w:val="22"/>
        </w:rPr>
        <w:t>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pPr>
        <w:pStyle w:val="Normal"/>
        <w:spacing w:before="240" w:after="151"/>
        <w:ind w:left="567" w:hanging="567"/>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9.5</w:t>
        <w:tab/>
      </w:r>
      <w:r>
        <w:rPr>
          <w:rFonts w:cs="Cambria" w:ascii="Cambria" w:hAnsi="Cambria" w:asciiTheme="majorHAnsi" w:hAnsiTheme="majorHAnsi"/>
          <w:color w:val="000000"/>
          <w:sz w:val="22"/>
          <w:szCs w:val="22"/>
        </w:rPr>
        <w:t>Wykonawca, który polega na zdolnościach technicznych lub zawodowych albo sytuacji finansowej lub ekonomicznej podmiotów udostępniających zasoby na zasadach określonych w art. 118 PZP, jest zobowiązany do przedstawienia podmiotowych środków dowodowych, o których mowa w pkt 9.2 ppkt 1 i 2 SWZ, dotyczących tych podmiotów i potwierdzających, że nie zachodzą wobec nich podstawy wykluczenia – w zakresie, w jakim okoliczności te nie zostały potwierdzone ważnym certyfikatem wykonawcy zamówień publicznych wydanym danemu podmiotowi.</w:t>
      </w:r>
    </w:p>
    <w:p>
      <w:pPr>
        <w:pStyle w:val="Normal"/>
        <w:spacing w:before="240" w:after="151"/>
        <w:ind w:left="567" w:hanging="567"/>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9.6</w:t>
        <w:tab/>
      </w:r>
      <w:r>
        <w:rPr>
          <w:rFonts w:cs="Cambria" w:ascii="Cambria" w:hAnsi="Cambria" w:asciiTheme="majorHAnsi" w:hAnsiTheme="majorHAnsi"/>
          <w:color w:val="000000"/>
          <w:sz w:val="22"/>
          <w:szCs w:val="22"/>
        </w:rPr>
        <w:t>Podmiotowe środki dowodowe, o których mowa w niniejszym rozdziale, w zakresie, w jakim nie zostały zastąpione ważnym certyfikatem wykonawcy zamówień publicznych, wykonawca będzie obowiązany złożyć w terminie wskazanym przez Zamawiającego, nie krótszym niż 5 dni od dnia wezwania wystosowanego na podstawie art. 274 ust. 1 PZP.</w:t>
      </w:r>
    </w:p>
    <w:p>
      <w:pPr>
        <w:pStyle w:val="Normal"/>
        <w:spacing w:before="240" w:after="151"/>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b/>
          <w:color w:val="000000"/>
          <w:sz w:val="22"/>
          <w:szCs w:val="22"/>
        </w:rPr>
        <w:t>9.7</w:t>
      </w:r>
      <w:r>
        <w:rPr>
          <w:rFonts w:cs="Cambria" w:ascii="Cambria" w:hAnsi="Cambria" w:asciiTheme="majorHAnsi" w:hAnsiTheme="majorHAnsi"/>
          <w:color w:val="000000"/>
          <w:sz w:val="22"/>
          <w:szCs w:val="22"/>
        </w:rPr>
        <w:t xml:space="preserve"> Zamawiający nie wzywa do złożenia podmiotowych środków dowodowych, jeżeli:</w:t>
      </w:r>
    </w:p>
    <w:p>
      <w:pPr>
        <w:pStyle w:val="Normal"/>
        <w:numPr>
          <w:ilvl w:val="0"/>
          <w:numId w:val="31"/>
        </w:numPr>
        <w:spacing w:before="240" w:after="151"/>
        <w:ind w:left="993" w:hanging="502"/>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pPr>
        <w:pStyle w:val="Normal"/>
        <w:numPr>
          <w:ilvl w:val="0"/>
          <w:numId w:val="31"/>
        </w:numPr>
        <w:spacing w:before="240" w:after="151"/>
        <w:ind w:left="993" w:hanging="502"/>
        <w:jc w:val="both"/>
        <w:rPr>
          <w:rFonts w:ascii="Cambria" w:hAnsi="Cambria" w:cs="Cambria" w:asciiTheme="majorHAnsi" w:hAnsiTheme="majorHAnsi"/>
          <w:b/>
          <w:b/>
          <w:color w:val="000000"/>
          <w:sz w:val="22"/>
          <w:szCs w:val="22"/>
        </w:rPr>
      </w:pPr>
      <w:r>
        <w:rPr>
          <w:rFonts w:cs="Cambria" w:ascii="Cambria" w:hAnsi="Cambria" w:asciiTheme="majorHAnsi" w:hAnsiTheme="majorHAnsi"/>
          <w:color w:val="000000"/>
          <w:sz w:val="22"/>
          <w:szCs w:val="22"/>
        </w:rPr>
        <w:t>podmiotowym środkiem dowodowym jest oświadczenie, którego treść odpowiada zakresowi oświadczenia, o którym mowa w art. 125 ust. 1.</w:t>
      </w:r>
    </w:p>
    <w:p>
      <w:pPr>
        <w:pStyle w:val="Normal"/>
        <w:spacing w:before="240" w:after="151"/>
        <w:ind w:left="426" w:hanging="426"/>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9.8</w:t>
      </w:r>
      <w:r>
        <w:rPr>
          <w:rFonts w:cs="Cambria" w:ascii="Cambria" w:hAnsi="Cambria" w:asciiTheme="majorHAnsi" w:hAnsiTheme="majorHAnsi"/>
          <w:color w:val="000000"/>
          <w:sz w:val="22"/>
          <w:szCs w:val="22"/>
        </w:rPr>
        <w:t xml:space="preserve"> </w:t>
        <w:tab/>
        <w:t>Wykonawca nie jest zobowiązany do złożenia podmiotowych środków dowodowych, które zamawiający posiada, jeżeli wykonawca wskaże te środki oraz potwierdzi ich prawidłowość i aktualność.</w:t>
      </w:r>
    </w:p>
    <w:p>
      <w:pPr>
        <w:pStyle w:val="Normal"/>
        <w:spacing w:before="240" w:after="151"/>
        <w:ind w:left="426" w:hanging="426"/>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9.9</w:t>
        <w:tab/>
      </w:r>
      <w:r>
        <w:rPr>
          <w:rFonts w:cs="Cambria" w:ascii="Cambria" w:hAnsi="Cambria" w:asciiTheme="majorHAnsi" w:hAnsiTheme="majorHAnsi"/>
          <w:color w:val="000000"/>
          <w:sz w:val="22"/>
          <w:szCs w:val="22"/>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pPr>
        <w:pStyle w:val="Normal"/>
        <w:spacing w:before="240" w:after="151"/>
        <w:ind w:left="426" w:hanging="426"/>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9.10</w:t>
        <w:tab/>
      </w:r>
      <w:r>
        <w:rPr>
          <w:rFonts w:cs="Cambria" w:ascii="Cambria" w:hAnsi="Cambria" w:asciiTheme="majorHAnsi" w:hAnsiTheme="majorHAnsi"/>
          <w:color w:val="000000"/>
          <w:sz w:val="22"/>
          <w:szCs w:val="22"/>
        </w:rPr>
        <w:t>Podmiotowe środki dowodowe lub inne dokumenty, w tym dokumenty potwierdzające umocowanie do reprezentowania, sporządzone w języku obcym przekazuje się wraz z tłumaczeniem na język polski.</w:t>
      </w:r>
    </w:p>
    <w:tbl>
      <w:tblPr>
        <w:tblW w:w="9002" w:type="dxa"/>
        <w:jc w:val="left"/>
        <w:tblInd w:w="70" w:type="dxa"/>
        <w:tblCellMar>
          <w:top w:w="83" w:type="dxa"/>
          <w:left w:w="0" w:type="dxa"/>
          <w:bottom w:w="0" w:type="dxa"/>
          <w:right w:w="115" w:type="dxa"/>
        </w:tblCellMar>
        <w:tblLook w:firstRow="0" w:noVBand="0" w:lastRow="0" w:firstColumn="0" w:lastColumn="0" w:noHBand="0" w:val="0000"/>
      </w:tblPr>
      <w:tblGrid>
        <w:gridCol w:w="479"/>
        <w:gridCol w:w="8522"/>
      </w:tblGrid>
      <w:tr>
        <w:trPr>
          <w:trHeight w:val="382" w:hRule="atLeast"/>
        </w:trPr>
        <w:tc>
          <w:tcPr>
            <w:tcW w:w="479" w:type="dxa"/>
            <w:tcBorders/>
            <w:shd w:color="auto" w:fill="E7E6E6" w:val="clear"/>
          </w:tcPr>
          <w:p>
            <w:pPr>
              <w:pStyle w:val="Normal"/>
              <w:spacing w:before="240" w:after="240"/>
              <w:ind w:left="55" w:hanging="0"/>
              <w:rPr>
                <w:rFonts w:ascii="Cambria" w:hAnsi="Cambria" w:asciiTheme="majorHAnsi" w:hAnsiTheme="majorHAnsi"/>
              </w:rPr>
            </w:pPr>
            <w:r>
              <w:rPr>
                <w:rFonts w:cs="Cambria" w:ascii="Cambria" w:hAnsi="Cambria" w:asciiTheme="majorHAnsi" w:hAnsiTheme="majorHAnsi"/>
                <w:b/>
                <w:color w:val="000000"/>
                <w:sz w:val="22"/>
                <w:szCs w:val="22"/>
              </w:rPr>
              <w:t>10.</w:t>
            </w:r>
            <w:r>
              <w:rPr>
                <w:rFonts w:eastAsia="Arial" w:cs="Cambria" w:ascii="Cambria" w:hAnsi="Cambria" w:asciiTheme="majorHAnsi" w:hAnsiTheme="majorHAnsi"/>
                <w:b/>
                <w:color w:val="000000"/>
                <w:sz w:val="22"/>
                <w:szCs w:val="22"/>
              </w:rPr>
              <w:t xml:space="preserve"> </w:t>
            </w:r>
          </w:p>
        </w:tc>
        <w:tc>
          <w:tcPr>
            <w:tcW w:w="8522" w:type="dxa"/>
            <w:tcBorders/>
            <w:shd w:color="auto" w:fill="E7E6E6" w:val="clear"/>
          </w:tcPr>
          <w:p>
            <w:pPr>
              <w:pStyle w:val="Normal"/>
              <w:tabs>
                <w:tab w:val="clear" w:pos="709"/>
                <w:tab w:val="center" w:pos="3237" w:leader="none"/>
                <w:tab w:val="center" w:pos="4392" w:leader="none"/>
                <w:tab w:val="center" w:pos="5619" w:leader="none"/>
                <w:tab w:val="left" w:pos="8430" w:leader="none"/>
                <w:tab w:val="center" w:pos="8571" w:leader="none"/>
              </w:tabs>
              <w:spacing w:before="240" w:after="19"/>
              <w:ind w:left="66" w:right="26" w:hanging="0"/>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 xml:space="preserve">WSKAZANIE OSÓB UPRAWNIONYCH DO </w:t>
              <w:tab/>
              <w:t xml:space="preserve">KOMUNIKOWANIA SIĘ Z WYKONAWCAMI. </w:t>
            </w:r>
          </w:p>
          <w:p>
            <w:pPr>
              <w:pStyle w:val="Normal"/>
              <w:tabs>
                <w:tab w:val="clear" w:pos="709"/>
                <w:tab w:val="center" w:pos="3237" w:leader="none"/>
                <w:tab w:val="center" w:pos="4392" w:leader="none"/>
                <w:tab w:val="center" w:pos="5619" w:leader="none"/>
                <w:tab w:val="left" w:pos="8430" w:leader="none"/>
                <w:tab w:val="left" w:pos="8456" w:leader="none"/>
                <w:tab w:val="center" w:pos="8571" w:leader="none"/>
              </w:tabs>
              <w:spacing w:before="0" w:after="19"/>
              <w:ind w:left="66" w:right="-115" w:hanging="0"/>
              <w:jc w:val="both"/>
              <w:rPr>
                <w:rFonts w:ascii="Cambria" w:hAnsi="Cambria" w:cs="Cambria" w:asciiTheme="majorHAnsi" w:hAnsiTheme="majorHAnsi"/>
                <w:b/>
                <w:b/>
                <w:color w:val="000000"/>
                <w:sz w:val="22"/>
                <w:szCs w:val="22"/>
              </w:rPr>
            </w:pPr>
            <w:r>
              <w:rPr>
                <w:rFonts w:cs="Cambria" w:ascii="Cambria" w:hAnsi="Cambria" w:asciiTheme="majorHAnsi" w:hAnsiTheme="majorHAnsi"/>
                <w:b/>
                <w:color w:val="000000"/>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p>
          <w:p>
            <w:pPr>
              <w:pStyle w:val="Normal"/>
              <w:tabs>
                <w:tab w:val="clear" w:pos="709"/>
                <w:tab w:val="center" w:pos="3237" w:leader="none"/>
                <w:tab w:val="center" w:pos="4392" w:leader="none"/>
                <w:tab w:val="center" w:pos="5619" w:leader="none"/>
                <w:tab w:val="left" w:pos="8430" w:leader="none"/>
                <w:tab w:val="left" w:pos="8456" w:leader="none"/>
                <w:tab w:val="center" w:pos="8571" w:leader="none"/>
              </w:tabs>
              <w:spacing w:before="0" w:after="19"/>
              <w:ind w:left="66" w:right="-115" w:hanging="0"/>
              <w:jc w:val="both"/>
              <w:rPr>
                <w:rFonts w:ascii="Cambria" w:hAnsi="Cambria" w:asciiTheme="majorHAnsi" w:hAnsiTheme="majorHAnsi"/>
              </w:rPr>
            </w:pPr>
            <w:r>
              <w:rPr>
                <w:rFonts w:cs="Cambria" w:ascii="Cambria" w:hAnsi="Cambria" w:asciiTheme="majorHAnsi" w:hAnsiTheme="majorHAnsi"/>
                <w:b/>
                <w:color w:val="000000"/>
                <w:sz w:val="22"/>
                <w:szCs w:val="22"/>
              </w:rPr>
              <w:t xml:space="preserve">  </w:t>
            </w:r>
          </w:p>
        </w:tc>
      </w:tr>
    </w:tbl>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Osobą uprawnioną do porozumiewania się z Wykonawcami jest: </w:t>
      </w:r>
    </w:p>
    <w:p>
      <w:pPr>
        <w:pStyle w:val="Normal"/>
        <w:spacing w:lineRule="auto" w:line="276" w:before="240" w:after="240"/>
        <w:ind w:left="1418" w:hanging="425"/>
        <w:jc w:val="both"/>
        <w:rPr/>
      </w:pPr>
      <w:r>
        <w:rPr>
          <w:rFonts w:cs="Cambria" w:ascii="Cambria" w:hAnsi="Cambria"/>
          <w:color w:val="000000"/>
          <w:sz w:val="22"/>
          <w:szCs w:val="22"/>
        </w:rPr>
        <w:t xml:space="preserve">- Koordynator  ds. Inwestycji - Piotr Budny </w:t>
      </w:r>
    </w:p>
    <w:p>
      <w:pPr>
        <w:pStyle w:val="Normal"/>
        <w:spacing w:lineRule="auto" w:line="276" w:before="240" w:after="240"/>
        <w:ind w:left="1418" w:hanging="425"/>
        <w:jc w:val="both"/>
        <w:rPr/>
      </w:pPr>
      <w:r>
        <w:rPr>
          <w:rFonts w:eastAsia="Cambria" w:cs="Cambria" w:ascii="Cambria" w:hAnsi="Cambria"/>
          <w:color w:val="000000"/>
          <w:sz w:val="22"/>
          <w:szCs w:val="22"/>
        </w:rPr>
        <w:t xml:space="preserve">   </w:t>
      </w:r>
      <w:r>
        <w:rPr>
          <w:rFonts w:cs="Cambria" w:ascii="Cambria" w:hAnsi="Cambria"/>
          <w:color w:val="000000"/>
          <w:sz w:val="22"/>
          <w:szCs w:val="22"/>
        </w:rPr>
        <w:t>tel. 602-273-493; e-mail: pbudny@uzdrowisko-rabka.pl</w:t>
      </w:r>
    </w:p>
    <w:p>
      <w:pPr>
        <w:pStyle w:val="Normal"/>
        <w:spacing w:lineRule="auto" w:line="276" w:before="240" w:after="240"/>
        <w:ind w:left="1418" w:hanging="425"/>
        <w:jc w:val="both"/>
        <w:rPr/>
      </w:pPr>
      <w:r>
        <w:rPr>
          <w:rFonts w:cs="Cambria" w:ascii="Cambria" w:hAnsi="Cambria"/>
          <w:color w:val="000000"/>
          <w:sz w:val="22"/>
          <w:szCs w:val="22"/>
        </w:rPr>
        <w:t>- Kierownik działu technicznego  - Włodzimierz Skwarek</w:t>
        <w:tab/>
      </w:r>
    </w:p>
    <w:p>
      <w:pPr>
        <w:pStyle w:val="NoSpacing"/>
        <w:spacing w:lineRule="auto" w:line="276" w:before="240" w:after="0"/>
        <w:jc w:val="both"/>
        <w:rPr/>
      </w:pPr>
      <w:r>
        <w:rPr>
          <w:rFonts w:cs="Cambria" w:ascii="Cambria" w:hAnsi="Cambria"/>
          <w:sz w:val="22"/>
          <w:szCs w:val="22"/>
        </w:rPr>
        <w:tab/>
        <w:t xml:space="preserve">        </w:t>
      </w:r>
      <w:r>
        <w:rPr>
          <w:rFonts w:cs="Cambria" w:ascii="Cambria" w:hAnsi="Cambria"/>
          <w:sz w:val="22"/>
          <w:szCs w:val="22"/>
          <w:lang w:val="en-US"/>
        </w:rPr>
        <w:t xml:space="preserve">tel. 608-527-201; e- mail: </w:t>
      </w:r>
      <w:hyperlink r:id="rId2">
        <w:r>
          <w:rPr>
            <w:rStyle w:val="Czeinternetowe"/>
            <w:rFonts w:eastAsia="Times New Roman" w:cs="Cambria" w:ascii="Cambria" w:hAnsi="Cambria"/>
            <w:color w:val="000000"/>
            <w:sz w:val="22"/>
            <w:szCs w:val="22"/>
            <w:lang w:val="en-US"/>
          </w:rPr>
          <w:t>wskwarek@uzdrowisko-rabka.pl</w:t>
        </w:r>
      </w:hyperlink>
    </w:p>
    <w:p>
      <w:pPr>
        <w:pStyle w:val="NoSpacing"/>
        <w:spacing w:lineRule="auto" w:line="276" w:before="240" w:after="0"/>
        <w:ind w:left="709" w:hanging="0"/>
        <w:jc w:val="both"/>
        <w:rPr/>
      </w:pPr>
      <w:r>
        <w:rPr>
          <w:rFonts w:cs="Cambria" w:ascii="Cambria" w:hAnsi="Cambria"/>
          <w:sz w:val="22"/>
          <w:szCs w:val="22"/>
        </w:rPr>
        <w:t>od poniedziałku do piątku w godz. 7.30 –14.30 z wyłączeniem dni wolnych od pracy.</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Komunikacja między Zamawiającym, a Wykonawcami odbywa się przy użyciu Platformy e-Zamówienia („Platforma”), która jest dostępna pod adresem: https://ezamowienia.gov.pl oraz poczty elektronicznej, z zastrzeżeniem, że złożenie oferty następuje wyłącznie przy użyciu Platformy.</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Korzystanie z Platformy e-Zamówienia jest bezpłatne.</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Wykonawca zamierzający wziąć udział w niniejszym postępowaniu o udzielenie zamówienia publicznego, musi posiadać konto podmiotu „Wykonawca” na Platformie. Szczegółowe informacje na temat zakładania kont podmiotów oraz zasady i warunki korzystania z Platformy, w tym minimalne wymagania techniczne dotyczące sprzętu używanego w celu korzystania z usług Platformy oraz informacje dotyczące specyfikacji połączenia określa „Regulamin korzystania z Platformy e-Zamówienia”, dostępny pod adresem: https://ezamowienia.gov.pl/pl/regulamin/ oraz informacje zamieszczone na stronie Platformy w zakładce „Centrum Pomocy”. </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Przeglądanie i pobieranie publicznej treści dokumentacji dotyczącej niniejszego postępowania nie wymaga posiadania konta na Platformie ani logowania.</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Sposób sporządzenia dokumentów elektronicznych lub dokumentów elektronicznych będących kopią elektroniczną treści zapisanej w postaci papierowej (cyfrowe odwzorowanie)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Dokumenty elektroniczne wymienione w SWZ, o których mowa w § 2 ust. 1 rozporządzenia wskazanego w pkt 10.6. SWZ sporządza się w formatach danych określonych w rozporządzeniu Rady Ministrów z dnia 21 maja 2024 r. w sprawie Krajowych Ram Interoperacyjności, minimalnych wymagań dla rejestrów publicznych i wymiany informacji w postaci elektronicznej oraz minimalnych wymagań dla systemów teleinformatycznych (Dz. U. z 2024 r. poz. 773), z uwzględnieniem rodzaju przekazywanych danych i przekazuje się jako załączniki. </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Wymagane w SWZ informacje, oświadczenia lub dokumenty, inne niż wymienione w §2 ust. 1 rozporządzenia wskazanego w pkt. 10.7 SWZ, przekazywane w postępowaniu sporządza się w postaci elektronicznej: </w:t>
      </w:r>
    </w:p>
    <w:p>
      <w:pPr>
        <w:pStyle w:val="NoSpacing"/>
        <w:numPr>
          <w:ilvl w:val="1"/>
          <w:numId w:val="46"/>
        </w:numPr>
        <w:spacing w:lineRule="auto" w:line="276"/>
        <w:ind w:left="1701" w:hanging="425"/>
        <w:jc w:val="both"/>
        <w:rPr/>
      </w:pPr>
      <w:r>
        <w:rPr>
          <w:rFonts w:cs="Cambria" w:ascii="Cambria" w:hAnsi="Cambria"/>
          <w:sz w:val="22"/>
          <w:szCs w:val="22"/>
        </w:rPr>
        <w:t xml:space="preserve">w formatach danych określonych w przepisach rozporządzenia w sprawie Krajowych Ram Interoperacyjności, minimalnych wymagań dla rejestrów publicznych i wymiany informacji w postaci elektronicznej oraz minimalnych wymagań dla systemów teleinformatycznych (i przekazuje się jako załącznik), lub </w:t>
      </w:r>
    </w:p>
    <w:p>
      <w:pPr>
        <w:pStyle w:val="NoSpacing"/>
        <w:numPr>
          <w:ilvl w:val="1"/>
          <w:numId w:val="46"/>
        </w:numPr>
        <w:spacing w:lineRule="auto" w:line="276"/>
        <w:ind w:left="1701" w:hanging="425"/>
        <w:jc w:val="both"/>
        <w:rPr/>
      </w:pPr>
      <w:r>
        <w:rPr>
          <w:rFonts w:cs="Cambria" w:ascii="Cambria" w:hAnsi="Cambria"/>
          <w:sz w:val="22"/>
          <w:szCs w:val="22"/>
        </w:rPr>
        <w:t>jako tekst wpisany bezpośrednio do wiadomości przekazywanej przy użyciu środków komunikacji elektronicznej (np. w treści wiadomości e-mail lub w treści „Formularza do komunikacji”).</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Sposób komunikowania się Zamawiającego z Wykonawcami (nie dotyczy składania ofert):</w:t>
      </w:r>
    </w:p>
    <w:p>
      <w:pPr>
        <w:pStyle w:val="NoSpacing"/>
        <w:numPr>
          <w:ilvl w:val="1"/>
          <w:numId w:val="48"/>
        </w:numPr>
        <w:spacing w:lineRule="auto" w:line="276"/>
        <w:ind w:left="1701" w:hanging="420"/>
        <w:jc w:val="both"/>
        <w:rPr/>
      </w:pPr>
      <w:r>
        <w:rPr>
          <w:rFonts w:cs="Cambria" w:ascii="Cambria" w:hAnsi="Cambria"/>
          <w:sz w:val="22"/>
          <w:szCs w:val="22"/>
        </w:rPr>
        <w:t xml:space="preserve">Komunikacja w postępowaniu (z wyłączeniem składania ofert – sposób złożenia oferty opisany jest w rozdziale 13 SWZ oraz 10.17 ), odbywa się drogą elektroniczną za pośrednictwem formularzy do komunikacji dostępnych w zakładce „Formularze” („Formularze do komunikacji”) oraz za pośrednictwem poczty elektronicznej. </w:t>
      </w:r>
    </w:p>
    <w:p>
      <w:pPr>
        <w:pStyle w:val="NoSpacing"/>
        <w:numPr>
          <w:ilvl w:val="1"/>
          <w:numId w:val="48"/>
        </w:numPr>
        <w:spacing w:lineRule="auto" w:line="276"/>
        <w:ind w:left="1701" w:hanging="425"/>
        <w:jc w:val="both"/>
        <w:rPr/>
      </w:pPr>
      <w:r>
        <w:rPr>
          <w:rFonts w:cs="Cambria" w:ascii="Cambria" w:hAnsi="Cambria"/>
          <w:sz w:val="22"/>
          <w:szCs w:val="22"/>
        </w:rPr>
        <w:t>Za pośrednictwem „Formularzy do komunikacji” odbywa się w szczególności przekazywanie wezwań, zawiadomień i wniosków służących do zadawania pytań o wyjaśnienie treści SWZ. „Formularze do komunikacji” umożliwiają, również dołączenie załącznika do przesłanej wiadomości (przycisk „dodaj załącznik”).</w:t>
      </w:r>
    </w:p>
    <w:p>
      <w:pPr>
        <w:pStyle w:val="NoSpacing"/>
        <w:numPr>
          <w:ilvl w:val="1"/>
          <w:numId w:val="48"/>
        </w:numPr>
        <w:spacing w:lineRule="auto" w:line="276"/>
        <w:ind w:left="1701" w:hanging="425"/>
        <w:jc w:val="both"/>
        <w:rPr/>
      </w:pPr>
      <w:r>
        <w:rPr>
          <w:rFonts w:cs="Cambria" w:ascii="Cambria" w:hAnsi="Cambria"/>
          <w:sz w:val="22"/>
          <w:szCs w:val="22"/>
        </w:rPr>
        <w:t xml:space="preserve">W przypadku załączników, które zgodnie z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p>
    <w:p>
      <w:pPr>
        <w:pStyle w:val="NoSpacing"/>
        <w:numPr>
          <w:ilvl w:val="1"/>
          <w:numId w:val="48"/>
        </w:numPr>
        <w:spacing w:lineRule="auto" w:line="276"/>
        <w:ind w:left="1701" w:hanging="425"/>
        <w:jc w:val="both"/>
        <w:rPr/>
      </w:pPr>
      <w:r>
        <w:rPr>
          <w:rFonts w:cs="Cambria" w:ascii="Cambria" w:hAnsi="Cambria"/>
          <w:sz w:val="22"/>
          <w:szCs w:val="22"/>
        </w:rPr>
        <w:t xml:space="preserve">Możliwość korzystania w postępowaniu z „Formularzy do komunikacji” w pełnym zakresie wymaga posiadania konta „Wykonawcy” na Platformie oraz zalogowania się na Platformie. Do korzystania z „Formularzy do komunikacji” służących do zadawania pytań dotyczących treści dokumentów zamówienia (w szczególności SWZ) wystarczające jest posiadanie tzw. konta uproszczonego na Platformie. </w:t>
      </w:r>
    </w:p>
    <w:p>
      <w:pPr>
        <w:pStyle w:val="NoSpacing"/>
        <w:numPr>
          <w:ilvl w:val="1"/>
          <w:numId w:val="48"/>
        </w:numPr>
        <w:spacing w:lineRule="auto" w:line="276"/>
        <w:ind w:left="1701" w:hanging="425"/>
        <w:jc w:val="both"/>
        <w:rPr/>
      </w:pPr>
      <w:r>
        <w:rPr>
          <w:rFonts w:cs="Cambria" w:ascii="Cambria" w:hAnsi="Cambria"/>
          <w:sz w:val="22"/>
          <w:szCs w:val="22"/>
        </w:rPr>
        <w:t>Wszystkie wysłane i odebrane w postępowaniu przez Wykonawcę wiadomości widoczne są po zalogowaniu do Platformy w podglądzie postępowania w zakładce „Komunikacja”.</w:t>
      </w:r>
    </w:p>
    <w:p>
      <w:pPr>
        <w:pStyle w:val="NoSpacing"/>
        <w:numPr>
          <w:ilvl w:val="1"/>
          <w:numId w:val="48"/>
        </w:numPr>
        <w:spacing w:lineRule="auto" w:line="276"/>
        <w:ind w:left="1701" w:hanging="425"/>
        <w:jc w:val="both"/>
        <w:rPr/>
      </w:pPr>
      <w:r>
        <w:rPr>
          <w:rFonts w:cs="Cambria" w:ascii="Cambria" w:hAnsi="Cambria"/>
          <w:sz w:val="22"/>
          <w:szCs w:val="22"/>
        </w:rPr>
        <w:t>Maksymalny rozmiar plików przesyłanych za pośrednictwem „Formularzy do komunikacji” wynosi 150 MB (wielkość ta dotyczy plików przesyłanych jako załącznik do jednego formularza).</w:t>
      </w:r>
    </w:p>
    <w:p>
      <w:pPr>
        <w:pStyle w:val="NoSpacing"/>
        <w:numPr>
          <w:ilvl w:val="1"/>
          <w:numId w:val="48"/>
        </w:numPr>
        <w:spacing w:lineRule="auto" w:line="276"/>
        <w:ind w:left="1701" w:hanging="425"/>
        <w:jc w:val="both"/>
        <w:rPr/>
      </w:pPr>
      <w:r>
        <w:rPr>
          <w:rFonts w:cs="Cambria" w:ascii="Cambria" w:hAnsi="Cambria"/>
          <w:sz w:val="22"/>
          <w:szCs w:val="22"/>
        </w:rPr>
        <w:t xml:space="preserve">We wszelkiej korespondencji zawiązanej z niniejszym postępowaniem Zamawiający i Wykonawcy posługują się numerem postępowania wskazanym w SWZ. </w:t>
      </w:r>
    </w:p>
    <w:p>
      <w:pPr>
        <w:pStyle w:val="NoSpacing"/>
        <w:numPr>
          <w:ilvl w:val="1"/>
          <w:numId w:val="48"/>
        </w:numPr>
        <w:spacing w:lineRule="auto" w:line="276"/>
        <w:ind w:left="1701" w:hanging="425"/>
        <w:jc w:val="both"/>
        <w:rPr/>
      </w:pPr>
      <w:r>
        <w:rPr>
          <w:rFonts w:cs="Cambria" w:ascii="Cambria" w:hAnsi="Cambria"/>
          <w:sz w:val="22"/>
          <w:szCs w:val="22"/>
        </w:rPr>
        <w:t>Jeżeli przekazywane dokumenty zawierają tajemnicę przedsiębiorstwa w rozumieniu przepisów ustawy z dnia 16 kwietnia 1993 r. o zwalczaniu nieuczciwej konkurencji (t.j. Dz. U. z 2022 r. poz. 1233 ze zm.) Wykonawca, w celu utrzymania w poufności tych informacji, przekazuje je w wydzielonym i odpowiednio oznaczonym pliku wraz z jednoczesnym zaznaczeniem w nazwie pliku „Dokument stanowiący tajemnicę przedsiębiorstwa”.</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Zamawiający dopuszcza również komunikację z Wykonawcami za pomocą poczty elektronicznej, email:  sekretariat@uzdrowisko-rabka.pl  (nie dotyczy składania ofert).</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W przypadku komunikacji za pośrednictwem poczty elektronicznej 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wskazany w pkt 10.10 SWZ.</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Informacje na temat komunikacji za pośrednictwem Platformy dostępne są również w Instrukcji interaktywnej – Komunikacja w postępowaniu dostępnej pod adresem: https://media.ezamowienia.gov.pl/pod/2021/10/Komunikacja-w-postepowaniu-5.1.pdf</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Ofertę oraz oświadczenia, o których mowa w art. 125 PZP (sporządzone według załącznika nr 3 lub 4 do SWZ), składa się pod rygorem nieważności w formie elektronicznej (opatrzonej kwalifikowanym podpisem elektronicznym) albo w postaci elektronicznej opatrzonej podpisem zaufanym lub podpisem osobistym.</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http://www.nccert.pl/kontakt.htm </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Szczegółowe informacje o sposobie pozyskania usługi profilu zaufanego można znaleźć pod adresem internetowym: https://www.gov.pl/web/gov/zaloz-profil-zaufany</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Szczegółowe informacje o sposobie pozyskania podpisu osobistego można znaleźć pod adresem internetowym: https://www.gov.pl/web/e-dowod/podpis-osobisty.</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Złożenie oferty:</w:t>
      </w:r>
    </w:p>
    <w:p>
      <w:pPr>
        <w:pStyle w:val="NoSpacing"/>
        <w:numPr>
          <w:ilvl w:val="1"/>
          <w:numId w:val="47"/>
        </w:numPr>
        <w:spacing w:lineRule="auto" w:line="276"/>
        <w:ind w:left="1701" w:hanging="420"/>
        <w:jc w:val="both"/>
        <w:rPr/>
      </w:pPr>
      <w:r>
        <w:rPr>
          <w:rFonts w:cs="Cambria" w:ascii="Cambria" w:hAnsi="Cambria"/>
          <w:sz w:val="22"/>
          <w:szCs w:val="22"/>
        </w:rPr>
        <w:t xml:space="preserve">Złożenie oferty w postępowaniu prowadzonym na Platformie wymaga, aby Wykonawca posiadał aktywowane konto na Platformie. Wykonawca przygotowuje ofertę przy pomocy interaktywnego „Formularza ofertowego” udostępnionego przez Zamawiającego na Platformie i zamieszczonego w podglądzie postępowania w zakładce „Informacje podstawowe”. </w:t>
      </w:r>
    </w:p>
    <w:p>
      <w:pPr>
        <w:pStyle w:val="NoSpacing"/>
        <w:numPr>
          <w:ilvl w:val="1"/>
          <w:numId w:val="47"/>
        </w:numPr>
        <w:spacing w:lineRule="auto" w:line="276"/>
        <w:ind w:left="1701" w:hanging="425"/>
        <w:jc w:val="both"/>
        <w:rPr/>
      </w:pPr>
      <w:r>
        <w:rPr>
          <w:rFonts w:cs="Cambria" w:ascii="Cambria" w:hAnsi="Cambria"/>
          <w:sz w:val="22"/>
          <w:szCs w:val="22"/>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pPr>
        <w:pStyle w:val="NoSpacing"/>
        <w:numPr>
          <w:ilvl w:val="1"/>
          <w:numId w:val="47"/>
        </w:numPr>
        <w:spacing w:lineRule="auto" w:line="276"/>
        <w:ind w:left="1701" w:hanging="425"/>
        <w:jc w:val="both"/>
        <w:rPr/>
      </w:pPr>
      <w:r>
        <w:rPr>
          <w:rFonts w:cs="Cambria" w:ascii="Cambria" w:hAnsi="Cambria"/>
          <w:sz w:val="22"/>
          <w:szCs w:val="22"/>
        </w:rPr>
        <w:t>Następnie Wykonawca powinien pobrać „Formularz ofertowy”, zapisać go na dysku komputera użytkownika, uzupełnić pozostałymi danymi wymaganymi przez Zamawiającego i ponownie zapisać na dysku komputera użytkownika oraz podpisać kwalifikowanym podpisem elektronicznym, podpisem zaufanym lub podpisem osobistym.  Uwaga! Nie należy zmieniać nazwy pliku nadanej przez Platformę. Zapisany „Formularz ofertowy” należy zawsze otwierać w programie Adobe Acrobat Reader DC.</w:t>
      </w:r>
    </w:p>
    <w:p>
      <w:pPr>
        <w:pStyle w:val="NoSpacing"/>
        <w:numPr>
          <w:ilvl w:val="1"/>
          <w:numId w:val="47"/>
        </w:numPr>
        <w:spacing w:lineRule="auto" w:line="276"/>
        <w:ind w:left="1701" w:hanging="425"/>
        <w:jc w:val="both"/>
        <w:rPr/>
      </w:pPr>
      <w:r>
        <w:rPr>
          <w:rFonts w:cs="Cambria" w:ascii="Cambria" w:hAnsi="Cambria"/>
          <w:sz w:val="22"/>
          <w:szCs w:val="22"/>
        </w:rPr>
        <w:t>Wykonawca składa ofertę za pośrednictwem zakładki „Oferty/wnioski”, widocznej w podglądzie postępowania po zalogowaniu się na konto Wykonawcy.</w:t>
      </w:r>
    </w:p>
    <w:p>
      <w:pPr>
        <w:pStyle w:val="NoSpacing"/>
        <w:numPr>
          <w:ilvl w:val="1"/>
          <w:numId w:val="47"/>
        </w:numPr>
        <w:spacing w:lineRule="auto" w:line="276"/>
        <w:ind w:left="1701" w:hanging="425"/>
        <w:jc w:val="both"/>
        <w:rPr/>
      </w:pPr>
      <w:r>
        <w:rPr>
          <w:rFonts w:cs="Cambria" w:ascii="Cambria" w:hAnsi="Cambria"/>
          <w:sz w:val="22"/>
          <w:szCs w:val="22"/>
        </w:rPr>
        <w:t>Po wybraniu przycisku „Złóż ofertę” system prezentuje okno składania oferty umożliwiające przekazanie dokumentów elektronicznych, w którym znajdują się dwa pola typu drag&amp;drop („przeciągnij” i „upuść”) służące do dodawania plików.</w:t>
      </w:r>
    </w:p>
    <w:p>
      <w:pPr>
        <w:pStyle w:val="NoSpacing"/>
        <w:numPr>
          <w:ilvl w:val="1"/>
          <w:numId w:val="47"/>
        </w:numPr>
        <w:spacing w:lineRule="auto" w:line="276"/>
        <w:ind w:left="1701" w:hanging="425"/>
        <w:jc w:val="both"/>
        <w:rPr/>
      </w:pPr>
      <w:r>
        <w:rPr>
          <w:rFonts w:cs="Cambria" w:ascii="Cambria" w:hAnsi="Cambria"/>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pPr>
        <w:pStyle w:val="NoSpacing"/>
        <w:numPr>
          <w:ilvl w:val="1"/>
          <w:numId w:val="47"/>
        </w:numPr>
        <w:spacing w:lineRule="auto" w:line="276"/>
        <w:ind w:left="1701" w:hanging="425"/>
        <w:jc w:val="both"/>
        <w:rPr/>
      </w:pPr>
      <w:r>
        <w:rPr>
          <w:rFonts w:cs="Cambria" w:ascii="Cambria" w:hAnsi="Cambria"/>
          <w:sz w:val="22"/>
          <w:szCs w:val="22"/>
        </w:rPr>
        <w:t xml:space="preserve">Jeżeli wraz z ofertą składane są dokumenty zawierające tajemnicę przedsiębiorstwa w rozumieniu przepisów ustawy z dnia 16 kwietnia 1993 r. o zwalczaniu nieuczciwej konkurencji (t.j. Dz. U. z 2022 r. poz. 1233 ze zm.) Wykonawca, w celu utrzymania w poufności tych informacji, przekazuje je w wydzielonym i odpowiednio oznaczonym pliku - z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pPr>
        <w:pStyle w:val="NoSpacing"/>
        <w:numPr>
          <w:ilvl w:val="1"/>
          <w:numId w:val="47"/>
        </w:numPr>
        <w:spacing w:lineRule="auto" w:line="276"/>
        <w:ind w:left="1701" w:hanging="425"/>
        <w:jc w:val="both"/>
        <w:rPr/>
      </w:pPr>
      <w:r>
        <w:rPr>
          <w:rFonts w:cs="Cambria" w:ascii="Cambria" w:hAnsi="Cambria"/>
          <w:sz w:val="22"/>
          <w:szCs w:val="22"/>
        </w:rPr>
        <w:t xml:space="preserve">Formularz ofertowy podpisuje się kwalifikowanym podpisem elektronicznym, podpisem zaufanym lub podpisem osobistym. Po podpisaniu nie należy modyfikować pliku. Nie należy zmieniać nazwy pliku formularza. Pozostałe dokumenty wchodzące w skład oferty lub składane wraz z ofertą, które są zgodnie z PZP lub rozporządzeniem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opatrzone kwalifikowanym podpisem elektronicznym, mogą być zgodnie z wyborem Wykonawcy/Wykonawcy wspólnie ubiegającego się o udzielenie zamówienia/podmiotu udostępniającego zasoby opatrzone podpisem typu zewnętrznego lub wewnętrznego. W zależności od typu podpisu (zewnętrzny, wewnętrzny) w polu „Załączniki i inne dokumenty przedstawione w ofercie przez Wykonawcę” dodaje się uprzednio podpisane dokumenty: (i) wraz z wygenerowanym plikiem podpisu (typ zewnętrzny) lub (ii) dokument z wszytym podpisem (typ wewnętrzny). </w:t>
      </w:r>
    </w:p>
    <w:p>
      <w:pPr>
        <w:pStyle w:val="NoSpacing"/>
        <w:numPr>
          <w:ilvl w:val="1"/>
          <w:numId w:val="47"/>
        </w:numPr>
        <w:spacing w:lineRule="auto" w:line="276"/>
        <w:ind w:left="1701" w:hanging="425"/>
        <w:jc w:val="both"/>
        <w:rPr/>
      </w:pPr>
      <w:r>
        <w:rPr>
          <w:rFonts w:cs="Cambria" w:ascii="Cambria" w:hAnsi="Cambria"/>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właściwym podpisem. </w:t>
      </w:r>
    </w:p>
    <w:p>
      <w:pPr>
        <w:pStyle w:val="NoSpacing"/>
        <w:numPr>
          <w:ilvl w:val="1"/>
          <w:numId w:val="47"/>
        </w:numPr>
        <w:spacing w:lineRule="auto" w:line="276"/>
        <w:ind w:left="1701" w:hanging="425"/>
        <w:jc w:val="both"/>
        <w:rPr/>
      </w:pPr>
      <w:r>
        <w:rPr>
          <w:rFonts w:cs="Cambria" w:ascii="Cambria" w:hAnsi="Cambria"/>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w:t>
      </w:r>
    </w:p>
    <w:p>
      <w:pPr>
        <w:pStyle w:val="NoSpacing"/>
        <w:numPr>
          <w:ilvl w:val="1"/>
          <w:numId w:val="47"/>
        </w:numPr>
        <w:spacing w:lineRule="auto" w:line="276"/>
        <w:ind w:left="1701" w:hanging="425"/>
        <w:jc w:val="both"/>
        <w:rPr/>
      </w:pPr>
      <w:r>
        <w:rPr>
          <w:rFonts w:cs="Cambria" w:ascii="Cambria" w:hAnsi="Cambria"/>
          <w:sz w:val="22"/>
          <w:szCs w:val="22"/>
        </w:rPr>
        <w:t xml:space="preserve">EPP i EPO dostępne są dla zalogowanego Wykonawcy w zakładce „Oferty/Wnioski”. </w:t>
      </w:r>
    </w:p>
    <w:p>
      <w:pPr>
        <w:pStyle w:val="NoSpacing"/>
        <w:numPr>
          <w:ilvl w:val="1"/>
          <w:numId w:val="47"/>
        </w:numPr>
        <w:spacing w:lineRule="auto" w:line="276"/>
        <w:ind w:left="1701" w:hanging="425"/>
        <w:jc w:val="both"/>
        <w:rPr/>
      </w:pPr>
      <w:r>
        <w:rPr>
          <w:rFonts w:cs="Cambria" w:ascii="Cambria" w:hAnsi="Cambria"/>
          <w:sz w:val="22"/>
          <w:szCs w:val="22"/>
        </w:rPr>
        <w:t xml:space="preserve">Oferta może być złożona tylko do upływu terminu składania ofert. Oferta złożona po terminie nie zostanie przyjęta. Wykonawca może przed upływem terminu składania ofert wycofać ofertę. Wykonawca wycofuje ofertę w zakładce „Oferty/wnioski” używając przycisku „Wycofaj ofertę”. </w:t>
      </w:r>
    </w:p>
    <w:p>
      <w:pPr>
        <w:pStyle w:val="NoSpacing"/>
        <w:numPr>
          <w:ilvl w:val="1"/>
          <w:numId w:val="47"/>
        </w:numPr>
        <w:spacing w:lineRule="auto" w:line="276"/>
        <w:ind w:left="1701" w:hanging="425"/>
        <w:jc w:val="both"/>
        <w:rPr/>
      </w:pPr>
      <w:r>
        <w:rPr>
          <w:rFonts w:cs="Cambria" w:ascii="Cambria" w:hAnsi="Cambria"/>
          <w:sz w:val="22"/>
          <w:szCs w:val="22"/>
        </w:rPr>
        <w:t>Maksymalny łączny rozmiar plików stanowiących ofertę lub składanych wraz z  ofertą to 250 MB.</w:t>
      </w:r>
    </w:p>
    <w:p>
      <w:pPr>
        <w:pStyle w:val="NoSpacing"/>
        <w:numPr>
          <w:ilvl w:val="1"/>
          <w:numId w:val="47"/>
        </w:numPr>
        <w:spacing w:lineRule="auto" w:line="276"/>
        <w:ind w:left="1701" w:hanging="425"/>
        <w:jc w:val="both"/>
        <w:rPr/>
      </w:pPr>
      <w:r>
        <w:rPr>
          <w:rFonts w:cs="Cambria" w:ascii="Cambria" w:hAnsi="Cambria"/>
          <w:sz w:val="22"/>
          <w:szCs w:val="22"/>
        </w:rPr>
        <w:t xml:space="preserve">Zalecane jest by w procesie sporządzania i składania oferty Wykonawca korzystał z Instrukcji interaktywnej – „Oferta wnioski i prace konkursowe” dostępnej pod adresem: https://media.ezamowienia.gov.pl/pod/2021/10/Oferty-5.2.pdf </w:t>
      </w:r>
    </w:p>
    <w:p>
      <w:pPr>
        <w:pStyle w:val="NoSpacing"/>
        <w:numPr>
          <w:ilvl w:val="1"/>
          <w:numId w:val="47"/>
        </w:numPr>
        <w:spacing w:lineRule="auto" w:line="276"/>
        <w:ind w:left="1701" w:hanging="425"/>
        <w:jc w:val="both"/>
        <w:rPr/>
      </w:pPr>
      <w:r>
        <w:rPr>
          <w:rFonts w:cs="Cambria" w:ascii="Cambria" w:hAnsi="Cambria"/>
          <w:sz w:val="22"/>
          <w:szCs w:val="22"/>
        </w:rPr>
        <w:t>Ofertę należy sporządzić w języku polskim. Ofertę składa się, pod rygorem nieważności, w formie elektronicznej (tj. w postaci elektronicznej opatrzonej kwalifikowanym podpisem elektronicznym) lub podpisem zaufanym lub podpisem osobistym, w formatach danych określonych w rozporządzeniu Rady Ministrów z dnia 21 maja 2024 r. w sprawie Krajowych Ram Interoperacyjności, minimalnych wymagań dla rejestrów publicznych i wymiany informacji w postaci elektronicznej oraz minimalnych wymagań dla systemów teleinformatycznych (Dz. U. z 2024 r. poz. 773)</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„Zgłoś problem”.</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Niniejsze postępowanie prowadzone jest w języku polskim. Zamawiający nie wymaga składania ofert w formie katalogów elektronicznych.</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Wykonawca zobowiązany jest do powiadomienia Zamawiającego o wszelkiej zmianie adresu poczty elektronicznej podanego w Formularzu Oferty.</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Zamawiający przewiduje możliwość zwołania zebrania Wykonawców w celu wyjaśnienia treści SWZ. Zamawiający zamieści na stronie internetowej prowadzonego postępowania informacje o dacie i miejscu zebrania w terminie późniejszym. </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Wykonawca może zwrócić się do Zamawiającego z wnioskiem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Jeżeli Zamawiający nie udzieli wyjaśnień w terminie, o którym mowa w pkt 22 SWZ, przedłuża termin składania ofert o czas niezbędny do zapoznania się wszystkich zainteresowanych Wykonawców z wyjaśnieniami niezbędnymi do należytego przygotowania i złożenia ofert.</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Przedłużenie terminu składania ofert nie wpływa na bieg terminu składania wniosku o wyjaśnienie treści SWZ, o którym mowa w pkt 22 SWZ. W przypadku gdy wniosek o wyjaśnienie treści SWZ nie wpłynął w terminie, o którym mowa w pkt 22 SWZ, Zamawiający nie ma obowiązku udzielania wyjaśnień SWZ oraz obowiązku przedłużenia terminu składania ofert.</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Treść zapytań wraz z wyjaśnieniami Zamawiający udostępnia na stronie internetowej prowadzonego postępowania.</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W uzasadnionych przypadkach Zamawiający może przed upływem terminu składania ofert zmienić treść SWZ. Dokonaną zmianę treści SWZ Zamawiający udostępni na stronie internetowej prowadzonego postępowania. </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Jeżeli zmiana treści SWZ prowadzi do zmiany treści ogłoszenia o zamówieniu, Zamawiający zamieści w Biuletynie Zamówień Publicznych ogłoszenie o zmianie ogłoszenia.</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p>
    <w:p>
      <w:pPr>
        <w:pStyle w:val="Normal"/>
        <w:numPr>
          <w:ilvl w:val="0"/>
          <w:numId w:val="49"/>
        </w:numPr>
        <w:spacing w:lineRule="auto" w:line="276" w:before="240" w:after="240"/>
        <w:ind w:left="993" w:hanging="360"/>
        <w:jc w:val="both"/>
        <w:rPr/>
      </w:pPr>
      <w:r>
        <w:rPr>
          <w:rFonts w:cs="Cambria" w:ascii="Cambria" w:hAnsi="Cambria"/>
          <w:color w:val="000000"/>
          <w:sz w:val="22"/>
          <w:szCs w:val="22"/>
        </w:rPr>
        <w:t>Aktualne wymagania techniczne i organizacyjne korzystania z Platformy e-Zamówienia określają regulamin Platformy oraz informacje dostępne w jej Centrum Pomocy. Wykonawca powinien korzystać z aktualnej wersji wspieranej przeglądarki internetowej i stabilnego połączenia z Internetem.</w:t>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80"/>
        <w:gridCol w:w="8595"/>
      </w:tblGrid>
      <w:tr>
        <w:trPr>
          <w:trHeight w:val="622" w:hRule="atLeast"/>
        </w:trPr>
        <w:tc>
          <w:tcPr>
            <w:tcW w:w="480" w:type="dxa"/>
            <w:tcBorders/>
            <w:shd w:color="auto" w:fill="E7E6E6" w:val="clear"/>
          </w:tcPr>
          <w:p>
            <w:pPr>
              <w:pStyle w:val="Normal"/>
              <w:spacing w:before="240" w:after="240"/>
              <w:ind w:left="55" w:hanging="0"/>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11. </w:t>
            </w:r>
          </w:p>
        </w:tc>
        <w:tc>
          <w:tcPr>
            <w:tcW w:w="8595" w:type="dxa"/>
            <w:tcBorders/>
            <w:shd w:color="auto" w:fill="E7E6E6" w:val="clear"/>
          </w:tcPr>
          <w:p>
            <w:pPr>
              <w:pStyle w:val="Normal"/>
              <w:spacing w:before="240" w:after="240"/>
              <w:rPr>
                <w:rFonts w:ascii="Cambria" w:hAnsi="Cambria" w:asciiTheme="majorHAnsi" w:hAnsiTheme="majorHAnsi"/>
              </w:rPr>
            </w:pPr>
            <w:r>
              <w:rPr>
                <w:rFonts w:cs="Cambria" w:ascii="Cambria" w:hAnsi="Cambria" w:asciiTheme="majorHAnsi" w:hAnsiTheme="majorHAnsi"/>
                <w:b/>
                <w:color w:val="000000"/>
                <w:sz w:val="22"/>
                <w:szCs w:val="22"/>
              </w:rPr>
              <w:t>WYMAGANIA DOTYCZĄCE WADIUM</w:t>
            </w:r>
          </w:p>
        </w:tc>
      </w:tr>
    </w:tbl>
    <w:p>
      <w:pPr>
        <w:pStyle w:val="Normal"/>
        <w:suppressAutoHyphens w:val="false"/>
        <w:spacing w:before="240" w:after="240"/>
        <w:ind w:left="426" w:right="260"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Zamawiający nie wymaga wniesienia wadium.</w:t>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93"/>
        <w:gridCol w:w="8582"/>
      </w:tblGrid>
      <w:tr>
        <w:trPr>
          <w:trHeight w:val="515" w:hRule="atLeast"/>
        </w:trPr>
        <w:tc>
          <w:tcPr>
            <w:tcW w:w="493" w:type="dxa"/>
            <w:tcBorders/>
            <w:shd w:color="auto" w:fill="E7E6E6" w:val="clear"/>
          </w:tcPr>
          <w:p>
            <w:pPr>
              <w:pStyle w:val="Normal"/>
              <w:spacing w:before="240" w:after="240"/>
              <w:ind w:left="55" w:hanging="0"/>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12. </w:t>
            </w:r>
          </w:p>
        </w:tc>
        <w:tc>
          <w:tcPr>
            <w:tcW w:w="8582" w:type="dxa"/>
            <w:tcBorders/>
            <w:shd w:color="auto" w:fill="E7E6E6" w:val="clear"/>
          </w:tcPr>
          <w:p>
            <w:pPr>
              <w:pStyle w:val="Normal"/>
              <w:spacing w:before="240" w:after="240"/>
              <w:rPr>
                <w:rFonts w:ascii="Cambria" w:hAnsi="Cambria" w:asciiTheme="majorHAnsi" w:hAnsiTheme="majorHAnsi"/>
              </w:rPr>
            </w:pPr>
            <w:r>
              <w:rPr>
                <w:rFonts w:cs="Cambria" w:ascii="Cambria" w:hAnsi="Cambria" w:asciiTheme="majorHAnsi" w:hAnsiTheme="majorHAnsi"/>
                <w:b/>
                <w:color w:val="000000"/>
                <w:sz w:val="22"/>
                <w:szCs w:val="22"/>
              </w:rPr>
              <w:t xml:space="preserve">TERMIN ZWIĄZANIA OFERTĄ </w:t>
            </w:r>
          </w:p>
        </w:tc>
      </w:tr>
    </w:tbl>
    <w:p>
      <w:pPr>
        <w:pStyle w:val="Normal"/>
        <w:numPr>
          <w:ilvl w:val="0"/>
          <w:numId w:val="8"/>
        </w:numPr>
        <w:spacing w:before="240" w:after="240"/>
        <w:rPr/>
      </w:pPr>
      <w:r>
        <w:rPr>
          <w:rFonts w:cs="Cambria" w:ascii="Cambria" w:hAnsi="Cambria" w:asciiTheme="majorHAnsi" w:hAnsiTheme="majorHAnsi"/>
          <w:color w:val="000000"/>
          <w:sz w:val="22"/>
          <w:szCs w:val="22"/>
        </w:rPr>
        <w:t xml:space="preserve"> </w:t>
      </w:r>
      <w:r>
        <w:rPr>
          <w:rFonts w:cs="Cambria" w:ascii="Cambria" w:hAnsi="Cambria" w:asciiTheme="majorHAnsi" w:hAnsiTheme="majorHAnsi"/>
          <w:color w:val="000000"/>
          <w:sz w:val="22"/>
          <w:szCs w:val="22"/>
        </w:rPr>
        <w:t xml:space="preserve">Wykonawca będzie związany ofertą do dnia </w:t>
      </w:r>
      <w:r>
        <w:rPr>
          <w:rFonts w:cs="Cambria" w:ascii="Cambria" w:hAnsi="Cambria" w:asciiTheme="majorHAnsi" w:hAnsiTheme="majorHAnsi"/>
          <w:b/>
          <w:bCs/>
          <w:color w:val="000000"/>
          <w:sz w:val="22"/>
          <w:szCs w:val="22"/>
        </w:rPr>
        <w:t>22.0</w:t>
      </w:r>
      <w:r>
        <w:rPr>
          <w:rFonts w:cs="Cambria" w:ascii="Cambria" w:hAnsi="Cambria" w:asciiTheme="majorHAnsi" w:hAnsiTheme="majorHAnsi"/>
          <w:b/>
          <w:color w:val="000000"/>
          <w:sz w:val="22"/>
          <w:szCs w:val="22"/>
        </w:rPr>
        <w:t>9.2026</w:t>
      </w:r>
      <w:r>
        <w:rPr>
          <w:rFonts w:cs="Cambria" w:ascii="Cambria" w:hAnsi="Cambria" w:asciiTheme="majorHAnsi" w:hAnsiTheme="majorHAnsi"/>
          <w:color w:val="000000"/>
          <w:sz w:val="22"/>
          <w:szCs w:val="22"/>
        </w:rPr>
        <w:t xml:space="preserve">r. tj. przez okres 30 dni.  </w:t>
      </w:r>
    </w:p>
    <w:p>
      <w:pPr>
        <w:pStyle w:val="Normal"/>
        <w:numPr>
          <w:ilvl w:val="0"/>
          <w:numId w:val="8"/>
        </w:numPr>
        <w:spacing w:before="240" w:after="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 przypadku gdy wybór najkorzystniejszej oferty nie nastąpi przed upływem terminu związania ofertą wskazanego w pkt 1 Zamawiający przed upływem terminu związania ofertą zwraca się jednokrotnie do wykonawców o wyrażenie zgody na przedłużenie tego terminu o wskazywany przez niego okres, nie dłuższy niż 30 dni.  </w:t>
      </w:r>
    </w:p>
    <w:p>
      <w:pPr>
        <w:pStyle w:val="Normal"/>
        <w:numPr>
          <w:ilvl w:val="0"/>
          <w:numId w:val="8"/>
        </w:numPr>
        <w:spacing w:before="240" w:after="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Przedłużenie terminu związania ofertą wymaga złożenia przez wykonawcę pisemnego oświadczenia o wyrażeniu zgody na przedłużenie terminu związania ofertą. </w:t>
      </w:r>
    </w:p>
    <w:p>
      <w:pPr>
        <w:pStyle w:val="Normal"/>
        <w:numPr>
          <w:ilvl w:val="0"/>
          <w:numId w:val="8"/>
        </w:numPr>
        <w:spacing w:before="240" w:after="240"/>
        <w:jc w:val="both"/>
        <w:rPr>
          <w:rFonts w:ascii="Cambria" w:hAnsi="Cambria" w:eastAsia="Arial" w:cs="Cambria" w:asciiTheme="majorHAnsi" w:hAnsiTheme="majorHAnsi"/>
          <w:b/>
          <w:b/>
          <w:color w:val="000000"/>
          <w:sz w:val="22"/>
          <w:szCs w:val="22"/>
        </w:rPr>
      </w:pPr>
      <w:r>
        <w:rPr>
          <w:rFonts w:cs="Cambria" w:ascii="Cambria" w:hAnsi="Cambria" w:asciiTheme="majorHAnsi" w:hAnsiTheme="majorHAnsi"/>
          <w:color w:val="000000"/>
          <w:sz w:val="22"/>
          <w:szCs w:val="22"/>
        </w:rPr>
        <w:t xml:space="preserve">Odmowa wyrażenia zgody na przedłużenie terminu związania ofertą nie powoduje utraty wadium. </w:t>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93"/>
        <w:gridCol w:w="8582"/>
      </w:tblGrid>
      <w:tr>
        <w:trPr>
          <w:trHeight w:val="622"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13. </w:t>
            </w:r>
          </w:p>
        </w:tc>
        <w:tc>
          <w:tcPr>
            <w:tcW w:w="8582"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 xml:space="preserve">OPIS SPOSOBU PRZYGOTOWANIA OFERTY I FORMA SKŁADANYCH DOKUMENTÓW </w:t>
            </w:r>
          </w:p>
        </w:tc>
      </w:tr>
    </w:tbl>
    <w:p>
      <w:pPr>
        <w:pStyle w:val="Normal"/>
        <w:widowControl w:val="false"/>
        <w:tabs>
          <w:tab w:val="left" w:pos="709" w:leader="none"/>
        </w:tabs>
        <w:spacing w:before="240" w:after="240"/>
        <w:ind w:left="709" w:hanging="709"/>
        <w:jc w:val="both"/>
        <w:rPr>
          <w:rFonts w:ascii="Cambria" w:hAnsi="Cambria" w:cs="Arial" w:asciiTheme="majorHAnsi" w:hAnsiTheme="majorHAnsi"/>
          <w:b/>
          <w:b/>
          <w:bCs/>
          <w:sz w:val="22"/>
          <w:szCs w:val="22"/>
        </w:rPr>
      </w:pPr>
      <w:r>
        <w:rPr>
          <w:rFonts w:cs="Arial" w:ascii="Cambria" w:hAnsi="Cambria" w:asciiTheme="majorHAnsi" w:hAnsiTheme="majorHAnsi"/>
          <w:b/>
          <w:sz w:val="22"/>
          <w:szCs w:val="22"/>
        </w:rPr>
        <w:t xml:space="preserve">13.1. </w:t>
        <w:tab/>
      </w:r>
      <w:r>
        <w:rPr>
          <w:rFonts w:cs="Arial" w:ascii="Cambria" w:hAnsi="Cambria" w:asciiTheme="majorHAnsi" w:hAnsiTheme="majorHAnsi"/>
          <w:sz w:val="22"/>
          <w:szCs w:val="22"/>
        </w:rPr>
        <w:t xml:space="preserve">Oferta musi być sporządzona pod rygorem nieważności, w formie elektronicznej </w:t>
        <w:br/>
        <w:t>(tj. w postaci elektronicznej opatrzonej kwalifikowanym podpisem elektronicznym) lub postaci elektronicznej opatrzonej podpisem zaufanym lub podpisem osobistym. Oferta musi być sporządzona w języku polskim, podpisana przez osobę upoważnioną.</w:t>
      </w:r>
    </w:p>
    <w:p>
      <w:pPr>
        <w:pStyle w:val="Normal"/>
        <w:widowControl w:val="false"/>
        <w:tabs>
          <w:tab w:val="left" w:pos="709" w:leader="none"/>
        </w:tabs>
        <w:spacing w:before="120" w:after="240"/>
        <w:jc w:val="both"/>
        <w:rPr>
          <w:rFonts w:ascii="Cambria" w:hAnsi="Cambria" w:cs="Arial" w:asciiTheme="majorHAnsi" w:hAnsiTheme="majorHAnsi"/>
          <w:b/>
          <w:b/>
          <w:bCs/>
          <w:sz w:val="22"/>
          <w:szCs w:val="22"/>
        </w:rPr>
      </w:pPr>
      <w:r>
        <w:rPr>
          <w:rFonts w:cs="Arial" w:ascii="Cambria" w:hAnsi="Cambria" w:asciiTheme="majorHAnsi" w:hAnsiTheme="majorHAnsi"/>
          <w:b/>
          <w:bCs/>
          <w:sz w:val="22"/>
          <w:szCs w:val="22"/>
        </w:rPr>
        <w:t>13.2.</w:t>
      </w:r>
      <w:r>
        <w:rPr>
          <w:rFonts w:cs="Arial" w:ascii="Cambria" w:hAnsi="Cambria" w:asciiTheme="majorHAnsi" w:hAnsiTheme="majorHAnsi"/>
          <w:sz w:val="22"/>
          <w:szCs w:val="22"/>
        </w:rPr>
        <w:tab/>
        <w:t>Wykonawcy ponoszą wszelkie koszty związane z przygotowaniem i złożeniem oferty.</w:t>
      </w:r>
    </w:p>
    <w:p>
      <w:pPr>
        <w:pStyle w:val="Normal"/>
        <w:widowControl w:val="false"/>
        <w:tabs>
          <w:tab w:val="left" w:pos="709" w:leader="none"/>
        </w:tabs>
        <w:spacing w:before="120" w:after="240"/>
        <w:ind w:left="700" w:hanging="700"/>
        <w:jc w:val="both"/>
        <w:rPr>
          <w:rFonts w:ascii="Cambria" w:hAnsi="Cambria" w:cs="Arial" w:asciiTheme="majorHAnsi" w:hAnsiTheme="majorHAnsi"/>
          <w:b/>
          <w:b/>
          <w:sz w:val="22"/>
          <w:szCs w:val="22"/>
        </w:rPr>
      </w:pPr>
      <w:r>
        <w:rPr>
          <w:rFonts w:cs="Arial" w:ascii="Cambria" w:hAnsi="Cambria" w:asciiTheme="majorHAnsi" w:hAnsiTheme="majorHAnsi"/>
          <w:b/>
          <w:bCs/>
          <w:sz w:val="22"/>
          <w:szCs w:val="22"/>
        </w:rPr>
        <w:t>13.3.</w:t>
        <w:tab/>
      </w:r>
      <w:r>
        <w:rPr>
          <w:rFonts w:cs="Arial" w:ascii="Cambria" w:hAnsi="Cambria" w:asciiTheme="majorHAnsi" w:hAnsiTheme="majorHAnsi"/>
          <w:sz w:val="22"/>
          <w:szCs w:val="22"/>
        </w:rPr>
        <w:t>Wykonawcy przedstawiają ofertę zgodnie ze wszystkimi wymaganiami określonymi w SWZ.</w:t>
      </w:r>
    </w:p>
    <w:p>
      <w:pPr>
        <w:pStyle w:val="Normal"/>
        <w:widowControl w:val="false"/>
        <w:tabs>
          <w:tab w:val="left" w:pos="709" w:leader="none"/>
        </w:tabs>
        <w:spacing w:before="120" w:after="0"/>
        <w:ind w:left="700" w:hanging="700"/>
        <w:jc w:val="both"/>
        <w:rPr>
          <w:rFonts w:ascii="Cambria" w:hAnsi="Cambria" w:cs="Arial" w:asciiTheme="majorHAnsi" w:hAnsiTheme="majorHAnsi"/>
          <w:sz w:val="22"/>
          <w:szCs w:val="22"/>
        </w:rPr>
      </w:pPr>
      <w:r>
        <w:rPr>
          <w:rFonts w:cs="Arial" w:ascii="Cambria" w:hAnsi="Cambria" w:asciiTheme="majorHAnsi" w:hAnsiTheme="majorHAnsi"/>
          <w:b/>
          <w:sz w:val="22"/>
          <w:szCs w:val="22"/>
        </w:rPr>
        <w:t>13.4.</w:t>
      </w:r>
      <w:r>
        <w:rPr>
          <w:rFonts w:cs="Arial" w:ascii="Cambria" w:hAnsi="Cambria" w:asciiTheme="majorHAnsi" w:hAnsiTheme="majorHAnsi"/>
          <w:bCs/>
          <w:sz w:val="22"/>
          <w:szCs w:val="22"/>
        </w:rPr>
        <w:tab/>
        <w:t xml:space="preserve">W terminie składania ofert określonym w pkt 14.1. SWZ Wykonawca zobowiązany jest złożyć Zamawiającemu Ofertę zawierającą: </w:t>
      </w:r>
    </w:p>
    <w:p>
      <w:pPr>
        <w:pStyle w:val="Normal"/>
        <w:widowControl w:val="false"/>
        <w:numPr>
          <w:ilvl w:val="1"/>
          <w:numId w:val="30"/>
        </w:numPr>
        <w:suppressAutoHyphens w:val="false"/>
        <w:spacing w:before="120" w:after="8"/>
        <w:ind w:left="1434" w:hanging="357"/>
        <w:jc w:val="both"/>
        <w:rPr>
          <w:rFonts w:ascii="Cambria" w:hAnsi="Cambria" w:cs="Arial" w:asciiTheme="majorHAnsi" w:hAnsiTheme="majorHAnsi"/>
          <w:sz w:val="22"/>
          <w:szCs w:val="22"/>
        </w:rPr>
      </w:pPr>
      <w:r>
        <w:rPr>
          <w:rFonts w:cs="Arial" w:ascii="Cambria" w:hAnsi="Cambria" w:asciiTheme="majorHAnsi" w:hAnsiTheme="majorHAnsi"/>
          <w:sz w:val="22"/>
          <w:szCs w:val="22"/>
        </w:rPr>
        <w:t xml:space="preserve">Formularz Oferty (sporządzony wg wzoru stanowiącego </w:t>
      </w:r>
      <w:r>
        <w:rPr>
          <w:rFonts w:cs="Arial" w:ascii="Cambria" w:hAnsi="Cambria" w:asciiTheme="majorHAnsi" w:hAnsiTheme="majorHAnsi"/>
          <w:b/>
          <w:sz w:val="22"/>
          <w:szCs w:val="22"/>
        </w:rPr>
        <w:t>Załącznik nr 2</w:t>
      </w:r>
      <w:r>
        <w:rPr>
          <w:rFonts w:cs="Arial" w:ascii="Cambria" w:hAnsi="Cambria" w:asciiTheme="majorHAnsi" w:hAnsiTheme="majorHAnsi"/>
          <w:sz w:val="22"/>
          <w:szCs w:val="22"/>
        </w:rPr>
        <w:t xml:space="preserve"> do SWZ) </w:t>
      </w:r>
      <w:r>
        <w:rPr>
          <w:rFonts w:cs="Arial" w:ascii="Cambria" w:hAnsi="Cambria" w:asciiTheme="majorHAnsi" w:hAnsiTheme="majorHAnsi"/>
          <w:bCs/>
          <w:sz w:val="22"/>
          <w:szCs w:val="22"/>
        </w:rPr>
        <w:t xml:space="preserve">sporządzony pod rygorem nieważności, w formie elektronicznej </w:t>
      </w:r>
      <w:r>
        <w:rPr>
          <w:rFonts w:eastAsia="Calibri" w:cs="Tahoma" w:ascii="Cambria" w:hAnsi="Cambria" w:asciiTheme="majorHAnsi" w:hAnsiTheme="majorHAnsi"/>
          <w:sz w:val="22"/>
          <w:szCs w:val="22"/>
        </w:rPr>
        <w:t>(tj. w postaci elektronicznej opatrzonej kwalifikowanym podpisem elektronicznym) lub w postaci elektronicznej opatrzonej podpisem zaufanym lub podpisem osobistym.</w:t>
      </w:r>
      <w:r>
        <w:rPr>
          <w:rFonts w:cs="Arial" w:ascii="Cambria" w:hAnsi="Cambria" w:asciiTheme="majorHAnsi" w:hAnsiTheme="majorHAnsi"/>
          <w:bCs/>
          <w:sz w:val="22"/>
          <w:szCs w:val="22"/>
        </w:rPr>
        <w:t xml:space="preserve"> </w:t>
      </w:r>
    </w:p>
    <w:p>
      <w:pPr>
        <w:pStyle w:val="Normal"/>
        <w:widowControl w:val="false"/>
        <w:numPr>
          <w:ilvl w:val="1"/>
          <w:numId w:val="30"/>
        </w:numPr>
        <w:suppressAutoHyphens w:val="false"/>
        <w:spacing w:before="120" w:after="8"/>
        <w:ind w:left="1434" w:hanging="357"/>
        <w:jc w:val="both"/>
        <w:rPr>
          <w:rFonts w:ascii="Cambria" w:hAnsi="Cambria" w:eastAsia="Calibri" w:cs="Arial" w:asciiTheme="majorHAnsi" w:hAnsiTheme="majorHAnsi"/>
        </w:rPr>
      </w:pPr>
      <w:r>
        <w:rPr>
          <w:rFonts w:cs="Arial" w:ascii="Cambria" w:hAnsi="Cambria" w:asciiTheme="majorHAnsi" w:hAnsiTheme="majorHAnsi"/>
          <w:sz w:val="22"/>
          <w:szCs w:val="22"/>
        </w:rPr>
        <w:t>Kosztorys ofertowy - sporządzony metodą uproszczoną z podaniem stawki robocizny, zestawieniem cen sprzętu, materiałów i robocizny.</w:t>
      </w:r>
    </w:p>
    <w:p>
      <w:pPr>
        <w:pStyle w:val="ListParagraph"/>
        <w:widowControl w:val="false"/>
        <w:numPr>
          <w:ilvl w:val="1"/>
          <w:numId w:val="30"/>
        </w:numPr>
        <w:tabs>
          <w:tab w:val="clear" w:pos="709"/>
          <w:tab w:val="left" w:pos="1276" w:leader="none"/>
        </w:tabs>
        <w:suppressAutoHyphens w:val="false"/>
        <w:spacing w:lineRule="auto" w:line="240" w:before="120" w:after="8"/>
        <w:ind w:left="1434" w:hanging="357"/>
        <w:jc w:val="both"/>
        <w:rPr>
          <w:rFonts w:ascii="Cambria" w:hAnsi="Cambria" w:eastAsia="Calibri" w:cs="Arial" w:asciiTheme="majorHAnsi" w:hAnsiTheme="majorHAnsi"/>
        </w:rPr>
      </w:pPr>
      <w:r>
        <w:rPr>
          <w:rFonts w:eastAsia="Calibri" w:cs="Arial" w:ascii="Cambria" w:hAnsi="Cambria" w:asciiTheme="majorHAnsi" w:hAnsiTheme="majorHAnsi"/>
        </w:rPr>
        <w:tab/>
        <w:t>oświadczenie z art. 125 sporządzone p</w:t>
      </w:r>
      <w:r>
        <w:rPr>
          <w:rFonts w:eastAsia="Calibri" w:cs="Arial" w:ascii="Cambria" w:hAnsi="Cambria" w:asciiTheme="majorHAnsi" w:hAnsiTheme="majorHAnsi"/>
          <w:bCs/>
        </w:rPr>
        <w:t xml:space="preserve">od rygorem nieważności, w formie elektronicznej </w:t>
      </w:r>
      <w:bookmarkStart w:id="8" w:name="_Hlk81488219"/>
      <w:r>
        <w:rPr>
          <w:rFonts w:eastAsia="Calibri" w:cs="Tahoma" w:ascii="Cambria" w:hAnsi="Cambria" w:asciiTheme="majorHAnsi" w:hAnsiTheme="majorHAnsi"/>
        </w:rPr>
        <w:t xml:space="preserve">(tj. w postaci elektronicznej opatrzonej kwalifikowanym podpisem elektronicznym) </w:t>
      </w:r>
      <w:bookmarkEnd w:id="8"/>
      <w:r>
        <w:rPr>
          <w:rFonts w:eastAsia="Calibri" w:cs="Tahoma" w:ascii="Cambria" w:hAnsi="Cambria" w:asciiTheme="majorHAnsi" w:hAnsiTheme="majorHAnsi"/>
        </w:rPr>
        <w:t xml:space="preserve">lub w postaci elektronicznej opatrzonej podpisem zaufanym lub podpisem osobistym </w:t>
      </w:r>
      <w:r>
        <w:rPr>
          <w:rFonts w:eastAsia="Calibri" w:cs="Arial" w:ascii="Cambria" w:hAnsi="Cambria" w:asciiTheme="majorHAnsi" w:hAnsiTheme="majorHAnsi"/>
          <w:bCs/>
        </w:rPr>
        <w:t>podpisane przez osobę/osoby upoważnione do reprezentacji podmiotu składającego oświadczenie, złożone przez:</w:t>
      </w:r>
    </w:p>
    <w:p>
      <w:pPr>
        <w:pStyle w:val="Normal"/>
        <w:widowControl w:val="false"/>
        <w:numPr>
          <w:ilvl w:val="0"/>
          <w:numId w:val="36"/>
        </w:numPr>
        <w:tabs>
          <w:tab w:val="clear" w:pos="709"/>
          <w:tab w:val="left" w:pos="1985" w:leader="none"/>
        </w:tabs>
        <w:spacing w:before="120" w:after="0"/>
        <w:ind w:left="1985" w:hanging="709"/>
        <w:jc w:val="both"/>
        <w:rPr>
          <w:rFonts w:ascii="Cambria" w:hAnsi="Cambria" w:eastAsia="Calibri" w:cs="Arial" w:asciiTheme="majorHAnsi" w:hAnsiTheme="majorHAnsi"/>
          <w:sz w:val="22"/>
          <w:szCs w:val="22"/>
        </w:rPr>
      </w:pPr>
      <w:r>
        <w:rPr>
          <w:rFonts w:eastAsia="Calibri" w:cs="Arial" w:ascii="Cambria" w:hAnsi="Cambria" w:asciiTheme="majorHAnsi" w:hAnsiTheme="majorHAnsi"/>
          <w:sz w:val="22"/>
          <w:szCs w:val="22"/>
        </w:rPr>
        <w:t>Wykonawcę  (</w:t>
      </w:r>
      <w:r>
        <w:rPr>
          <w:rFonts w:eastAsia="Calibri" w:cs="Arial" w:ascii="Cambria" w:hAnsi="Cambria" w:asciiTheme="majorHAnsi" w:hAnsiTheme="majorHAnsi"/>
          <w:b/>
          <w:sz w:val="22"/>
          <w:szCs w:val="22"/>
        </w:rPr>
        <w:t xml:space="preserve">Załącznik nr 3 </w:t>
      </w:r>
      <w:r>
        <w:rPr>
          <w:rFonts w:eastAsia="Calibri" w:cs="Arial" w:ascii="Cambria" w:hAnsi="Cambria" w:asciiTheme="majorHAnsi" w:hAnsiTheme="majorHAnsi"/>
          <w:sz w:val="22"/>
          <w:szCs w:val="22"/>
        </w:rPr>
        <w:t>do SWZ)</w:t>
      </w:r>
    </w:p>
    <w:p>
      <w:pPr>
        <w:pStyle w:val="Normal"/>
        <w:widowControl w:val="false"/>
        <w:numPr>
          <w:ilvl w:val="0"/>
          <w:numId w:val="36"/>
        </w:numPr>
        <w:tabs>
          <w:tab w:val="clear" w:pos="709"/>
          <w:tab w:val="left" w:pos="1985" w:leader="none"/>
        </w:tabs>
        <w:spacing w:before="120" w:after="0"/>
        <w:ind w:left="1985" w:hanging="709"/>
        <w:jc w:val="both"/>
        <w:rPr>
          <w:rFonts w:ascii="Cambria" w:hAnsi="Cambria" w:eastAsia="Calibri" w:cs="Arial" w:asciiTheme="majorHAnsi" w:hAnsiTheme="majorHAnsi"/>
          <w:sz w:val="22"/>
          <w:szCs w:val="22"/>
        </w:rPr>
      </w:pPr>
      <w:r>
        <w:rPr>
          <w:rFonts w:eastAsia="Calibri" w:cs="Arial" w:ascii="Cambria" w:hAnsi="Cambria" w:asciiTheme="majorHAnsi" w:hAnsiTheme="majorHAnsi"/>
          <w:sz w:val="22"/>
          <w:szCs w:val="22"/>
        </w:rPr>
        <w:t>każdego z Wykonawców wspólnie ubiegających się o udzielenie zamówienia (w przypadku wspólnego ubiegania się o udzielenie zamówienia) (</w:t>
      </w:r>
      <w:r>
        <w:rPr>
          <w:rFonts w:eastAsia="Calibri" w:cs="Arial" w:ascii="Cambria" w:hAnsi="Cambria" w:asciiTheme="majorHAnsi" w:hAnsiTheme="majorHAnsi"/>
          <w:b/>
          <w:sz w:val="22"/>
          <w:szCs w:val="22"/>
        </w:rPr>
        <w:t xml:space="preserve">Załącznik nr 3 </w:t>
      </w:r>
      <w:r>
        <w:rPr>
          <w:rFonts w:eastAsia="Calibri" w:cs="Arial" w:ascii="Cambria" w:hAnsi="Cambria" w:asciiTheme="majorHAnsi" w:hAnsiTheme="majorHAnsi"/>
          <w:sz w:val="22"/>
          <w:szCs w:val="22"/>
        </w:rPr>
        <w:t>do SWZ),</w:t>
      </w:r>
    </w:p>
    <w:p>
      <w:pPr>
        <w:pStyle w:val="Normal"/>
        <w:widowControl w:val="false"/>
        <w:numPr>
          <w:ilvl w:val="0"/>
          <w:numId w:val="36"/>
        </w:numPr>
        <w:tabs>
          <w:tab w:val="clear" w:pos="709"/>
          <w:tab w:val="left" w:pos="1985" w:leader="none"/>
        </w:tabs>
        <w:spacing w:before="120" w:after="0"/>
        <w:ind w:left="1985" w:hanging="709"/>
        <w:jc w:val="both"/>
        <w:rPr>
          <w:rFonts w:ascii="Cambria" w:hAnsi="Cambria" w:cs="Arial" w:asciiTheme="majorHAnsi" w:hAnsiTheme="majorHAnsi"/>
          <w:bCs/>
          <w:sz w:val="22"/>
          <w:szCs w:val="22"/>
        </w:rPr>
      </w:pPr>
      <w:r>
        <w:rPr>
          <w:rFonts w:eastAsia="Calibri" w:cs="Arial" w:ascii="Cambria" w:hAnsi="Cambria" w:asciiTheme="majorHAnsi" w:hAnsiTheme="majorHAnsi"/>
          <w:sz w:val="22"/>
          <w:szCs w:val="22"/>
        </w:rPr>
        <w:t>każdego z podmiotów udostępniających Wykonawcy zasoby na zasadzie art. 118 PZP (o ile Wykonawca polega na zasobach innych podmiotów) (</w:t>
      </w:r>
      <w:r>
        <w:rPr>
          <w:rFonts w:eastAsia="Calibri" w:cs="Arial" w:ascii="Cambria" w:hAnsi="Cambria" w:asciiTheme="majorHAnsi" w:hAnsiTheme="majorHAnsi"/>
          <w:b/>
          <w:sz w:val="22"/>
          <w:szCs w:val="22"/>
        </w:rPr>
        <w:t xml:space="preserve">Załącznik nr 4 </w:t>
      </w:r>
      <w:r>
        <w:rPr>
          <w:rFonts w:eastAsia="Calibri" w:cs="Arial" w:ascii="Cambria" w:hAnsi="Cambria" w:asciiTheme="majorHAnsi" w:hAnsiTheme="majorHAnsi"/>
          <w:sz w:val="22"/>
          <w:szCs w:val="22"/>
        </w:rPr>
        <w:t xml:space="preserve">do SWZ). </w:t>
      </w:r>
    </w:p>
    <w:p>
      <w:pPr>
        <w:pStyle w:val="Normal"/>
        <w:widowControl w:val="false"/>
        <w:tabs>
          <w:tab w:val="clear" w:pos="709"/>
          <w:tab w:val="left" w:pos="1985" w:leader="none"/>
        </w:tabs>
        <w:spacing w:before="120" w:after="0"/>
        <w:ind w:left="1985" w:hanging="0"/>
        <w:jc w:val="both"/>
        <w:rPr>
          <w:rFonts w:ascii="Cambria" w:hAnsi="Cambria" w:cs="Arial" w:asciiTheme="majorHAnsi" w:hAnsiTheme="majorHAnsi"/>
          <w:bCs/>
          <w:sz w:val="22"/>
          <w:szCs w:val="22"/>
        </w:rPr>
      </w:pPr>
      <w:r>
        <w:rPr>
          <w:rFonts w:cs="Arial" w:ascii="Cambria" w:hAnsi="Cambria" w:asciiTheme="majorHAnsi" w:hAnsiTheme="majorHAnsi"/>
          <w:bCs/>
          <w:sz w:val="22"/>
          <w:szCs w:val="22"/>
        </w:rPr>
        <w:t>Oświadczenie, o którym mowa powyżej, zawiera również informację, czy wykonawca będzie posługiwał się w postępowaniu certyfikatem wykonawcy zamówień publicznych. W przypadku odpowiedzi twierdzącej wykonawca podaje w oświadczeniu numer i oznaczenie certyfikatu, nazwę podmiotu certyfikującego, okres ważności certyfikacji oraz zakres podstaw wykluczenia lub warunków udziału w postępowaniu, w odniesieniu do których będzie posługiwał się certyfikatem.</w:t>
      </w:r>
    </w:p>
    <w:p>
      <w:pPr>
        <w:pStyle w:val="Normal"/>
        <w:widowControl w:val="false"/>
        <w:tabs>
          <w:tab w:val="clear" w:pos="709"/>
          <w:tab w:val="left" w:pos="1985" w:leader="none"/>
        </w:tabs>
        <w:spacing w:before="120" w:after="0"/>
        <w:ind w:left="1985" w:hanging="0"/>
        <w:jc w:val="both"/>
        <w:rPr>
          <w:rFonts w:ascii="Cambria" w:hAnsi="Cambria" w:cs="Arial" w:asciiTheme="majorHAnsi" w:hAnsiTheme="majorHAnsi"/>
          <w:bCs/>
          <w:sz w:val="22"/>
          <w:szCs w:val="22"/>
        </w:rPr>
      </w:pPr>
      <w:r>
        <w:rPr>
          <w:rFonts w:cs="Arial" w:ascii="Cambria" w:hAnsi="Cambria" w:asciiTheme="majorHAnsi" w:hAnsiTheme="majorHAnsi"/>
          <w:bCs/>
          <w:sz w:val="22"/>
          <w:szCs w:val="22"/>
        </w:rPr>
        <w:t>Zamawiający nie wymaga załączenia certyfikatu do oferty, jeżeli wykonawca podał dane umożliwiające jego samodzielne uzyskanie i zweryfikowanie przez Zamawiającego w bezpłatnej i ogólnodostępnej bazie certyfikacji.</w:t>
      </w:r>
    </w:p>
    <w:p>
      <w:pPr>
        <w:pStyle w:val="Normal"/>
        <w:widowControl w:val="false"/>
        <w:numPr>
          <w:ilvl w:val="1"/>
          <w:numId w:val="30"/>
        </w:numPr>
        <w:suppressAutoHyphens w:val="false"/>
        <w:spacing w:before="120" w:after="8"/>
        <w:jc w:val="both"/>
        <w:rPr>
          <w:rFonts w:ascii="Cambria" w:hAnsi="Cambria" w:cs="Arial" w:asciiTheme="majorHAnsi" w:hAnsiTheme="majorHAnsi"/>
          <w:sz w:val="22"/>
          <w:szCs w:val="22"/>
        </w:rPr>
      </w:pPr>
      <w:r>
        <w:rPr>
          <w:rFonts w:cs="Arial" w:ascii="Cambria" w:hAnsi="Cambria" w:asciiTheme="majorHAnsi" w:hAnsiTheme="majorHAnsi"/>
          <w:bCs/>
          <w:sz w:val="22"/>
          <w:szCs w:val="22"/>
        </w:rPr>
        <w:t xml:space="preserve">oświadczenie w zakresie kryteriów oceny ofert </w:t>
      </w:r>
      <w:r>
        <w:rPr>
          <w:rFonts w:cs="Arial" w:ascii="Cambria" w:hAnsi="Cambria" w:asciiTheme="majorHAnsi" w:hAnsiTheme="majorHAnsi"/>
          <w:b/>
          <w:bCs/>
          <w:sz w:val="22"/>
          <w:szCs w:val="22"/>
        </w:rPr>
        <w:t>- na formularzu Oferty</w:t>
      </w:r>
    </w:p>
    <w:p>
      <w:pPr>
        <w:pStyle w:val="Normal"/>
        <w:widowControl w:val="false"/>
        <w:numPr>
          <w:ilvl w:val="1"/>
          <w:numId w:val="30"/>
        </w:numPr>
        <w:suppressAutoHyphens w:val="false"/>
        <w:spacing w:before="120" w:after="8"/>
        <w:jc w:val="both"/>
        <w:rPr>
          <w:rFonts w:ascii="Cambria" w:hAnsi="Cambria" w:cs="Arial" w:asciiTheme="majorHAnsi" w:hAnsiTheme="majorHAnsi"/>
          <w:sz w:val="22"/>
          <w:szCs w:val="22"/>
        </w:rPr>
      </w:pPr>
      <w:r>
        <w:rPr>
          <w:rFonts w:cs="Arial" w:ascii="Cambria" w:hAnsi="Cambria" w:asciiTheme="majorHAnsi" w:hAnsiTheme="majorHAnsi"/>
          <w:sz w:val="22"/>
          <w:szCs w:val="22"/>
        </w:rPr>
        <w:t>zobowiązanie podmiotu udostępniającego zasoby (o ile dotyczy) do oddania Wykonawcy do dyspozycji niezbędnych zasobów na potrzeby realizacji zamówienia lub inny podmiotowy środek dowodowy potwierdzający, że Wykonawca realizując zamówienie, będzie dysponował niezbędnymi zasobami tych podmiotów  zgodnie z pkt 7.3. SWZ, jeżeli Wykonawca wykazując spełnienie warunków udziału w postępowaniu polega na zdolnościach lub sytuacji innych podmiotów; (N</w:t>
      </w:r>
      <w:r>
        <w:rPr>
          <w:rFonts w:cs="Arial" w:ascii="Cambria" w:hAnsi="Cambria" w:asciiTheme="majorHAnsi" w:hAnsiTheme="majorHAnsi"/>
          <w:bCs/>
          <w:sz w:val="22"/>
          <w:szCs w:val="22"/>
        </w:rPr>
        <w:t xml:space="preserve">iewiążący wzór zobowiązania do oddania Wykonawcy do dyspozycji niezbędnych zasobów na potrzeby wykonania zamówienia stanowi </w:t>
      </w:r>
      <w:r>
        <w:rPr>
          <w:rFonts w:cs="Arial" w:ascii="Cambria" w:hAnsi="Cambria" w:asciiTheme="majorHAnsi" w:hAnsiTheme="majorHAnsi"/>
          <w:b/>
          <w:bCs/>
          <w:sz w:val="22"/>
          <w:szCs w:val="22"/>
        </w:rPr>
        <w:t>Załącznik nr 8</w:t>
      </w:r>
      <w:r>
        <w:rPr>
          <w:rFonts w:cs="Arial" w:ascii="Cambria" w:hAnsi="Cambria" w:asciiTheme="majorHAnsi" w:hAnsiTheme="majorHAnsi"/>
          <w:bCs/>
          <w:sz w:val="22"/>
          <w:szCs w:val="22"/>
        </w:rPr>
        <w:t xml:space="preserve"> do SWZ)</w:t>
      </w:r>
      <w:r>
        <w:rPr>
          <w:rFonts w:eastAsia="Calibri" w:cs="Arial" w:ascii="Cambria" w:hAnsi="Cambria" w:asciiTheme="majorHAnsi" w:hAnsiTheme="majorHAnsi"/>
          <w:sz w:val="22"/>
          <w:szCs w:val="22"/>
        </w:rPr>
        <w:t>, sporządzone p</w:t>
      </w:r>
      <w:r>
        <w:rPr>
          <w:rFonts w:eastAsia="Calibri" w:cs="Arial" w:ascii="Cambria" w:hAnsi="Cambria" w:asciiTheme="majorHAnsi" w:hAnsiTheme="majorHAnsi"/>
          <w:bCs/>
          <w:sz w:val="22"/>
          <w:szCs w:val="22"/>
        </w:rPr>
        <w:t>od rygorem nieważności, w formie elektronicznej</w:t>
      </w:r>
      <w:r>
        <w:rPr>
          <w:rFonts w:eastAsia="Calibri" w:cs="Tahoma" w:ascii="Cambria" w:hAnsi="Cambria" w:asciiTheme="majorHAnsi" w:hAnsiTheme="majorHAnsi"/>
          <w:sz w:val="22"/>
          <w:szCs w:val="22"/>
        </w:rPr>
        <w:t xml:space="preserve"> (tj. w postaci elektronicznej opatrzonej kwalifikowanym podpisem elektronicznym) lub w postaci elektronicznej opatrzonej podpisem zaufanym lub podpisem osobistym</w:t>
      </w:r>
      <w:r>
        <w:rPr>
          <w:rFonts w:eastAsia="Calibri" w:cs="Arial" w:ascii="Cambria" w:hAnsi="Cambria" w:asciiTheme="majorHAnsi" w:hAnsiTheme="majorHAnsi"/>
          <w:sz w:val="22"/>
          <w:szCs w:val="22"/>
        </w:rPr>
        <w:t xml:space="preserve"> </w:t>
      </w:r>
      <w:r>
        <w:rPr>
          <w:rFonts w:eastAsia="Calibri" w:cs="Arial" w:ascii="Cambria" w:hAnsi="Cambria" w:asciiTheme="majorHAnsi" w:hAnsiTheme="majorHAnsi"/>
          <w:bCs/>
          <w:sz w:val="22"/>
          <w:szCs w:val="22"/>
        </w:rPr>
        <w:t>podpisane przez osobę/osoby upoważnione do reprezentacji podmiotu składającego oświadczeni</w:t>
      </w:r>
      <w:r>
        <w:rPr>
          <w:rFonts w:cs="Arial" w:ascii="Cambria" w:hAnsi="Cambria" w:asciiTheme="majorHAnsi" w:hAnsiTheme="majorHAnsi"/>
          <w:bCs/>
          <w:sz w:val="22"/>
          <w:szCs w:val="22"/>
        </w:rPr>
        <w:t>e</w:t>
      </w:r>
    </w:p>
    <w:p>
      <w:pPr>
        <w:pStyle w:val="Normal"/>
        <w:widowControl w:val="false"/>
        <w:numPr>
          <w:ilvl w:val="1"/>
          <w:numId w:val="30"/>
        </w:numPr>
        <w:suppressAutoHyphens w:val="false"/>
        <w:spacing w:before="120" w:after="8"/>
        <w:jc w:val="both"/>
        <w:rPr>
          <w:rFonts w:ascii="Cambria" w:hAnsi="Cambria" w:cs="Arial" w:asciiTheme="majorHAnsi" w:hAnsiTheme="majorHAnsi"/>
          <w:sz w:val="22"/>
          <w:szCs w:val="22"/>
        </w:rPr>
      </w:pPr>
      <w:r>
        <w:rPr>
          <w:rFonts w:cs="Arial" w:ascii="Cambria" w:hAnsi="Cambria" w:asciiTheme="majorHAnsi" w:hAnsiTheme="majorHAnsi"/>
          <w:sz w:val="22"/>
          <w:szCs w:val="22"/>
        </w:rPr>
        <w:t>odpis lub informację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w:t>
      </w:r>
    </w:p>
    <w:p>
      <w:pPr>
        <w:pStyle w:val="Normal"/>
        <w:widowControl w:val="false"/>
        <w:numPr>
          <w:ilvl w:val="1"/>
          <w:numId w:val="30"/>
        </w:numPr>
        <w:suppressAutoHyphens w:val="false"/>
        <w:spacing w:before="120" w:after="8"/>
        <w:ind w:left="1434" w:hanging="357"/>
        <w:jc w:val="both"/>
        <w:rPr>
          <w:rFonts w:ascii="Cambria" w:hAnsi="Cambria" w:cs="Arial" w:asciiTheme="majorHAnsi" w:hAnsiTheme="majorHAnsi"/>
          <w:sz w:val="22"/>
          <w:szCs w:val="22"/>
        </w:rPr>
      </w:pPr>
      <w:r>
        <w:rPr>
          <w:rFonts w:cs="Arial" w:ascii="Cambria" w:hAnsi="Cambria" w:asciiTheme="majorHAnsi" w:hAnsiTheme="majorHAnsi"/>
          <w:sz w:val="22"/>
          <w:szCs w:val="22"/>
        </w:rPr>
        <w:t xml:space="preserve">(o ile dotyczy) pełnomocnictwo lub inny dokument potwierdzający umocowanie do reprezentowania Wykonawcy/podmiotu udostępniającego zasoby na zasadach określonych w art. 118 PZP, jeżeli w imieniu Wykonawcy/podmiotu udostępniającego zasoby działa osoba, której umocowanie do jego reprezentowania nie wynika z innych dokumentów złożonych wraz z ofertą (np. odpisu lub informacji z Krajowego Rejestru Sądowego, Centralnej Ewidencji </w:t>
      </w:r>
      <w:r>
        <w:rPr>
          <w:rFonts w:cs="Arial" w:ascii="Cambria" w:hAnsi="Cambria" w:asciiTheme="majorHAnsi" w:hAnsiTheme="majorHAnsi"/>
          <w:spacing w:val="-2"/>
          <w:sz w:val="22"/>
          <w:szCs w:val="22"/>
        </w:rPr>
        <w:t>i Informacji o Działalności Gospodarczej lub innego właściwego rejestru), sporządzone p</w:t>
      </w:r>
      <w:r>
        <w:rPr>
          <w:rFonts w:cs="Arial" w:ascii="Cambria" w:hAnsi="Cambria" w:asciiTheme="majorHAnsi" w:hAnsiTheme="majorHAnsi"/>
          <w:bCs/>
          <w:spacing w:val="-2"/>
          <w:sz w:val="22"/>
          <w:szCs w:val="22"/>
        </w:rPr>
        <w:t xml:space="preserve">od rygorem nieważności, w formie elektronicznej (tj. w postaci elektronicznej opatrzonej kwalifikowanym podpisem elektronicznym) lub </w:t>
      </w:r>
      <w:r>
        <w:rPr>
          <w:rFonts w:eastAsia="Calibri" w:cs="Tahoma" w:ascii="Cambria" w:hAnsi="Cambria" w:asciiTheme="majorHAnsi" w:hAnsiTheme="majorHAnsi"/>
          <w:spacing w:val="-2"/>
          <w:sz w:val="22"/>
          <w:szCs w:val="22"/>
        </w:rPr>
        <w:t>w postaci elektronicznej opatrzonej podpisem zaufanym lub podpisem osobistym</w:t>
      </w:r>
      <w:r>
        <w:rPr>
          <w:rFonts w:eastAsia="Calibri" w:cs="Tahoma" w:ascii="Cambria" w:hAnsi="Cambria" w:asciiTheme="majorHAnsi" w:hAnsiTheme="majorHAnsi"/>
          <w:sz w:val="22"/>
          <w:szCs w:val="22"/>
        </w:rPr>
        <w:t xml:space="preserve">. </w:t>
      </w:r>
    </w:p>
    <w:p>
      <w:pPr>
        <w:pStyle w:val="Normal"/>
        <w:widowControl w:val="false"/>
        <w:numPr>
          <w:ilvl w:val="1"/>
          <w:numId w:val="30"/>
        </w:numPr>
        <w:suppressAutoHyphens w:val="false"/>
        <w:spacing w:before="120" w:after="8"/>
        <w:jc w:val="both"/>
        <w:rPr>
          <w:rFonts w:ascii="Cambria" w:hAnsi="Cambria" w:cs="Arial" w:asciiTheme="majorHAnsi" w:hAnsiTheme="majorHAnsi"/>
          <w:sz w:val="22"/>
          <w:szCs w:val="22"/>
        </w:rPr>
      </w:pPr>
      <w:r>
        <w:rPr>
          <w:rFonts w:cs="Arial" w:ascii="Cambria" w:hAnsi="Cambria" w:asciiTheme="majorHAnsi" w:hAnsiTheme="majorHAnsi"/>
          <w:sz w:val="22"/>
          <w:szCs w:val="22"/>
        </w:rPr>
        <w:t>(o ile dotyczy) 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Pr>
          <w:rFonts w:cs="Arial" w:ascii="Cambria" w:hAnsi="Cambria" w:asciiTheme="majorHAnsi" w:hAnsiTheme="majorHAnsi"/>
          <w:bCs/>
          <w:sz w:val="22"/>
          <w:szCs w:val="22"/>
        </w:rPr>
        <w:t xml:space="preserve">od rygorem nieważności, w formie elektronicznej (tj. w postaci elektronicznej opatrzonej kwalifikowanym podpisem elektronicznym) </w:t>
      </w:r>
      <w:r>
        <w:rPr>
          <w:rFonts w:eastAsia="Calibri" w:cs="Tahoma" w:ascii="Cambria" w:hAnsi="Cambria" w:asciiTheme="majorHAnsi" w:hAnsiTheme="majorHAnsi"/>
          <w:sz w:val="22"/>
          <w:szCs w:val="22"/>
        </w:rPr>
        <w:t>lub w postaci elektronicznej opatrzonej podpisem zaufanym lub podpisem osobistym.</w:t>
      </w:r>
    </w:p>
    <w:p>
      <w:pPr>
        <w:pStyle w:val="Normal"/>
        <w:widowControl w:val="false"/>
        <w:numPr>
          <w:ilvl w:val="1"/>
          <w:numId w:val="30"/>
        </w:numPr>
        <w:suppressAutoHyphens w:val="false"/>
        <w:spacing w:before="120" w:after="8"/>
        <w:jc w:val="both"/>
        <w:rPr>
          <w:rFonts w:ascii="Cambria" w:hAnsi="Cambria" w:cs="Arial" w:asciiTheme="majorHAnsi" w:hAnsiTheme="majorHAnsi"/>
          <w:sz w:val="22"/>
          <w:szCs w:val="22"/>
        </w:rPr>
      </w:pPr>
      <w:r>
        <w:rPr>
          <w:rFonts w:cs="Arial" w:ascii="Cambria" w:hAnsi="Cambria" w:asciiTheme="majorHAnsi" w:hAnsiTheme="majorHAnsi"/>
          <w:sz w:val="22"/>
          <w:szCs w:val="22"/>
        </w:rPr>
        <w:t xml:space="preserve">podmiotowy środek dowodowy w postaci oświadczenia, o którym mowa w art. 117 ust. 4 PZP (Zamawiający rekomenduje wykorzystać oświadczenie - </w:t>
      </w:r>
      <w:r>
        <w:rPr>
          <w:rFonts w:cs="Arial" w:ascii="Cambria" w:hAnsi="Cambria" w:asciiTheme="majorHAnsi" w:hAnsiTheme="majorHAnsi"/>
          <w:b/>
          <w:sz w:val="22"/>
          <w:szCs w:val="22"/>
        </w:rPr>
        <w:t xml:space="preserve">Załącznik nr 10 </w:t>
      </w:r>
      <w:r>
        <w:rPr>
          <w:rFonts w:cs="Arial" w:ascii="Cambria" w:hAnsi="Cambria" w:asciiTheme="majorHAnsi" w:hAnsiTheme="majorHAnsi"/>
          <w:sz w:val="22"/>
          <w:szCs w:val="22"/>
        </w:rPr>
        <w:t xml:space="preserve"> do SWZ - dotyczy podmiotów wspólnie ubiegających się o zamówienie), </w:t>
      </w:r>
    </w:p>
    <w:p>
      <w:pPr>
        <w:pStyle w:val="Normal"/>
        <w:widowControl w:val="false"/>
        <w:numPr>
          <w:ilvl w:val="1"/>
          <w:numId w:val="30"/>
        </w:numPr>
        <w:suppressAutoHyphens w:val="false"/>
        <w:spacing w:before="120" w:after="8"/>
        <w:jc w:val="both"/>
        <w:rPr>
          <w:rFonts w:ascii="Cambria" w:hAnsi="Cambria" w:cs="Arial" w:asciiTheme="majorHAnsi" w:hAnsiTheme="majorHAnsi"/>
          <w:b/>
          <w:b/>
          <w:bCs/>
          <w:sz w:val="22"/>
          <w:szCs w:val="22"/>
        </w:rPr>
      </w:pPr>
      <w:r>
        <w:rPr>
          <w:rFonts w:cs="Arial" w:ascii="Cambria" w:hAnsi="Cambria" w:asciiTheme="majorHAnsi" w:hAnsiTheme="majorHAnsi"/>
          <w:sz w:val="22"/>
          <w:szCs w:val="22"/>
        </w:rPr>
        <w:t>dokumenty potwierdzające równoważność przyjętych materiałów i rozwiązań (o ile dotyczy)</w:t>
      </w:r>
    </w:p>
    <w:p>
      <w:pPr>
        <w:pStyle w:val="Normal"/>
        <w:widowControl w:val="false"/>
        <w:spacing w:before="120" w:after="240"/>
        <w:ind w:left="700" w:hanging="700"/>
        <w:jc w:val="both"/>
        <w:rPr>
          <w:rFonts w:ascii="Cambria" w:hAnsi="Cambria" w:cs="Arial" w:asciiTheme="majorHAnsi" w:hAnsiTheme="majorHAnsi"/>
          <w:b/>
          <w:b/>
          <w:sz w:val="22"/>
          <w:szCs w:val="22"/>
        </w:rPr>
      </w:pPr>
      <w:r>
        <w:rPr>
          <w:rFonts w:cs="Arial" w:ascii="Cambria" w:hAnsi="Cambria" w:asciiTheme="majorHAnsi" w:hAnsiTheme="majorHAnsi"/>
          <w:b/>
          <w:bCs/>
          <w:sz w:val="22"/>
          <w:szCs w:val="22"/>
        </w:rPr>
        <w:t>13.5.</w:t>
        <w:tab/>
      </w:r>
      <w:r>
        <w:rPr>
          <w:rFonts w:cs="Arial" w:ascii="Cambria" w:hAnsi="Cambria" w:asciiTheme="majorHAnsi" w:hAnsiTheme="majorHAnsi"/>
          <w:sz w:val="22"/>
          <w:szCs w:val="22"/>
        </w:rPr>
        <w:t>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pPr>
        <w:pStyle w:val="Normal"/>
        <w:widowControl w:val="false"/>
        <w:spacing w:before="120" w:after="0"/>
        <w:ind w:left="709" w:hanging="709"/>
        <w:jc w:val="both"/>
        <w:rPr>
          <w:rFonts w:ascii="Cambria" w:hAnsi="Cambria" w:cs="Arial" w:asciiTheme="majorHAnsi" w:hAnsiTheme="majorHAnsi"/>
          <w:sz w:val="22"/>
          <w:szCs w:val="22"/>
        </w:rPr>
      </w:pPr>
      <w:r>
        <w:rPr>
          <w:rFonts w:cs="Arial" w:ascii="Cambria" w:hAnsi="Cambria" w:asciiTheme="majorHAnsi" w:hAnsiTheme="majorHAnsi"/>
          <w:b/>
          <w:sz w:val="22"/>
          <w:szCs w:val="22"/>
        </w:rPr>
        <w:t>13.6.</w:t>
      </w:r>
      <w:r>
        <w:rPr>
          <w:rFonts w:cs="Arial" w:ascii="Cambria" w:hAnsi="Cambria" w:asciiTheme="majorHAnsi" w:hAnsiTheme="majorHAnsi"/>
          <w:sz w:val="22"/>
          <w:szCs w:val="22"/>
        </w:rPr>
        <w:t xml:space="preserve"> </w:t>
        <w:tab/>
        <w:t xml:space="preserve">Zamawiający nie ujawnia informacji stanowiących tajemnicę przedsiębiorstwa w rozumieniu art. 11 ust. 2 ustawy z dnia 16 kwietnia 1993 r. o zwalczaniu nieuczciwej konkurencji (t.j. Dz. U. z 2022 r. poz. 1233 ze zm.), jeżeli Wykonawca, wraz z przekazaniem takich informacji, zastrzegł, że nie mogą być one udostępnione oraz wykazał, że zastrzeżone informacje stanowią tajemnicę przedsiębiorstwa. Wykonawca nie może zastrzec informacji, o których mowa w art. 222 ust. 5 PZP. </w:t>
      </w:r>
    </w:p>
    <w:p>
      <w:pPr>
        <w:pStyle w:val="Normal"/>
        <w:widowControl w:val="false"/>
        <w:spacing w:before="120" w:after="0"/>
        <w:ind w:left="709" w:hanging="0"/>
        <w:jc w:val="both"/>
        <w:rPr>
          <w:rFonts w:ascii="Cambria" w:hAnsi="Cambria" w:cs="Arial" w:asciiTheme="majorHAnsi" w:hAnsiTheme="majorHAnsi"/>
          <w:b/>
          <w:b/>
          <w:sz w:val="22"/>
          <w:szCs w:val="22"/>
        </w:rPr>
      </w:pPr>
      <w:r>
        <w:rPr>
          <w:rFonts w:cs="Arial" w:ascii="Cambria" w:hAnsi="Cambria" w:asciiTheme="majorHAnsi" w:hAnsiTheme="majorHAnsi"/>
          <w:sz w:val="22"/>
          <w:szCs w:val="22"/>
        </w:rPr>
        <w:t>Jeżeli Wykonawca składa wraz z ofertą informacje stanowiące tajemnicę przedsiębiorstwa, to wówczas informacje te muszą być wyodrębnione w formie osobnego pliku i złożone zgodnie z zasadami opisanymi w rozdziale 10 SWZ. Zamawiający nie ponosi odpowiedzialności za niezgodne z SWZ przygotowanie w/w pliku przez Wykonawcę. Stosowne zastrzeżenie Wykonawca winien złożyć na Formularzu Oferty (</w:t>
      </w:r>
      <w:r>
        <w:rPr>
          <w:rFonts w:cs="Arial" w:ascii="Cambria" w:hAnsi="Cambria" w:asciiTheme="majorHAnsi" w:hAnsiTheme="majorHAnsi"/>
          <w:b/>
          <w:sz w:val="22"/>
          <w:szCs w:val="22"/>
        </w:rPr>
        <w:t>Załącznik nr 2</w:t>
      </w:r>
      <w:r>
        <w:rPr>
          <w:rFonts w:cs="Arial" w:ascii="Cambria" w:hAnsi="Cambria" w:asciiTheme="majorHAnsi" w:hAnsiTheme="majorHAnsi"/>
          <w:sz w:val="22"/>
          <w:szCs w:val="22"/>
        </w:rPr>
        <w:t xml:space="preserve"> do SWZ) oraz powinien wykazać, że zastrzeżone informacje stanowią tajemnicę przedsiębiorstwa. W przeciwnym razie cała Oferta zostanie ujawniona na wniosek każdej zainteresowanej osoby.</w:t>
      </w:r>
    </w:p>
    <w:p>
      <w:pPr>
        <w:pStyle w:val="Normal"/>
        <w:widowControl w:val="false"/>
        <w:spacing w:before="120" w:after="0"/>
        <w:ind w:left="709" w:hanging="709"/>
        <w:jc w:val="both"/>
        <w:rPr>
          <w:rFonts w:ascii="Cambria" w:hAnsi="Cambria" w:cs="Arial" w:asciiTheme="majorHAnsi" w:hAnsiTheme="majorHAnsi"/>
          <w:b/>
          <w:b/>
          <w:sz w:val="22"/>
          <w:szCs w:val="22"/>
        </w:rPr>
      </w:pPr>
      <w:r>
        <w:rPr>
          <w:rFonts w:cs="Arial" w:ascii="Cambria" w:hAnsi="Cambria" w:asciiTheme="majorHAnsi" w:hAnsiTheme="majorHAnsi"/>
          <w:b/>
          <w:sz w:val="22"/>
          <w:szCs w:val="22"/>
        </w:rPr>
        <w:t>13.7.</w:t>
        <w:tab/>
      </w:r>
      <w:r>
        <w:rPr>
          <w:rFonts w:cs="Arial" w:ascii="Cambria" w:hAnsi="Cambria" w:asciiTheme="majorHAnsi" w:hAnsiTheme="majorHAnsi"/>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pPr>
        <w:pStyle w:val="Normal"/>
        <w:widowControl w:val="false"/>
        <w:spacing w:before="120" w:after="0"/>
        <w:ind w:left="709" w:hanging="709"/>
        <w:jc w:val="both"/>
        <w:rPr>
          <w:rFonts w:ascii="Cambria" w:hAnsi="Cambria" w:cs="Calibri" w:asciiTheme="majorHAnsi" w:hAnsiTheme="majorHAnsi"/>
          <w:b/>
          <w:b/>
          <w:bCs/>
          <w:color w:val="000000"/>
          <w:sz w:val="22"/>
          <w:szCs w:val="22"/>
        </w:rPr>
      </w:pPr>
      <w:r>
        <w:rPr>
          <w:rFonts w:cs="Arial" w:ascii="Cambria" w:hAnsi="Cambria" w:asciiTheme="majorHAnsi" w:hAnsiTheme="majorHAnsi"/>
          <w:b/>
          <w:sz w:val="22"/>
          <w:szCs w:val="22"/>
        </w:rPr>
        <w:t xml:space="preserve">13.8. </w:t>
        <w:tab/>
      </w:r>
      <w:r>
        <w:rPr>
          <w:rFonts w:cs="Arial" w:ascii="Cambria" w:hAnsi="Cambria" w:asciiTheme="majorHAnsi" w:hAnsiTheme="majorHAnsi"/>
          <w:sz w:val="22"/>
          <w:szCs w:val="22"/>
        </w:rPr>
        <w:t>W przypadku nieprawidłowego złożenia oferty, Zamawiający nie bierze odpowiedzialności za złe jej przesłanie lub przedterminowe otwarcie. Oferta taka nie weźmie udziału w postępowaniu.</w:t>
      </w:r>
    </w:p>
    <w:p>
      <w:pPr>
        <w:pStyle w:val="Default"/>
        <w:widowControl w:val="false"/>
        <w:spacing w:before="120" w:after="120"/>
        <w:ind w:left="709" w:hanging="709"/>
        <w:jc w:val="both"/>
        <w:rPr>
          <w:rFonts w:ascii="Cambria" w:hAnsi="Cambria" w:cs="Calibri" w:asciiTheme="majorHAnsi" w:hAnsiTheme="majorHAnsi"/>
          <w:b/>
          <w:b/>
          <w:bCs/>
          <w:sz w:val="22"/>
          <w:szCs w:val="22"/>
        </w:rPr>
      </w:pPr>
      <w:r>
        <w:rPr>
          <w:rFonts w:cs="Calibri" w:ascii="Cambria" w:hAnsi="Cambria" w:asciiTheme="majorHAnsi" w:hAnsiTheme="majorHAnsi"/>
          <w:b/>
          <w:bCs/>
          <w:sz w:val="22"/>
          <w:szCs w:val="22"/>
        </w:rPr>
        <w:t>13.9.</w:t>
        <w:tab/>
      </w:r>
      <w:r>
        <w:rPr>
          <w:rFonts w:cs="Calibri" w:ascii="Cambria" w:hAnsi="Cambria" w:asciiTheme="majorHAnsi" w:hAnsiTheme="majorHAnsi"/>
          <w:bCs/>
          <w:sz w:val="22"/>
          <w:szCs w:val="22"/>
        </w:rPr>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lub podpisem zaufanym lub podpisem osobistym poświadczające zgodność cyfrowego odwzorowania z dokumentem w postaci papierowej.</w:t>
      </w:r>
    </w:p>
    <w:p>
      <w:pPr>
        <w:pStyle w:val="Default"/>
        <w:widowControl w:val="false"/>
        <w:spacing w:before="0" w:after="120"/>
        <w:ind w:left="709" w:hanging="709"/>
        <w:jc w:val="both"/>
        <w:rPr>
          <w:rFonts w:ascii="Cambria" w:hAnsi="Cambria" w:cs="Calibri" w:asciiTheme="majorHAnsi" w:hAnsiTheme="majorHAnsi"/>
          <w:bCs/>
          <w:sz w:val="22"/>
          <w:szCs w:val="22"/>
        </w:rPr>
      </w:pPr>
      <w:r>
        <w:rPr>
          <w:rFonts w:cs="Calibri" w:ascii="Cambria" w:hAnsi="Cambria" w:asciiTheme="majorHAnsi" w:hAnsiTheme="majorHAnsi"/>
          <w:b/>
          <w:bCs/>
          <w:sz w:val="22"/>
          <w:szCs w:val="22"/>
        </w:rPr>
        <w:t>13.10.</w:t>
        <w:tab/>
      </w:r>
      <w:r>
        <w:rPr>
          <w:rFonts w:cs="Calibri" w:ascii="Cambria" w:hAnsi="Cambria" w:asciiTheme="majorHAnsi" w:hAnsiTheme="majorHAnsi"/>
          <w:bCs/>
          <w:sz w:val="22"/>
          <w:szCs w:val="22"/>
        </w:rPr>
        <w:t>Poświadczenia zgodności cyfrowego odwzorowania z dokumentem w postaci papierowej, dokonuje w przypadku:</w:t>
      </w:r>
    </w:p>
    <w:p>
      <w:pPr>
        <w:pStyle w:val="Default"/>
        <w:widowControl w:val="false"/>
        <w:numPr>
          <w:ilvl w:val="1"/>
          <w:numId w:val="35"/>
        </w:numPr>
        <w:suppressAutoHyphens w:val="false"/>
        <w:spacing w:before="0" w:after="120"/>
        <w:ind w:left="992" w:hanging="272"/>
        <w:jc w:val="both"/>
        <w:rPr>
          <w:rFonts w:ascii="Cambria" w:hAnsi="Cambria" w:cs="Calibri" w:asciiTheme="majorHAnsi" w:hAnsiTheme="majorHAnsi"/>
          <w:bCs/>
          <w:sz w:val="22"/>
          <w:szCs w:val="22"/>
        </w:rPr>
      </w:pPr>
      <w:r>
        <w:rPr>
          <w:rFonts w:cs="Calibri" w:ascii="Cambria" w:hAnsi="Cambria" w:asciiTheme="majorHAnsi" w:hAnsiTheme="majorHAnsi"/>
          <w:bCs/>
          <w:sz w:val="22"/>
          <w:szCs w:val="22"/>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pPr>
        <w:pStyle w:val="Default"/>
        <w:widowControl w:val="false"/>
        <w:numPr>
          <w:ilvl w:val="1"/>
          <w:numId w:val="35"/>
        </w:numPr>
        <w:suppressAutoHyphens w:val="false"/>
        <w:spacing w:before="0" w:after="120"/>
        <w:ind w:left="992" w:hanging="272"/>
        <w:jc w:val="both"/>
        <w:rPr>
          <w:rFonts w:ascii="Cambria" w:hAnsi="Cambria" w:cs="Calibri" w:asciiTheme="majorHAnsi" w:hAnsiTheme="majorHAnsi"/>
          <w:bCs/>
          <w:sz w:val="22"/>
          <w:szCs w:val="22"/>
        </w:rPr>
      </w:pPr>
      <w:r>
        <w:rPr>
          <w:rFonts w:cs="Calibri" w:ascii="Cambria" w:hAnsi="Cambria" w:asciiTheme="majorHAnsi" w:hAnsiTheme="majorHAnsi"/>
          <w:bCs/>
          <w:sz w:val="22"/>
          <w:szCs w:val="22"/>
        </w:rPr>
        <w:t>przedmiotowych środków dowodowych – odpowiednio wykonawca lub wykonawca wspólnie ubiegający się o udzielenie zamówienia;</w:t>
      </w:r>
    </w:p>
    <w:p>
      <w:pPr>
        <w:pStyle w:val="Default"/>
        <w:widowControl w:val="false"/>
        <w:numPr>
          <w:ilvl w:val="1"/>
          <w:numId w:val="35"/>
        </w:numPr>
        <w:suppressAutoHyphens w:val="false"/>
        <w:spacing w:before="0" w:after="240"/>
        <w:ind w:left="993" w:hanging="273"/>
        <w:jc w:val="both"/>
        <w:rPr>
          <w:rFonts w:ascii="Cambria" w:hAnsi="Cambria" w:cs="Calibri" w:asciiTheme="majorHAnsi" w:hAnsiTheme="majorHAnsi"/>
          <w:b/>
          <w:b/>
          <w:bCs/>
          <w:sz w:val="22"/>
          <w:szCs w:val="22"/>
        </w:rPr>
      </w:pPr>
      <w:r>
        <w:rPr>
          <w:rFonts w:cs="Calibri" w:ascii="Cambria" w:hAnsi="Cambria" w:asciiTheme="majorHAnsi" w:hAnsiTheme="majorHAnsi"/>
          <w:bCs/>
          <w:sz w:val="22"/>
          <w:szCs w:val="22"/>
        </w:rPr>
        <w:t>innych dokumentów, w tym dokumentów, o których mowa w art. 94 ust. 2 ustawy – odpowiednio wykonawca lub wykonawca wspólnie ubiegający się o udzielenie zamówienia, w zakresie dokumentów, które każdego z nich dotyczą.</w:t>
      </w:r>
    </w:p>
    <w:p>
      <w:pPr>
        <w:pStyle w:val="Default"/>
        <w:widowControl w:val="false"/>
        <w:spacing w:before="0" w:after="240"/>
        <w:ind w:left="709" w:hanging="709"/>
        <w:jc w:val="both"/>
        <w:rPr>
          <w:rFonts w:ascii="Cambria" w:hAnsi="Cambria" w:cs="Calibri" w:asciiTheme="majorHAnsi" w:hAnsiTheme="majorHAnsi"/>
          <w:b/>
          <w:b/>
          <w:bCs/>
          <w:sz w:val="22"/>
          <w:szCs w:val="22"/>
        </w:rPr>
      </w:pPr>
      <w:r>
        <w:rPr>
          <w:rFonts w:cs="Calibri" w:ascii="Cambria" w:hAnsi="Cambria" w:asciiTheme="majorHAnsi" w:hAnsiTheme="majorHAnsi"/>
          <w:b/>
          <w:bCs/>
          <w:sz w:val="22"/>
          <w:szCs w:val="22"/>
        </w:rPr>
        <w:t>13.11.</w:t>
        <w:tab/>
      </w:r>
      <w:r>
        <w:rPr>
          <w:rFonts w:cs="Calibri" w:ascii="Cambria" w:hAnsi="Cambria" w:asciiTheme="majorHAnsi" w:hAnsiTheme="majorHAnsi"/>
          <w:bCs/>
          <w:sz w:val="22"/>
          <w:szCs w:val="22"/>
        </w:rPr>
        <w:t>Poświadczenia zgodności cyfrowego odwzorowania z dokumentem w postaci papierowej może dokonać również notariusz.</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bCs/>
          <w:sz w:val="22"/>
          <w:szCs w:val="22"/>
        </w:rPr>
        <w:t>13.12.</w:t>
        <w:tab/>
      </w:r>
      <w:r>
        <w:rPr>
          <w:rFonts w:cs="Calibri" w:ascii="Cambria" w:hAnsi="Cambria" w:asciiTheme="majorHAnsi" w:hAnsiTheme="majorHAnsi"/>
          <w:sz w:val="22"/>
          <w:szCs w:val="22"/>
        </w:rPr>
        <w:t xml:space="preserve">Jeżeli któryś z wymaganych dokumentów składanych przez Wykonawcę jest sporządzony w języku obcym, dokument taki należy złożyć wraz z tłumaczeniem na język polski. </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13.13.</w:t>
        <w:tab/>
      </w:r>
      <w:r>
        <w:rPr>
          <w:rFonts w:cs="Calibri" w:ascii="Cambria" w:hAnsi="Cambria" w:asciiTheme="majorHAnsi" w:hAnsiTheme="majorHAnsi"/>
          <w:sz w:val="22"/>
          <w:szCs w:val="22"/>
        </w:rPr>
        <w:t>Wykonawca nie może wprowadzić zmian do oferty oraz wycofać jej po upływie terminu składania ofert.</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13.14.</w:t>
        <w:tab/>
      </w:r>
      <w:r>
        <w:rPr>
          <w:rFonts w:cs="Calibri" w:ascii="Cambria" w:hAnsi="Cambria" w:asciiTheme="majorHAnsi" w:hAnsiTheme="majorHAnsi"/>
          <w:sz w:val="22"/>
          <w:szCs w:val="22"/>
        </w:rPr>
        <w:t xml:space="preserve">Pełnomocnictwo Wykonawców wspólnie ubiegających się o udzielenie zamówienia (konsorcjum)  powinno być w formie elektronicznej (czyli opatrzoną podpisem kwalifikowanym) lub w postaci elektronicznej opatrzonej podpisem zaufanym lub podpisem osobistym osób upoważnionych do reprezentowania Wykonawców oraz zostać przekazane w ofercie wspólnej Wykonawców. </w:t>
      </w:r>
    </w:p>
    <w:p>
      <w:pPr>
        <w:pStyle w:val="Default"/>
        <w:widowControl w:val="false"/>
        <w:spacing w:before="0" w:after="240"/>
        <w:ind w:left="709" w:hanging="709"/>
        <w:jc w:val="both"/>
        <w:rPr>
          <w:rFonts w:ascii="Cambria" w:hAnsi="Cambria" w:cs="Calibri" w:asciiTheme="majorHAnsi" w:hAnsiTheme="majorHAnsi"/>
          <w:sz w:val="22"/>
          <w:szCs w:val="22"/>
        </w:rPr>
      </w:pPr>
      <w:r>
        <w:rPr>
          <w:rFonts w:cs="Calibri" w:ascii="Cambria" w:hAnsi="Cambria" w:asciiTheme="majorHAnsi" w:hAnsiTheme="majorHAnsi"/>
          <w:b/>
          <w:sz w:val="22"/>
          <w:szCs w:val="22"/>
        </w:rPr>
        <w:t>13.15.</w:t>
        <w:tab/>
      </w:r>
      <w:r>
        <w:rPr>
          <w:rFonts w:cs="Calibri" w:ascii="Cambria" w:hAnsi="Cambria" w:asciiTheme="majorHAnsi" w:hAnsiTheme="majorHAnsi"/>
          <w:sz w:val="22"/>
          <w:szCs w:val="22"/>
        </w:rPr>
        <w:t xml:space="preserve">Pełnomocnik, o którym mowa powyżej, pozostaje w kontakcie z Zamawiającym </w:t>
        <w:br/>
        <w:t xml:space="preserve">w toku postępowania i do niego Zamawiający kieruje informacje, korespondencję itp. Wszelkie oświadczenia pełnomocnika Zamawiający uzna za wiążące dla wszystkich Wykonawców składających ofertę wspólną. </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sz w:val="22"/>
          <w:szCs w:val="22"/>
        </w:rPr>
        <w:tab/>
        <w:t xml:space="preserve">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 Wspólnicy spółki cywilnej są traktowani jak Wykonawcy składający ofertę wspólną. </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13.16.</w:t>
        <w:tab/>
      </w:r>
      <w:r>
        <w:rPr>
          <w:rFonts w:cs="Calibri" w:ascii="Cambria" w:hAnsi="Cambria" w:asciiTheme="majorHAnsi" w:hAnsiTheme="majorHAnsi"/>
          <w:sz w:val="22"/>
          <w:szCs w:val="22"/>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13.17.</w:t>
        <w:tab/>
      </w:r>
      <w:r>
        <w:rPr>
          <w:rFonts w:cs="Calibri" w:ascii="Cambria" w:hAnsi="Cambria" w:asciiTheme="majorHAnsi" w:hAnsiTheme="majorHAnsi"/>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13.18.</w:t>
        <w:tab/>
      </w:r>
      <w:r>
        <w:rPr>
          <w:rFonts w:cs="Calibri" w:ascii="Cambria" w:hAnsi="Cambria" w:asciiTheme="majorHAnsi" w:hAnsiTheme="majorHAnsi"/>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13.19.</w:t>
        <w:tab/>
      </w:r>
      <w:r>
        <w:rPr>
          <w:rFonts w:cs="Calibri" w:ascii="Cambria" w:hAnsi="Cambria" w:asciiTheme="majorHAnsi" w:hAnsiTheme="majorHAnsi"/>
          <w:sz w:val="22"/>
          <w:szCs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13.20.</w:t>
        <w:tab/>
      </w:r>
      <w:r>
        <w:rPr>
          <w:rFonts w:cs="Calibri" w:ascii="Cambria" w:hAnsi="Cambria" w:asciiTheme="majorHAnsi" w:hAnsiTheme="majorHAnsi"/>
          <w:sz w:val="22"/>
          <w:szCs w:val="22"/>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13.21.</w:t>
        <w:tab/>
      </w:r>
      <w:r>
        <w:rPr>
          <w:rFonts w:cs="Calibri" w:ascii="Cambria" w:hAnsi="Cambria" w:asciiTheme="majorHAnsi" w:hAnsiTheme="majorHAnsi"/>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13.22.</w:t>
        <w:tab/>
      </w:r>
      <w:r>
        <w:rPr>
          <w:rFonts w:cs="Calibri" w:ascii="Cambria" w:hAnsi="Cambria" w:asciiTheme="majorHAnsi" w:hAnsiTheme="majorHAnsi"/>
          <w:sz w:val="22"/>
          <w:szCs w:val="22"/>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pPr>
        <w:pStyle w:val="Default"/>
        <w:widowControl w:val="false"/>
        <w:spacing w:before="0" w:after="240"/>
        <w:ind w:left="709" w:hanging="709"/>
        <w:rPr>
          <w:rFonts w:ascii="Cambria" w:hAnsi="Cambria" w:cs="Calibri" w:asciiTheme="majorHAnsi" w:hAnsiTheme="majorHAnsi"/>
          <w:b/>
          <w:b/>
          <w:sz w:val="22"/>
          <w:szCs w:val="22"/>
        </w:rPr>
      </w:pPr>
      <w:r>
        <w:rPr>
          <w:rFonts w:cs="Calibri" w:ascii="Cambria" w:hAnsi="Cambria" w:asciiTheme="majorHAnsi" w:hAnsiTheme="majorHAnsi"/>
          <w:b/>
          <w:sz w:val="22"/>
          <w:szCs w:val="22"/>
        </w:rPr>
        <w:t>13.23.</w:t>
        <w:tab/>
      </w:r>
      <w:r>
        <w:rPr>
          <w:rFonts w:cs="Calibri" w:ascii="Cambria" w:hAnsi="Cambria" w:asciiTheme="majorHAnsi" w:hAnsiTheme="majorHAnsi"/>
          <w:sz w:val="22"/>
          <w:szCs w:val="22"/>
        </w:rPr>
        <w:t>Oferta może być złożona tylko do upływu terminu składania ofert.</w:t>
      </w:r>
    </w:p>
    <w:p>
      <w:pPr>
        <w:pStyle w:val="Default"/>
        <w:widowControl w:val="false"/>
        <w:spacing w:before="0" w:after="240"/>
        <w:ind w:left="709" w:hanging="709"/>
        <w:jc w:val="both"/>
        <w:rPr>
          <w:rFonts w:ascii="Cambria" w:hAnsi="Cambria" w:cs="Calibri" w:asciiTheme="majorHAnsi" w:hAnsiTheme="majorHAnsi"/>
          <w:b/>
          <w:b/>
          <w:sz w:val="22"/>
          <w:szCs w:val="22"/>
        </w:rPr>
      </w:pPr>
      <w:r>
        <w:rPr>
          <w:rFonts w:cs="Calibri" w:ascii="Cambria" w:hAnsi="Cambria" w:asciiTheme="majorHAnsi" w:hAnsiTheme="majorHAnsi"/>
          <w:b/>
          <w:sz w:val="22"/>
          <w:szCs w:val="22"/>
        </w:rPr>
        <w:t>13.24.</w:t>
        <w:tab/>
      </w:r>
      <w:r>
        <w:rPr>
          <w:rFonts w:cs="Calibri" w:ascii="Cambria" w:hAnsi="Cambria" w:asciiTheme="majorHAnsi" w:hAnsiTheme="majorHAnsi"/>
          <w:sz w:val="22"/>
          <w:szCs w:val="22"/>
        </w:rPr>
        <w:t>Wykonawca może przed upływem terminu składania ofert wycofać ofertę. Wykonawca wycofuje ofertę w zakładce „Oferty/wnioski” używając przycisku „Wycofaj ofertę”.</w:t>
      </w:r>
    </w:p>
    <w:p>
      <w:pPr>
        <w:pStyle w:val="Default"/>
        <w:widowControl w:val="false"/>
        <w:spacing w:before="0" w:after="240"/>
        <w:ind w:left="709" w:hanging="709"/>
        <w:jc w:val="both"/>
        <w:rPr>
          <w:rFonts w:ascii="Cambria" w:hAnsi="Cambria" w:eastAsia="Arial" w:cs="Cambria" w:asciiTheme="majorHAnsi" w:hAnsiTheme="majorHAnsi"/>
          <w:b/>
          <w:b/>
          <w:sz w:val="22"/>
          <w:szCs w:val="22"/>
        </w:rPr>
      </w:pPr>
      <w:r>
        <w:rPr>
          <w:rFonts w:cs="Calibri" w:ascii="Cambria" w:hAnsi="Cambria" w:asciiTheme="majorHAnsi" w:hAnsiTheme="majorHAnsi"/>
          <w:b/>
          <w:sz w:val="22"/>
          <w:szCs w:val="22"/>
        </w:rPr>
        <w:t>13.25.</w:t>
        <w:tab/>
      </w:r>
      <w:r>
        <w:rPr>
          <w:rFonts w:ascii="Cambria" w:hAnsi="Cambria" w:asciiTheme="majorHAnsi" w:hAnsiTheme="majorHAnsi"/>
        </w:rPr>
        <w:t>Maksymalny łączny rozmiar plików stanowiących ofertę lub składanych wraz z ofertą to 250 MB.</w:t>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80"/>
        <w:gridCol w:w="8595"/>
      </w:tblGrid>
      <w:tr>
        <w:trPr>
          <w:trHeight w:val="507" w:hRule="atLeast"/>
        </w:trPr>
        <w:tc>
          <w:tcPr>
            <w:tcW w:w="480" w:type="dxa"/>
            <w:tcBorders/>
            <w:shd w:color="auto" w:fill="E7E6E6" w:val="clear"/>
          </w:tcPr>
          <w:p>
            <w:pPr>
              <w:pStyle w:val="Normal"/>
              <w:spacing w:before="240" w:after="240"/>
              <w:ind w:left="55" w:right="-56"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14. </w:t>
            </w:r>
          </w:p>
        </w:tc>
        <w:tc>
          <w:tcPr>
            <w:tcW w:w="8595"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 xml:space="preserve">MIEJSCE ORAZ TERMIN SKŁADANIA I OTWARCIA OFERT </w:t>
            </w:r>
          </w:p>
        </w:tc>
      </w:tr>
    </w:tbl>
    <w:p>
      <w:pPr>
        <w:pStyle w:val="Normal"/>
        <w:numPr>
          <w:ilvl w:val="0"/>
          <w:numId w:val="5"/>
        </w:numPr>
        <w:spacing w:before="240" w:after="240"/>
        <w:ind w:left="426" w:hanging="426"/>
        <w:jc w:val="both"/>
        <w:rPr/>
      </w:pPr>
      <w:r>
        <w:rPr>
          <w:rFonts w:cs="Cambria" w:ascii="Cambria" w:hAnsi="Cambria" w:asciiTheme="majorHAnsi" w:hAnsiTheme="majorHAnsi"/>
          <w:color w:val="000000"/>
          <w:sz w:val="22"/>
          <w:szCs w:val="22"/>
        </w:rPr>
        <w:t>Termin składania ofe</w:t>
      </w:r>
      <w:r>
        <w:rPr>
          <w:rFonts w:cs="Cambria" w:ascii="Cambria" w:hAnsi="Cambria" w:asciiTheme="majorHAnsi" w:hAnsiTheme="majorHAnsi"/>
          <w:b/>
          <w:bCs/>
          <w:color w:val="000000"/>
          <w:sz w:val="22"/>
          <w:szCs w:val="22"/>
        </w:rPr>
        <w:t xml:space="preserve">rt 24.08.2026 r. godz. 9.00 </w:t>
      </w:r>
    </w:p>
    <w:p>
      <w:pPr>
        <w:pStyle w:val="Normal"/>
        <w:numPr>
          <w:ilvl w:val="0"/>
          <w:numId w:val="5"/>
        </w:numPr>
        <w:spacing w:before="240" w:after="240"/>
        <w:ind w:left="426" w:hanging="426"/>
        <w:jc w:val="both"/>
        <w:rPr/>
      </w:pPr>
      <w:r>
        <w:rPr>
          <w:rFonts w:cs="Cambria" w:ascii="Cambria" w:hAnsi="Cambria" w:asciiTheme="majorHAnsi" w:hAnsiTheme="majorHAnsi"/>
          <w:b/>
          <w:bCs/>
          <w:color w:val="000000"/>
          <w:sz w:val="22"/>
          <w:szCs w:val="22"/>
        </w:rPr>
        <w:t xml:space="preserve">Termin otwarcia ofert  </w:t>
      </w:r>
      <w:r>
        <w:rPr>
          <w:rFonts w:cs="Cambria" w:ascii="Cambria" w:hAnsi="Cambria" w:asciiTheme="majorHAnsi" w:hAnsiTheme="majorHAnsi"/>
          <w:b/>
          <w:bCs/>
          <w:color w:val="000000"/>
          <w:sz w:val="22"/>
          <w:szCs w:val="22"/>
          <w:shd w:fill="FFFFFF" w:val="clear"/>
        </w:rPr>
        <w:t xml:space="preserve"> 24</w:t>
      </w:r>
      <w:r>
        <w:rPr>
          <w:rFonts w:cs="Cambria" w:ascii="Cambria" w:hAnsi="Cambria" w:asciiTheme="majorHAnsi" w:hAnsiTheme="majorHAnsi"/>
          <w:b/>
          <w:bCs/>
          <w:color w:val="000000"/>
          <w:sz w:val="22"/>
          <w:szCs w:val="22"/>
        </w:rPr>
        <w:t>.08.2026 r.  godz. 9.10</w:t>
      </w:r>
    </w:p>
    <w:p>
      <w:pPr>
        <w:pStyle w:val="Normal"/>
        <w:numPr>
          <w:ilvl w:val="0"/>
          <w:numId w:val="5"/>
        </w:numPr>
        <w:spacing w:before="24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O terminie złożenia oferty decyduje czas pełnego przeprocesowania transakcji na Platformie. </w:t>
      </w:r>
    </w:p>
    <w:p>
      <w:pPr>
        <w:pStyle w:val="Normal"/>
        <w:numPr>
          <w:ilvl w:val="0"/>
          <w:numId w:val="5"/>
        </w:numPr>
        <w:spacing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Najpóźniej przed otwarciem ofert, udostępnia się na stronie internetowej prowadzonego postępowania informację o kwocie, jaką zamierza się przeznaczyć na sfinansowanie zamówienia.  </w:t>
      </w:r>
    </w:p>
    <w:p>
      <w:pPr>
        <w:pStyle w:val="Normal"/>
        <w:numPr>
          <w:ilvl w:val="0"/>
          <w:numId w:val="5"/>
        </w:numPr>
        <w:spacing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Niezwłocznie po otwarciu ofert, udostępnia się na stronie internetowej prowadzonego postępowania informacje o :  </w:t>
      </w:r>
    </w:p>
    <w:p>
      <w:pPr>
        <w:pStyle w:val="Normal"/>
        <w:numPr>
          <w:ilvl w:val="0"/>
          <w:numId w:val="21"/>
        </w:numPr>
        <w:spacing w:before="0" w:after="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nazwach albo imionach i nazwiskach oraz siedzibach lub miejscach prowadzonej działalności gospodarczej albo miejscach zamieszkania wykonawców, których oferty zostały otwarte;  </w:t>
      </w:r>
    </w:p>
    <w:p>
      <w:pPr>
        <w:pStyle w:val="Normal"/>
        <w:numPr>
          <w:ilvl w:val="0"/>
          <w:numId w:val="21"/>
        </w:numPr>
        <w:spacing w:before="0" w:after="240"/>
        <w:jc w:val="both"/>
        <w:rPr>
          <w:rFonts w:ascii="Cambria" w:hAnsi="Cambria" w:eastAsia="Calibri" w:cs="Cambria" w:asciiTheme="majorHAnsi" w:hAnsiTheme="majorHAnsi"/>
          <w:b/>
          <w:b/>
          <w:bCs/>
          <w:sz w:val="22"/>
          <w:szCs w:val="22"/>
          <w:lang w:eastAsia="en-US"/>
        </w:rPr>
      </w:pPr>
      <w:r>
        <w:rPr>
          <w:rFonts w:cs="Cambria" w:ascii="Cambria" w:hAnsi="Cambria" w:asciiTheme="majorHAnsi" w:hAnsiTheme="majorHAnsi"/>
          <w:color w:val="000000"/>
          <w:sz w:val="22"/>
          <w:szCs w:val="22"/>
        </w:rPr>
        <w:t xml:space="preserve">cenach lub kosztach zawartych w ofertach. </w:t>
      </w:r>
    </w:p>
    <w:p>
      <w:pPr>
        <w:pStyle w:val="Lista"/>
        <w:spacing w:before="120" w:after="240"/>
        <w:ind w:left="426" w:hanging="426"/>
        <w:jc w:val="both"/>
        <w:rPr>
          <w:rFonts w:ascii="Cambria" w:hAnsi="Cambria" w:eastAsia="Arial" w:cs="Cambria" w:asciiTheme="majorHAnsi" w:hAnsiTheme="majorHAnsi"/>
          <w:b/>
          <w:b/>
          <w:bCs/>
          <w:color w:val="000000"/>
          <w:sz w:val="22"/>
          <w:szCs w:val="22"/>
          <w:lang w:eastAsia="en-US"/>
        </w:rPr>
      </w:pPr>
      <w:r>
        <w:rPr>
          <w:rFonts w:eastAsia="Calibri" w:cs="Cambria" w:ascii="Cambria" w:hAnsi="Cambria" w:asciiTheme="majorHAnsi" w:hAnsiTheme="majorHAnsi"/>
          <w:b/>
          <w:bCs/>
          <w:sz w:val="22"/>
          <w:szCs w:val="22"/>
          <w:lang w:eastAsia="en-US"/>
        </w:rPr>
        <w:t>6.</w:t>
        <w:tab/>
      </w:r>
      <w:r>
        <w:rPr>
          <w:rFonts w:eastAsia="Calibri" w:cs="Cambria" w:ascii="Cambria" w:hAnsi="Cambria" w:asciiTheme="majorHAnsi" w:hAnsiTheme="majorHAnsi"/>
          <w:bCs/>
          <w:sz w:val="22"/>
          <w:szCs w:val="22"/>
          <w:lang w:eastAsia="en-US"/>
        </w:rPr>
        <w:t>W przypadku awarii sytemu teleinformatycznego przy użyciu którego Zamawiający dokonuje otwarcia ofert, która powoduje brak możliwości otwarcia ofert w terminie określonym przez Zamawiającego, otwarcie ofert następuje niezwłocznie po usunięciu awarii. Zamawiający poinformuje o zmianie terminu otwarcia ofert na stronie internetowej prowadzonego postępowania.</w:t>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80"/>
        <w:gridCol w:w="8595"/>
      </w:tblGrid>
      <w:tr>
        <w:trPr>
          <w:trHeight w:val="600" w:hRule="atLeast"/>
        </w:trPr>
        <w:tc>
          <w:tcPr>
            <w:tcW w:w="480" w:type="dxa"/>
            <w:tcBorders/>
            <w:shd w:color="auto" w:fill="E7E6E6" w:val="clear"/>
          </w:tcPr>
          <w:p>
            <w:pPr>
              <w:pStyle w:val="Normal"/>
              <w:spacing w:before="240" w:after="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15. </w:t>
            </w:r>
          </w:p>
        </w:tc>
        <w:tc>
          <w:tcPr>
            <w:tcW w:w="8595"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 xml:space="preserve">SPOSÓB OBLICZENIA CENY  </w:t>
            </w:r>
          </w:p>
        </w:tc>
      </w:tr>
    </w:tbl>
    <w:p>
      <w:pPr>
        <w:pStyle w:val="Normal"/>
        <w:numPr>
          <w:ilvl w:val="0"/>
          <w:numId w:val="42"/>
        </w:numPr>
        <w:tabs>
          <w:tab w:val="clear" w:pos="709"/>
          <w:tab w:val="left" w:pos="426" w:leader="none"/>
        </w:tabs>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Wykonawca zobowiązany jest podać w Ofercie (</w:t>
      </w:r>
      <w:r>
        <w:rPr>
          <w:rFonts w:cs="Cambria" w:ascii="Cambria" w:hAnsi="Cambria" w:asciiTheme="majorHAnsi" w:hAnsiTheme="majorHAnsi"/>
          <w:b/>
          <w:color w:val="000000"/>
          <w:sz w:val="22"/>
          <w:szCs w:val="22"/>
        </w:rPr>
        <w:t>Załącznik 2 do SWZ</w:t>
      </w:r>
      <w:r>
        <w:rPr>
          <w:rFonts w:cs="Cambria" w:ascii="Cambria" w:hAnsi="Cambria" w:asciiTheme="majorHAnsi" w:hAnsiTheme="majorHAnsi"/>
          <w:color w:val="000000"/>
          <w:sz w:val="22"/>
          <w:szCs w:val="22"/>
        </w:rPr>
        <w:t>) łączną cenę brutto za cały przedmiot zamówienia. Cena powinna wynikać z załączonego kosztorysu ofertowego  sporządzonego metodą uproszczoną w oparciu o udostępnione przez Zamawiającego przedmiary.</w:t>
      </w:r>
    </w:p>
    <w:p>
      <w:pPr>
        <w:pStyle w:val="Normal"/>
        <w:numPr>
          <w:ilvl w:val="0"/>
          <w:numId w:val="42"/>
        </w:numPr>
        <w:tabs>
          <w:tab w:val="clear" w:pos="709"/>
          <w:tab w:val="left" w:pos="426" w:leader="none"/>
        </w:tabs>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Cena oferty musi być tak podana, aby pokrywać wszelkie koszty i ryzyka Wykonawcy związane z realizacją czynności, której dotyczy. Wykonawca nie może kosztów realizacji danej czynności doliczać do kosztów realizacji innych czynności. Cena łączna wynikająca z całego OPZ powinna zostać ujawniona w ofercie (</w:t>
      </w:r>
      <w:r>
        <w:rPr>
          <w:rFonts w:cs="Cambria" w:ascii="Cambria" w:hAnsi="Cambria" w:asciiTheme="majorHAnsi" w:hAnsiTheme="majorHAnsi"/>
          <w:b/>
          <w:color w:val="000000"/>
          <w:sz w:val="22"/>
          <w:szCs w:val="22"/>
        </w:rPr>
        <w:t>Załącznik nr 2</w:t>
      </w:r>
      <w:r>
        <w:rPr>
          <w:rFonts w:cs="Cambria" w:ascii="Cambria" w:hAnsi="Cambria" w:asciiTheme="majorHAnsi" w:hAnsiTheme="majorHAnsi"/>
          <w:color w:val="000000"/>
          <w:sz w:val="22"/>
          <w:szCs w:val="22"/>
        </w:rPr>
        <w:t xml:space="preserve"> do SWZ).</w:t>
      </w:r>
    </w:p>
    <w:p>
      <w:pPr>
        <w:pStyle w:val="Normal"/>
        <w:numPr>
          <w:ilvl w:val="0"/>
          <w:numId w:val="42"/>
        </w:numPr>
        <w:tabs>
          <w:tab w:val="clear" w:pos="709"/>
          <w:tab w:val="left" w:pos="426" w:leader="none"/>
        </w:tabs>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Cenę za wykonanie całego przedmiotu zamówienia należy podać w złotych w kwocie brutto w odniesieniu do całego przedmiotu zamówienia z dokładnością do dwóch miejsc po przecinku (zgodnie z matematycznymi zasadami zaokrągleń) wraz z wyszczególnieniem zastosowanej stawki podatku VAT.</w:t>
      </w:r>
    </w:p>
    <w:p>
      <w:pPr>
        <w:pStyle w:val="Normal"/>
        <w:numPr>
          <w:ilvl w:val="0"/>
          <w:numId w:val="42"/>
        </w:numPr>
        <w:tabs>
          <w:tab w:val="clear" w:pos="709"/>
          <w:tab w:val="left" w:pos="426" w:leader="none"/>
        </w:tabs>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Stawkę podatku od towarów i usług (VAT) należy uwzględnić w wysokości obowiązującej na dzień składania ofert.</w:t>
      </w:r>
    </w:p>
    <w:p>
      <w:pPr>
        <w:pStyle w:val="Normal"/>
        <w:numPr>
          <w:ilvl w:val="0"/>
          <w:numId w:val="42"/>
        </w:numPr>
        <w:tabs>
          <w:tab w:val="clear" w:pos="709"/>
          <w:tab w:val="left" w:pos="426" w:leader="none"/>
        </w:tabs>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Określony w SWZ rzeczowy zakres przedmiotu zamówienia oraz postanowienia wynikające z wzoru umowy załączonego do SWZ (</w:t>
      </w:r>
      <w:r>
        <w:rPr>
          <w:rFonts w:cs="Cambria" w:ascii="Cambria" w:hAnsi="Cambria" w:asciiTheme="majorHAnsi" w:hAnsiTheme="majorHAnsi"/>
          <w:b/>
          <w:color w:val="000000"/>
          <w:sz w:val="22"/>
          <w:szCs w:val="22"/>
        </w:rPr>
        <w:t>Załącznik nr 9 do SWZ</w:t>
      </w:r>
      <w:r>
        <w:rPr>
          <w:rFonts w:cs="Cambria" w:ascii="Cambria" w:hAnsi="Cambria" w:asciiTheme="majorHAnsi" w:hAnsiTheme="majorHAnsi"/>
          <w:color w:val="000000"/>
          <w:sz w:val="22"/>
          <w:szCs w:val="22"/>
        </w:rPr>
        <w:t>) stanowią podstawę do obliczenia cen oferty.</w:t>
      </w:r>
    </w:p>
    <w:p>
      <w:pPr>
        <w:pStyle w:val="Normal"/>
        <w:numPr>
          <w:ilvl w:val="0"/>
          <w:numId w:val="42"/>
        </w:numPr>
        <w:tabs>
          <w:tab w:val="clear" w:pos="709"/>
          <w:tab w:val="left" w:pos="426" w:leader="none"/>
        </w:tabs>
        <w:spacing w:before="240" w:after="240"/>
        <w:jc w:val="both"/>
        <w:rPr>
          <w:rFonts w:ascii="Cambria" w:hAnsi="Cambria" w:asciiTheme="majorHAnsi" w:hAnsiTheme="majorHAnsi"/>
        </w:rPr>
      </w:pPr>
      <w:r>
        <w:rPr>
          <w:rFonts w:cs="Cambria" w:ascii="Cambria" w:hAnsi="Cambria" w:asciiTheme="majorHAnsi" w:hAnsiTheme="majorHAnsi"/>
          <w:color w:val="000000"/>
          <w:sz w:val="22"/>
          <w:szCs w:val="22"/>
        </w:rPr>
        <w:t>Wykonawca, składając ofertę, obowiązany jest poinformować Zamawiającego (w Ofercie –</w:t>
      </w:r>
      <w:r>
        <w:rPr>
          <w:rFonts w:cs="Cambria" w:ascii="Cambria" w:hAnsi="Cambria" w:asciiTheme="majorHAnsi" w:hAnsiTheme="majorHAnsi"/>
          <w:b/>
          <w:color w:val="000000"/>
          <w:sz w:val="22"/>
          <w:szCs w:val="22"/>
        </w:rPr>
        <w:t>Załącznik nr 2</w:t>
      </w:r>
      <w:r>
        <w:rPr>
          <w:rFonts w:cs="Cambria" w:ascii="Cambria" w:hAnsi="Cambria" w:asciiTheme="majorHAnsi" w:hAnsiTheme="majorHAnsi"/>
          <w:color w:val="000000"/>
          <w:sz w:val="22"/>
          <w:szCs w:val="22"/>
        </w:rPr>
        <w:t xml:space="preserve"> do SWZ),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2 do SWZ)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 </w:t>
      </w:r>
    </w:p>
    <w:p>
      <w:pPr>
        <w:pStyle w:val="Normal"/>
        <w:tabs>
          <w:tab w:val="clear" w:pos="709"/>
          <w:tab w:val="left" w:pos="426" w:leader="none"/>
        </w:tabs>
        <w:spacing w:before="240" w:after="240"/>
        <w:ind w:left="720" w:hanging="0"/>
        <w:jc w:val="both"/>
        <w:rPr>
          <w:rFonts w:ascii="Cambria" w:hAnsi="Cambria" w:asciiTheme="majorHAnsi" w:hAnsiTheme="majorHAnsi"/>
        </w:rPr>
      </w:pPr>
      <w:r>
        <w:rPr>
          <w:rFonts w:cs="Cambria" w:ascii="Cambria" w:hAnsi="Cambria" w:asciiTheme="majorHAnsi" w:hAnsiTheme="majorHAnsi"/>
          <w:color w:val="000000"/>
          <w:sz w:val="22"/>
          <w:szCs w:val="22"/>
        </w:rPr>
        <w:t>Uwaga ! Zamawiający informuje, że jest czynnym podatnikiem podatku VAT.</w:t>
      </w:r>
    </w:p>
    <w:p>
      <w:pPr>
        <w:pStyle w:val="Normal"/>
        <w:numPr>
          <w:ilvl w:val="0"/>
          <w:numId w:val="42"/>
        </w:numPr>
        <w:tabs>
          <w:tab w:val="clear" w:pos="709"/>
          <w:tab w:val="left" w:pos="426" w:leader="none"/>
        </w:tabs>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Rozliczenia między Zamawiającym a Wykonawcą nie będą prowadzone w walucie obcej.</w:t>
      </w:r>
    </w:p>
    <w:tbl>
      <w:tblPr>
        <w:tblW w:w="9300" w:type="dxa"/>
        <w:jc w:val="left"/>
        <w:tblInd w:w="70" w:type="dxa"/>
        <w:tblCellMar>
          <w:top w:w="83" w:type="dxa"/>
          <w:left w:w="0" w:type="dxa"/>
          <w:bottom w:w="0" w:type="dxa"/>
          <w:right w:w="115" w:type="dxa"/>
        </w:tblCellMar>
        <w:tblLook w:firstRow="0" w:noVBand="0" w:lastRow="0" w:firstColumn="0" w:lastColumn="0" w:noHBand="0" w:val="0000"/>
      </w:tblPr>
      <w:tblGrid>
        <w:gridCol w:w="637"/>
        <w:gridCol w:w="8662"/>
      </w:tblGrid>
      <w:tr>
        <w:trPr>
          <w:trHeight w:val="603" w:hRule="atLeast"/>
        </w:trPr>
        <w:tc>
          <w:tcPr>
            <w:tcW w:w="637" w:type="dxa"/>
            <w:tcBorders/>
            <w:shd w:color="auto" w:fill="E7E6E6" w:val="clear"/>
          </w:tcPr>
          <w:p>
            <w:pPr>
              <w:pStyle w:val="Normal"/>
              <w:spacing w:before="240" w:after="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16. </w:t>
            </w:r>
          </w:p>
        </w:tc>
        <w:tc>
          <w:tcPr>
            <w:tcW w:w="8662" w:type="dxa"/>
            <w:tcBorders/>
            <w:shd w:color="auto" w:fill="E7E6E6" w:val="clear"/>
          </w:tcPr>
          <w:p>
            <w:pPr>
              <w:pStyle w:val="Normal"/>
              <w:spacing w:before="240" w:after="240"/>
              <w:ind w:left="224" w:hanging="0"/>
              <w:jc w:val="both"/>
              <w:rPr>
                <w:rFonts w:ascii="Cambria" w:hAnsi="Cambria" w:asciiTheme="majorHAnsi" w:hAnsiTheme="majorHAnsi"/>
              </w:rPr>
            </w:pPr>
            <w:r>
              <w:rPr>
                <w:rFonts w:cs="Cambria" w:ascii="Cambria" w:hAnsi="Cambria" w:asciiTheme="majorHAnsi" w:hAnsiTheme="majorHAnsi"/>
                <w:b/>
                <w:color w:val="000000"/>
                <w:sz w:val="22"/>
                <w:szCs w:val="22"/>
              </w:rPr>
              <w:t>OPISY KRYTERIÓW, KTÓRYMI ZAMAWIAJĄCY BĘDZIE SIĘ KIEROWAŁ PRZY WYBORZE OFERTY WRAZ Z PODANIEM WAG TYCH KRYTERIÓW ORAZ SPOSOBU  OCENY OFERT</w:t>
            </w:r>
          </w:p>
        </w:tc>
      </w:tr>
    </w:tbl>
    <w:p>
      <w:pPr>
        <w:pStyle w:val="Normal"/>
        <w:jc w:val="both"/>
        <w:rPr>
          <w:rFonts w:ascii="Cambria" w:hAnsi="Cambria" w:cs="Cambria" w:asciiTheme="majorHAnsi" w:hAnsiTheme="majorHAnsi"/>
          <w:color w:val="000000"/>
          <w:sz w:val="22"/>
          <w:szCs w:val="22"/>
        </w:rPr>
      </w:pPr>
      <w:r>
        <w:rPr>
          <w:rFonts w:cs="Cambria" w:ascii="Cambria" w:hAnsi="Cambria"/>
          <w:color w:val="000000"/>
          <w:sz w:val="22"/>
          <w:szCs w:val="22"/>
        </w:rPr>
      </w:r>
    </w:p>
    <w:p>
      <w:pPr>
        <w:pStyle w:val="Normal"/>
        <w:numPr>
          <w:ilvl w:val="0"/>
          <w:numId w:val="54"/>
        </w:numPr>
        <w:spacing w:lineRule="auto" w:line="276" w:before="240" w:after="240"/>
        <w:ind w:left="993" w:hanging="360"/>
        <w:jc w:val="both"/>
        <w:rPr/>
      </w:pPr>
      <w:r>
        <w:rPr>
          <w:rFonts w:cs="Cambria" w:ascii="Cambria" w:hAnsi="Cambria"/>
          <w:color w:val="000000"/>
          <w:sz w:val="22"/>
          <w:szCs w:val="22"/>
        </w:rPr>
        <w:t xml:space="preserve">Przy wyborze ofert Zamawiający będzie się kierował następującymi  kryteriami oceny ofert:  </w:t>
      </w:r>
    </w:p>
    <w:p>
      <w:pPr>
        <w:pStyle w:val="Normal"/>
        <w:tabs>
          <w:tab w:val="clear" w:pos="709"/>
          <w:tab w:val="center" w:pos="930" w:leader="none"/>
          <w:tab w:val="center" w:pos="1430" w:leader="none"/>
          <w:tab w:val="center" w:pos="2138" w:leader="none"/>
          <w:tab w:val="center" w:pos="2847" w:leader="none"/>
          <w:tab w:val="center" w:pos="3555" w:leader="none"/>
          <w:tab w:val="center" w:pos="4263" w:leader="none"/>
          <w:tab w:val="center" w:pos="4971" w:leader="none"/>
          <w:tab w:val="center" w:pos="5972" w:leader="none"/>
        </w:tabs>
        <w:spacing w:lineRule="auto" w:line="276"/>
        <w:jc w:val="both"/>
        <w:rPr/>
      </w:pPr>
      <w:r>
        <w:rPr>
          <w:rFonts w:eastAsia="Cambria" w:cs="Cambria" w:ascii="Cambria" w:hAnsi="Cambria"/>
          <w:color w:val="000000"/>
          <w:sz w:val="22"/>
          <w:szCs w:val="22"/>
        </w:rPr>
        <w:t xml:space="preserve"> </w:t>
      </w:r>
      <w:r>
        <w:rPr>
          <w:rFonts w:cs="Cambria" w:ascii="Cambria" w:hAnsi="Cambria"/>
          <w:color w:val="000000"/>
          <w:sz w:val="22"/>
          <w:szCs w:val="22"/>
        </w:rPr>
        <w:tab/>
        <w:t xml:space="preserve">Cena  </w:t>
        <w:tab/>
        <w:t xml:space="preserve"> </w:t>
        <w:tab/>
        <w:t xml:space="preserve"> </w:t>
        <w:tab/>
        <w:t xml:space="preserve"> </w:t>
        <w:tab/>
        <w:t xml:space="preserve"> </w:t>
        <w:tab/>
        <w:t xml:space="preserve"> </w:t>
        <w:tab/>
        <w:t xml:space="preserve"> </w:t>
        <w:tab/>
        <w:t xml:space="preserve">– 90 % </w:t>
      </w:r>
    </w:p>
    <w:p>
      <w:pPr>
        <w:pStyle w:val="Normal"/>
        <w:tabs>
          <w:tab w:val="clear" w:pos="709"/>
          <w:tab w:val="center" w:pos="1492" w:leader="none"/>
          <w:tab w:val="center" w:pos="2847" w:leader="none"/>
          <w:tab w:val="center" w:pos="3555" w:leader="none"/>
          <w:tab w:val="center" w:pos="4263" w:leader="none"/>
          <w:tab w:val="center" w:pos="4971" w:leader="none"/>
          <w:tab w:val="center" w:pos="5955" w:leader="none"/>
        </w:tabs>
        <w:spacing w:lineRule="auto" w:line="276"/>
        <w:jc w:val="both"/>
        <w:rPr/>
      </w:pPr>
      <w:r>
        <w:rPr>
          <w:rFonts w:eastAsia="Cambria" w:cs="Cambria" w:ascii="Cambria" w:hAnsi="Cambria"/>
          <w:color w:val="000000"/>
          <w:sz w:val="22"/>
          <w:szCs w:val="22"/>
        </w:rPr>
        <w:t xml:space="preserve"> </w:t>
      </w:r>
      <w:r>
        <w:rPr>
          <w:rFonts w:cs="Cambria" w:ascii="Cambria" w:hAnsi="Cambria"/>
          <w:color w:val="000000"/>
          <w:sz w:val="22"/>
          <w:szCs w:val="22"/>
        </w:rPr>
        <w:tab/>
        <w:t xml:space="preserve">  Gwarancja jakości  </w:t>
        <w:tab/>
        <w:t xml:space="preserve"> </w:t>
        <w:tab/>
        <w:t xml:space="preserve"> </w:t>
        <w:tab/>
        <w:t xml:space="preserve"> </w:t>
        <w:tab/>
        <w:t xml:space="preserve"> </w:t>
        <w:tab/>
        <w:t xml:space="preserve">-  10 % </w:t>
        <w:tab/>
      </w:r>
    </w:p>
    <w:p>
      <w:pPr>
        <w:pStyle w:val="Normal"/>
        <w:tabs>
          <w:tab w:val="clear" w:pos="709"/>
          <w:tab w:val="center" w:pos="1492" w:leader="none"/>
          <w:tab w:val="center" w:pos="2847" w:leader="none"/>
          <w:tab w:val="center" w:pos="3555" w:leader="none"/>
          <w:tab w:val="center" w:pos="4263" w:leader="none"/>
          <w:tab w:val="center" w:pos="4971" w:leader="none"/>
          <w:tab w:val="center" w:pos="5955" w:leader="none"/>
        </w:tabs>
        <w:spacing w:lineRule="auto" w:line="276"/>
        <w:jc w:val="both"/>
        <w:rPr>
          <w:rFonts w:ascii="Cambria" w:hAnsi="Cambria" w:cs="Cambria"/>
          <w:color w:val="000000"/>
          <w:sz w:val="22"/>
          <w:szCs w:val="22"/>
        </w:rPr>
      </w:pPr>
      <w:r>
        <w:rPr>
          <w:rFonts w:cs="Cambria" w:ascii="Cambria" w:hAnsi="Cambria"/>
          <w:color w:val="000000"/>
          <w:sz w:val="22"/>
          <w:szCs w:val="22"/>
        </w:rPr>
      </w:r>
    </w:p>
    <w:p>
      <w:pPr>
        <w:pStyle w:val="Normal"/>
        <w:numPr>
          <w:ilvl w:val="0"/>
          <w:numId w:val="54"/>
        </w:numPr>
        <w:spacing w:lineRule="auto" w:line="276" w:before="240" w:after="240"/>
        <w:ind w:left="993" w:hanging="360"/>
        <w:jc w:val="both"/>
        <w:rPr/>
      </w:pPr>
      <w:r>
        <w:rPr>
          <w:rFonts w:cs="Cambria" w:ascii="Cambria" w:hAnsi="Cambria"/>
          <w:color w:val="000000"/>
          <w:sz w:val="22"/>
          <w:szCs w:val="22"/>
        </w:rPr>
        <w:t xml:space="preserve">Sposób obliczania punktów w kryterium </w:t>
      </w:r>
      <w:r>
        <w:rPr>
          <w:rFonts w:cs="Cambria" w:ascii="Cambria" w:hAnsi="Cambria"/>
          <w:b/>
          <w:bCs/>
          <w:color w:val="000000"/>
          <w:sz w:val="22"/>
          <w:szCs w:val="22"/>
        </w:rPr>
        <w:t>Cena (C)</w:t>
      </w:r>
      <w:r>
        <w:rPr>
          <w:rFonts w:cs="Cambria" w:ascii="Cambria" w:hAnsi="Cambria"/>
          <w:color w:val="000000"/>
          <w:sz w:val="22"/>
          <w:szCs w:val="22"/>
        </w:rPr>
        <w:t xml:space="preserve">  </w:t>
      </w:r>
    </w:p>
    <w:p>
      <w:pPr>
        <w:pStyle w:val="Normal"/>
        <w:tabs>
          <w:tab w:val="clear" w:pos="709"/>
          <w:tab w:val="center" w:pos="4385" w:leader="none"/>
        </w:tabs>
        <w:spacing w:lineRule="auto" w:line="276"/>
        <w:ind w:left="567" w:hanging="0"/>
        <w:jc w:val="both"/>
        <w:rPr/>
      </w:pPr>
      <w:r>
        <w:rPr>
          <w:rFonts w:eastAsia="Cambria" w:cs="Cambria" w:ascii="Cambria" w:hAnsi="Cambria"/>
          <w:color w:val="000000"/>
          <w:sz w:val="22"/>
          <w:szCs w:val="22"/>
        </w:rPr>
        <w:t xml:space="preserve"> </w:t>
      </w:r>
      <w:r>
        <w:rPr>
          <w:rFonts w:cs="Cambria" w:ascii="Cambria" w:hAnsi="Cambria"/>
          <w:color w:val="000000"/>
          <w:sz w:val="22"/>
          <w:szCs w:val="22"/>
        </w:rPr>
        <w:tab/>
        <w:t xml:space="preserve">W ramach kryterium „Cena” ocena ofert zostanie dokonana przy zastosowaniu wzoru:  </w:t>
      </w:r>
    </w:p>
    <w:p>
      <w:pPr>
        <w:pStyle w:val="Normal"/>
        <w:tabs>
          <w:tab w:val="clear" w:pos="709"/>
          <w:tab w:val="center" w:pos="722" w:leader="none"/>
          <w:tab w:val="center" w:pos="1430" w:leader="none"/>
          <w:tab w:val="center" w:pos="2138" w:leader="none"/>
          <w:tab w:val="center" w:pos="4137" w:leader="none"/>
        </w:tabs>
        <w:spacing w:lineRule="auto" w:line="276"/>
        <w:jc w:val="both"/>
        <w:rPr/>
      </w:pPr>
      <w:r>
        <w:rPr>
          <w:rFonts w:cs="Cambria" w:ascii="Cambria" w:hAnsi="Cambria"/>
          <w:color w:val="000000"/>
          <w:sz w:val="22"/>
          <w:szCs w:val="22"/>
        </w:rPr>
        <w:t>C = (Cn / Co) × 90 pkt</w:t>
      </w:r>
    </w:p>
    <w:p>
      <w:pPr>
        <w:pStyle w:val="Normal"/>
        <w:spacing w:lineRule="auto" w:line="276"/>
        <w:ind w:left="567" w:right="4725" w:hanging="0"/>
        <w:jc w:val="both"/>
        <w:rPr/>
      </w:pPr>
      <w:r>
        <w:rPr>
          <w:rFonts w:cs="Cambria" w:ascii="Cambria" w:hAnsi="Cambria"/>
          <w:color w:val="000000"/>
          <w:sz w:val="22"/>
          <w:szCs w:val="22"/>
        </w:rPr>
        <w:t xml:space="preserve">gdzie: </w:t>
      </w:r>
    </w:p>
    <w:p>
      <w:pPr>
        <w:pStyle w:val="Normal"/>
        <w:tabs>
          <w:tab w:val="clear" w:pos="709"/>
          <w:tab w:val="center" w:pos="2750" w:leader="none"/>
        </w:tabs>
        <w:spacing w:lineRule="auto" w:line="276"/>
        <w:ind w:left="567" w:hanging="0"/>
        <w:jc w:val="both"/>
        <w:rPr/>
      </w:pPr>
      <w:r>
        <w:rPr>
          <w:rFonts w:eastAsia="Cambria" w:cs="Cambria" w:ascii="Cambria" w:hAnsi="Cambria"/>
          <w:color w:val="000000"/>
          <w:sz w:val="22"/>
          <w:szCs w:val="22"/>
        </w:rPr>
        <w:t xml:space="preserve">         </w:t>
      </w:r>
      <w:r>
        <w:rPr>
          <w:rFonts w:cs="Cambria" w:ascii="Cambria" w:hAnsi="Cambria"/>
          <w:color w:val="000000"/>
          <w:sz w:val="22"/>
          <w:szCs w:val="22"/>
        </w:rPr>
        <w:tab/>
        <w:t xml:space="preserve">C – liczba punktów w ramach kryterium „Cena”, </w:t>
      </w:r>
    </w:p>
    <w:p>
      <w:pPr>
        <w:pStyle w:val="Normal"/>
        <w:tabs>
          <w:tab w:val="clear" w:pos="709"/>
          <w:tab w:val="center" w:pos="2629" w:leader="none"/>
        </w:tabs>
        <w:spacing w:lineRule="auto" w:line="276"/>
        <w:ind w:left="567" w:hanging="0"/>
        <w:jc w:val="both"/>
        <w:rPr/>
      </w:pPr>
      <w:r>
        <w:rPr>
          <w:rFonts w:eastAsia="Cambria" w:cs="Cambria" w:ascii="Cambria" w:hAnsi="Cambria"/>
          <w:color w:val="000000"/>
          <w:sz w:val="22"/>
          <w:szCs w:val="22"/>
        </w:rPr>
        <w:t xml:space="preserve">         </w:t>
      </w:r>
      <w:r>
        <w:rPr>
          <w:rFonts w:eastAsia="Cambria" w:cs="Cambria" w:ascii="Cambria" w:hAnsi="Cambria"/>
          <w:color w:val="000000"/>
          <w:sz w:val="22"/>
          <w:szCs w:val="22"/>
        </w:rPr>
        <w:tab/>
      </w:r>
      <w:r>
        <w:rPr>
          <w:rFonts w:cs="Cambria" w:ascii="Cambria" w:hAnsi="Cambria"/>
          <w:color w:val="000000"/>
          <w:sz w:val="22"/>
          <w:szCs w:val="22"/>
        </w:rPr>
        <w:t xml:space="preserve">Cn - najniższa cena spośród ofert ocenianych </w:t>
      </w:r>
    </w:p>
    <w:p>
      <w:pPr>
        <w:pStyle w:val="Normal"/>
        <w:spacing w:lineRule="auto" w:line="276"/>
        <w:ind w:left="567" w:hanging="0"/>
        <w:jc w:val="both"/>
        <w:rPr/>
      </w:pPr>
      <w:r>
        <w:rPr>
          <w:rFonts w:eastAsia="Cambria" w:cs="Cambria" w:ascii="Cambria" w:hAnsi="Cambria"/>
          <w:color w:val="000000"/>
          <w:sz w:val="22"/>
          <w:szCs w:val="22"/>
        </w:rPr>
        <w:t xml:space="preserve">         </w:t>
      </w:r>
      <w:r>
        <w:rPr>
          <w:rFonts w:cs="Cambria" w:ascii="Cambria" w:hAnsi="Cambria"/>
          <w:color w:val="000000"/>
          <w:sz w:val="22"/>
          <w:szCs w:val="22"/>
        </w:rPr>
        <w:t xml:space="preserve">Co - cena oferty ocenianej  </w:t>
      </w:r>
    </w:p>
    <w:p>
      <w:pPr>
        <w:pStyle w:val="Normal"/>
        <w:spacing w:lineRule="auto" w:line="276" w:before="0" w:after="244"/>
        <w:jc w:val="both"/>
        <w:rPr>
          <w:rFonts w:ascii="Cambria" w:hAnsi="Cambria" w:eastAsia="Cambria" w:cs="Cambria"/>
          <w:color w:val="000000"/>
          <w:sz w:val="22"/>
          <w:szCs w:val="22"/>
        </w:rPr>
      </w:pPr>
      <w:r>
        <w:rPr>
          <w:rFonts w:eastAsia="Cambria" w:cs="Cambria" w:ascii="Cambria" w:hAnsi="Cambria"/>
          <w:color w:val="000000"/>
          <w:sz w:val="22"/>
          <w:szCs w:val="22"/>
        </w:rPr>
      </w:r>
    </w:p>
    <w:p>
      <w:pPr>
        <w:pStyle w:val="Normal"/>
        <w:spacing w:lineRule="auto" w:line="276" w:before="0" w:after="244"/>
        <w:ind w:left="567" w:hanging="0"/>
        <w:jc w:val="both"/>
        <w:rPr/>
      </w:pPr>
      <w:r>
        <w:rPr>
          <w:rFonts w:cs="Cambria" w:ascii="Cambria" w:hAnsi="Cambria"/>
          <w:color w:val="000000"/>
          <w:sz w:val="22"/>
          <w:szCs w:val="22"/>
        </w:rPr>
        <w:t xml:space="preserve">Ocenie w ramach kryterium „Cena” podlegać będzie cena łączna brutto podana w Ofercie dla całego przedmiotu zamówienia.  Przyjmuje się, że 1% = 1 pkt. </w:t>
      </w:r>
    </w:p>
    <w:p>
      <w:pPr>
        <w:pStyle w:val="Normal"/>
        <w:spacing w:lineRule="auto" w:line="276" w:before="0" w:after="253"/>
        <w:ind w:left="567" w:hanging="0"/>
        <w:jc w:val="both"/>
        <w:rPr/>
      </w:pPr>
      <w:r>
        <w:rPr>
          <w:rFonts w:cs="Cambria" w:ascii="Cambria" w:hAnsi="Cambria"/>
          <w:color w:val="000000"/>
          <w:sz w:val="22"/>
          <w:szCs w:val="22"/>
        </w:rPr>
        <w:t xml:space="preserve">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p>
    <w:p>
      <w:pPr>
        <w:pStyle w:val="Normal"/>
        <w:numPr>
          <w:ilvl w:val="0"/>
          <w:numId w:val="54"/>
        </w:numPr>
        <w:spacing w:lineRule="auto" w:line="276" w:before="240" w:after="240"/>
        <w:ind w:left="993" w:hanging="360"/>
        <w:jc w:val="both"/>
        <w:rPr/>
      </w:pPr>
      <w:r>
        <w:rPr>
          <w:rFonts w:cs="Cambria" w:ascii="Cambria" w:hAnsi="Cambria"/>
          <w:b/>
          <w:bCs/>
          <w:color w:val="000000"/>
          <w:sz w:val="22"/>
          <w:szCs w:val="22"/>
        </w:rPr>
        <w:t>Kryterium gwarancji jakości (G)</w:t>
      </w:r>
      <w:r>
        <w:rPr>
          <w:rFonts w:cs="Cambria" w:ascii="Cambria" w:hAnsi="Cambria"/>
          <w:color w:val="000000"/>
          <w:sz w:val="22"/>
          <w:szCs w:val="22"/>
        </w:rPr>
        <w:t>:  Przyjmuje się, że 1% = 1 pkt.</w:t>
      </w:r>
    </w:p>
    <w:p>
      <w:pPr>
        <w:pStyle w:val="Normal"/>
        <w:spacing w:lineRule="auto" w:line="276" w:before="240" w:after="240"/>
        <w:ind w:left="851" w:hanging="0"/>
        <w:jc w:val="both"/>
        <w:rPr/>
      </w:pPr>
      <w:r>
        <w:rPr>
          <w:rFonts w:cs="Cambria" w:ascii="Cambria" w:hAnsi="Cambria"/>
          <w:color w:val="000000"/>
          <w:sz w:val="22"/>
          <w:szCs w:val="22"/>
        </w:rPr>
        <w:t>1)</w:t>
      </w:r>
      <w:r>
        <w:rPr>
          <w:rFonts w:eastAsia="Arial" w:cs="Cambria" w:ascii="Cambria" w:hAnsi="Cambria"/>
          <w:color w:val="000000"/>
          <w:sz w:val="22"/>
          <w:szCs w:val="22"/>
        </w:rPr>
        <w:t xml:space="preserve"> </w:t>
      </w:r>
      <w:r>
        <w:rPr>
          <w:rFonts w:cs="Cambria" w:ascii="Cambria" w:hAnsi="Cambria"/>
          <w:color w:val="000000"/>
          <w:sz w:val="22"/>
          <w:szCs w:val="22"/>
        </w:rPr>
        <w:t xml:space="preserve">Sposób obliczenia punktów dla  kryterium okres gwarancji jakości: </w:t>
      </w:r>
    </w:p>
    <w:p>
      <w:pPr>
        <w:pStyle w:val="Normal"/>
        <w:numPr>
          <w:ilvl w:val="2"/>
          <w:numId w:val="53"/>
        </w:numPr>
        <w:spacing w:lineRule="auto" w:line="276" w:before="0" w:after="8"/>
        <w:ind w:left="1276" w:right="17" w:hanging="283"/>
        <w:jc w:val="both"/>
        <w:rPr/>
      </w:pPr>
      <w:r>
        <w:rPr>
          <w:rFonts w:cs="Cambria" w:ascii="Cambria" w:hAnsi="Cambria"/>
          <w:color w:val="000000"/>
          <w:sz w:val="22"/>
          <w:szCs w:val="22"/>
        </w:rPr>
        <w:t xml:space="preserve">Kryterium gwarancji jakości na całość zamówienia będzie rozpatrywane na podstawie zadeklarowanego w formularzu ofertowym okresu wydłużonej gwarancji jakości na cały przedmiot zamówienia. Szczegółowe warunki gwarancji określono we wzorze umowy.  </w:t>
      </w:r>
    </w:p>
    <w:p>
      <w:pPr>
        <w:pStyle w:val="Normal"/>
        <w:numPr>
          <w:ilvl w:val="2"/>
          <w:numId w:val="53"/>
        </w:numPr>
        <w:spacing w:lineRule="auto" w:line="276" w:before="0" w:after="8"/>
        <w:ind w:left="1276" w:right="17" w:hanging="283"/>
        <w:jc w:val="both"/>
        <w:rPr/>
      </w:pPr>
      <w:r>
        <w:rPr>
          <w:rFonts w:cs="Cambria" w:ascii="Cambria" w:hAnsi="Cambria"/>
          <w:color w:val="000000"/>
          <w:sz w:val="22"/>
          <w:szCs w:val="22"/>
        </w:rPr>
        <w:t xml:space="preserve">Najkrótszy możliwy okres gwarancji jakości wymagany przez zamawiającego </w:t>
      </w:r>
      <w:r>
        <w:rPr>
          <w:rFonts w:cs="Cambria" w:ascii="Cambria" w:hAnsi="Cambria"/>
          <w:b/>
          <w:color w:val="000000"/>
          <w:sz w:val="22"/>
          <w:szCs w:val="22"/>
        </w:rPr>
        <w:t>to 36 miesięcy</w:t>
      </w:r>
      <w:r>
        <w:rPr>
          <w:rFonts w:cs="Cambria" w:ascii="Cambria" w:hAnsi="Cambria"/>
          <w:color w:val="000000"/>
          <w:sz w:val="22"/>
          <w:szCs w:val="22"/>
        </w:rPr>
        <w:t xml:space="preserve"> liczonych od daty podpisania bezusterkowego protokołu odbioru robót</w:t>
      </w:r>
    </w:p>
    <w:p>
      <w:pPr>
        <w:pStyle w:val="Normal"/>
        <w:numPr>
          <w:ilvl w:val="2"/>
          <w:numId w:val="53"/>
        </w:numPr>
        <w:spacing w:lineRule="auto" w:line="276" w:before="0" w:after="8"/>
        <w:ind w:left="1276" w:right="17" w:hanging="283"/>
        <w:jc w:val="both"/>
        <w:rPr/>
      </w:pPr>
      <w:r>
        <w:rPr>
          <w:rFonts w:cs="Cambria" w:ascii="Cambria" w:hAnsi="Cambria"/>
          <w:color w:val="000000"/>
          <w:sz w:val="22"/>
          <w:szCs w:val="22"/>
        </w:rPr>
        <w:t xml:space="preserve">Najdłuższy oceniany okres gwarancji jakości to </w:t>
      </w:r>
      <w:r>
        <w:rPr>
          <w:rFonts w:cs="Cambria" w:ascii="Cambria" w:hAnsi="Cambria"/>
          <w:b/>
          <w:color w:val="000000"/>
          <w:sz w:val="22"/>
          <w:szCs w:val="22"/>
        </w:rPr>
        <w:t>60  miesięcy</w:t>
      </w:r>
      <w:r>
        <w:rPr>
          <w:rFonts w:cs="Cambria" w:ascii="Cambria" w:hAnsi="Cambria"/>
          <w:color w:val="000000"/>
          <w:sz w:val="22"/>
          <w:szCs w:val="22"/>
        </w:rPr>
        <w:t>.</w:t>
      </w:r>
    </w:p>
    <w:p>
      <w:pPr>
        <w:pStyle w:val="Normal"/>
        <w:numPr>
          <w:ilvl w:val="2"/>
          <w:numId w:val="53"/>
        </w:numPr>
        <w:spacing w:lineRule="auto" w:line="276" w:before="0" w:after="8"/>
        <w:ind w:left="1276" w:right="51" w:hanging="283"/>
        <w:jc w:val="both"/>
        <w:rPr/>
      </w:pPr>
      <w:r>
        <w:rPr>
          <w:rFonts w:cs="Cambria" w:ascii="Cambria" w:hAnsi="Cambria"/>
          <w:color w:val="000000"/>
          <w:sz w:val="22"/>
          <w:szCs w:val="22"/>
        </w:rPr>
        <w:t xml:space="preserve">Maksymalną liczbę punktów jaką można uzyskać w tym kryterium to </w:t>
      </w:r>
      <w:r>
        <w:rPr>
          <w:rFonts w:cs="Cambria" w:ascii="Cambria" w:hAnsi="Cambria"/>
          <w:b/>
          <w:color w:val="000000"/>
          <w:sz w:val="22"/>
          <w:szCs w:val="22"/>
        </w:rPr>
        <w:t xml:space="preserve">10 </w:t>
      </w:r>
      <w:r>
        <w:rPr>
          <w:rFonts w:cs="Cambria" w:ascii="Cambria" w:hAnsi="Cambria"/>
          <w:color w:val="000000"/>
          <w:sz w:val="22"/>
          <w:szCs w:val="22"/>
        </w:rPr>
        <w:t xml:space="preserve"> punktów. </w:t>
      </w:r>
    </w:p>
    <w:p>
      <w:pPr>
        <w:pStyle w:val="Normal"/>
        <w:numPr>
          <w:ilvl w:val="2"/>
          <w:numId w:val="53"/>
        </w:numPr>
        <w:spacing w:lineRule="auto" w:line="276" w:before="0" w:after="8"/>
        <w:ind w:left="1276" w:right="17" w:hanging="283"/>
        <w:jc w:val="both"/>
        <w:rPr/>
      </w:pPr>
      <w:r>
        <w:rPr>
          <w:rFonts w:cs="Cambria" w:ascii="Cambria" w:hAnsi="Cambria"/>
          <w:color w:val="000000"/>
          <w:sz w:val="22"/>
          <w:szCs w:val="22"/>
        </w:rPr>
        <w:t>Wykonawca może zaoferować wyłącznie jeden z następujących okresów gwarancji jakości: 36, 48 albo 60 miesięcy. Zaoferowanie innego okresu, w tym okresu krótszego niż 36 miesięcy, skutkuje odrzuceniem oferty jako niezgodnej z SWZ.</w:t>
      </w:r>
    </w:p>
    <w:p>
      <w:pPr>
        <w:pStyle w:val="Normal"/>
        <w:numPr>
          <w:ilvl w:val="2"/>
          <w:numId w:val="53"/>
        </w:numPr>
        <w:spacing w:lineRule="auto" w:line="276" w:before="0" w:after="8"/>
        <w:ind w:left="1276" w:right="17" w:hanging="283"/>
        <w:jc w:val="both"/>
        <w:rPr/>
      </w:pPr>
      <w:r>
        <w:rPr>
          <w:rFonts w:cs="Cambria" w:ascii="Cambria" w:hAnsi="Cambria"/>
          <w:color w:val="000000"/>
          <w:sz w:val="22"/>
          <w:szCs w:val="22"/>
        </w:rPr>
        <w:t xml:space="preserve">W przypadku nie wypełnienia w formularzu ofertowym stosownej rubryki zamawiający uzna, że wykonawca deklaruje najkrótszy tj. </w:t>
      </w:r>
      <w:r>
        <w:rPr>
          <w:rFonts w:cs="Cambria" w:ascii="Cambria" w:hAnsi="Cambria"/>
          <w:b/>
          <w:color w:val="000000"/>
          <w:sz w:val="22"/>
          <w:szCs w:val="22"/>
        </w:rPr>
        <w:t>36</w:t>
      </w:r>
      <w:r>
        <w:rPr>
          <w:rFonts w:cs="Cambria" w:ascii="Cambria" w:hAnsi="Cambria"/>
          <w:color w:val="000000"/>
          <w:sz w:val="22"/>
          <w:szCs w:val="22"/>
        </w:rPr>
        <w:t xml:space="preserve"> miesięczny okres gwarancji jakości.  </w:t>
      </w:r>
    </w:p>
    <w:p>
      <w:pPr>
        <w:pStyle w:val="Normal"/>
        <w:numPr>
          <w:ilvl w:val="2"/>
          <w:numId w:val="53"/>
        </w:numPr>
        <w:spacing w:lineRule="auto" w:line="276" w:before="0" w:after="8"/>
        <w:ind w:left="1276" w:right="51" w:hanging="283"/>
        <w:jc w:val="both"/>
        <w:rPr/>
      </w:pPr>
      <w:r>
        <w:rPr>
          <w:rFonts w:cs="Cambria" w:ascii="Cambria" w:hAnsi="Cambria"/>
          <w:color w:val="000000"/>
          <w:sz w:val="22"/>
          <w:szCs w:val="22"/>
        </w:rPr>
        <w:t xml:space="preserve">ocena kryterium gwarancji odbywać się będzie wg poniższej tabeli: </w:t>
      </w:r>
    </w:p>
    <w:p>
      <w:pPr>
        <w:pStyle w:val="Normal"/>
        <w:spacing w:lineRule="auto" w:line="276" w:before="0" w:after="8"/>
        <w:ind w:right="51" w:hanging="0"/>
        <w:jc w:val="both"/>
        <w:rPr>
          <w:rFonts w:ascii="Cambria" w:hAnsi="Cambria" w:cs="Cambria"/>
          <w:color w:val="000000"/>
          <w:sz w:val="22"/>
          <w:szCs w:val="22"/>
        </w:rPr>
      </w:pPr>
      <w:r>
        <w:rPr>
          <w:rFonts w:cs="Cambria" w:ascii="Cambria" w:hAnsi="Cambria"/>
          <w:color w:val="000000"/>
          <w:sz w:val="22"/>
          <w:szCs w:val="22"/>
        </w:rPr>
      </w:r>
    </w:p>
    <w:tbl>
      <w:tblPr>
        <w:tblW w:w="7864" w:type="dxa"/>
        <w:jc w:val="center"/>
        <w:tblInd w:w="0" w:type="dxa"/>
        <w:tblCellMar>
          <w:top w:w="0" w:type="dxa"/>
          <w:left w:w="70" w:type="dxa"/>
          <w:bottom w:w="0" w:type="dxa"/>
          <w:right w:w="70" w:type="dxa"/>
        </w:tblCellMar>
        <w:tblLook w:firstRow="0" w:noVBand="0" w:lastRow="0" w:firstColumn="0" w:lastColumn="0" w:noHBand="0" w:val="0000"/>
      </w:tblPr>
      <w:tblGrid>
        <w:gridCol w:w="4911"/>
        <w:gridCol w:w="2952"/>
      </w:tblGrid>
      <w:tr>
        <w:trPr>
          <w:trHeight w:val="543" w:hRule="atLeast"/>
          <w:cantSplit w:val="true"/>
        </w:trPr>
        <w:tc>
          <w:tcPr>
            <w:tcW w:w="4911" w:type="dxa"/>
            <w:tcBorders>
              <w:top w:val="double" w:sz="4" w:space="0" w:color="000000"/>
              <w:left w:val="double" w:sz="4" w:space="0" w:color="000000"/>
              <w:bottom w:val="double" w:sz="4" w:space="0" w:color="000000"/>
            </w:tcBorders>
            <w:shd w:fill="auto" w:val="clear"/>
            <w:vAlign w:val="center"/>
          </w:tcPr>
          <w:p>
            <w:pPr>
              <w:pStyle w:val="Nagwek7"/>
              <w:numPr>
                <w:ilvl w:val="6"/>
                <w:numId w:val="52"/>
              </w:numPr>
              <w:tabs>
                <w:tab w:val="clear" w:pos="709"/>
              </w:tabs>
              <w:spacing w:lineRule="auto" w:line="276" w:before="0" w:after="0"/>
              <w:jc w:val="center"/>
              <w:rPr/>
            </w:pPr>
            <w:r>
              <w:rPr>
                <w:rFonts w:cs="Cambria" w:ascii="Cambria" w:hAnsi="Cambria"/>
                <w:b/>
                <w:color w:val="000000"/>
                <w:sz w:val="22"/>
                <w:szCs w:val="22"/>
              </w:rPr>
              <w:t xml:space="preserve">GWARANCJA </w:t>
            </w:r>
          </w:p>
        </w:tc>
        <w:tc>
          <w:tcPr>
            <w:tcW w:w="2952" w:type="dxa"/>
            <w:tcBorders>
              <w:top w:val="double" w:sz="4" w:space="0" w:color="000000"/>
              <w:left w:val="double" w:sz="4" w:space="0" w:color="000000"/>
              <w:bottom w:val="double" w:sz="4" w:space="0" w:color="000000"/>
              <w:right w:val="double" w:sz="4" w:space="0" w:color="000000"/>
            </w:tcBorders>
            <w:shd w:fill="auto" w:val="clear"/>
            <w:vAlign w:val="center"/>
          </w:tcPr>
          <w:p>
            <w:pPr>
              <w:pStyle w:val="Normal"/>
              <w:spacing w:lineRule="auto" w:line="276"/>
              <w:jc w:val="center"/>
              <w:rPr/>
            </w:pPr>
            <w:r>
              <w:rPr>
                <w:rFonts w:cs="Cambria" w:ascii="Cambria" w:hAnsi="Cambria"/>
                <w:b/>
                <w:color w:val="000000"/>
                <w:sz w:val="22"/>
                <w:szCs w:val="22"/>
              </w:rPr>
              <w:t xml:space="preserve">PUNKTY </w:t>
            </w:r>
          </w:p>
        </w:tc>
      </w:tr>
      <w:tr>
        <w:trPr>
          <w:trHeight w:val="483" w:hRule="atLeast"/>
          <w:cantSplit w:val="true"/>
        </w:trPr>
        <w:tc>
          <w:tcPr>
            <w:tcW w:w="4911" w:type="dxa"/>
            <w:tcBorders>
              <w:top w:val="double" w:sz="4" w:space="0" w:color="000000"/>
              <w:left w:val="double" w:sz="4" w:space="0" w:color="000000"/>
              <w:bottom w:val="double" w:sz="4" w:space="0" w:color="000000"/>
            </w:tcBorders>
            <w:shd w:fill="auto" w:val="clear"/>
            <w:vAlign w:val="center"/>
          </w:tcPr>
          <w:p>
            <w:pPr>
              <w:pStyle w:val="Normal"/>
              <w:widowControl w:val="false"/>
              <w:spacing w:lineRule="auto" w:line="276" w:before="60" w:after="60"/>
              <w:jc w:val="center"/>
              <w:rPr/>
            </w:pPr>
            <w:r>
              <w:rPr>
                <w:rFonts w:cs="Cambria" w:ascii="Cambria" w:hAnsi="Cambria"/>
                <w:color w:val="000000"/>
                <w:sz w:val="22"/>
                <w:szCs w:val="22"/>
              </w:rPr>
              <w:t>poniżej 36 miesięcy</w:t>
            </w:r>
          </w:p>
        </w:tc>
        <w:tc>
          <w:tcPr>
            <w:tcW w:w="2952" w:type="dxa"/>
            <w:tcBorders>
              <w:top w:val="double" w:sz="4" w:space="0" w:color="000000"/>
              <w:left w:val="double" w:sz="4" w:space="0" w:color="000000"/>
              <w:bottom w:val="double" w:sz="4" w:space="0" w:color="000000"/>
              <w:right w:val="double" w:sz="4" w:space="0" w:color="000000"/>
            </w:tcBorders>
            <w:shd w:fill="auto" w:val="clear"/>
            <w:vAlign w:val="center"/>
          </w:tcPr>
          <w:p>
            <w:pPr>
              <w:pStyle w:val="Normal"/>
              <w:spacing w:lineRule="auto" w:line="276" w:before="60" w:after="60"/>
              <w:jc w:val="center"/>
              <w:rPr/>
            </w:pPr>
            <w:r>
              <w:rPr>
                <w:rFonts w:cs="Cambria" w:ascii="Cambria" w:hAnsi="Cambria"/>
                <w:b/>
                <w:color w:val="000000"/>
                <w:sz w:val="22"/>
                <w:szCs w:val="22"/>
              </w:rPr>
              <w:t>oferta zostanie odrzucona</w:t>
            </w:r>
          </w:p>
        </w:tc>
      </w:tr>
      <w:tr>
        <w:trPr>
          <w:trHeight w:val="483" w:hRule="atLeast"/>
          <w:cantSplit w:val="true"/>
        </w:trPr>
        <w:tc>
          <w:tcPr>
            <w:tcW w:w="4911" w:type="dxa"/>
            <w:tcBorders>
              <w:top w:val="double" w:sz="4" w:space="0" w:color="000000"/>
              <w:left w:val="double" w:sz="4" w:space="0" w:color="000000"/>
              <w:bottom w:val="double" w:sz="4" w:space="0" w:color="000000"/>
            </w:tcBorders>
            <w:shd w:fill="auto" w:val="clear"/>
            <w:vAlign w:val="center"/>
          </w:tcPr>
          <w:p>
            <w:pPr>
              <w:pStyle w:val="Normal"/>
              <w:widowControl w:val="false"/>
              <w:spacing w:lineRule="auto" w:line="276" w:before="60" w:after="60"/>
              <w:jc w:val="center"/>
              <w:rPr/>
            </w:pPr>
            <w:r>
              <w:rPr>
                <w:rFonts w:cs="Cambria" w:ascii="Cambria" w:hAnsi="Cambria"/>
                <w:color w:val="000000"/>
                <w:sz w:val="22"/>
                <w:szCs w:val="22"/>
              </w:rPr>
              <w:t>36 miesięcy</w:t>
            </w:r>
          </w:p>
        </w:tc>
        <w:tc>
          <w:tcPr>
            <w:tcW w:w="2952" w:type="dxa"/>
            <w:tcBorders>
              <w:top w:val="double" w:sz="4" w:space="0" w:color="000000"/>
              <w:left w:val="double" w:sz="4" w:space="0" w:color="000000"/>
              <w:bottom w:val="double" w:sz="4" w:space="0" w:color="000000"/>
              <w:right w:val="double" w:sz="4" w:space="0" w:color="000000"/>
            </w:tcBorders>
            <w:shd w:fill="auto" w:val="clear"/>
            <w:vAlign w:val="center"/>
          </w:tcPr>
          <w:p>
            <w:pPr>
              <w:pStyle w:val="Normal"/>
              <w:spacing w:lineRule="auto" w:line="276" w:before="60" w:after="60"/>
              <w:jc w:val="center"/>
              <w:rPr/>
            </w:pPr>
            <w:r>
              <w:rPr>
                <w:rFonts w:cs="Cambria" w:ascii="Cambria" w:hAnsi="Cambria"/>
                <w:b/>
                <w:bCs/>
                <w:color w:val="000000"/>
                <w:sz w:val="22"/>
                <w:szCs w:val="22"/>
              </w:rPr>
              <w:t xml:space="preserve">0 PKT </w:t>
            </w:r>
          </w:p>
        </w:tc>
      </w:tr>
      <w:tr>
        <w:trPr>
          <w:trHeight w:val="483" w:hRule="atLeast"/>
          <w:cantSplit w:val="true"/>
        </w:trPr>
        <w:tc>
          <w:tcPr>
            <w:tcW w:w="4911" w:type="dxa"/>
            <w:tcBorders>
              <w:top w:val="double" w:sz="4" w:space="0" w:color="000000"/>
              <w:left w:val="double" w:sz="4" w:space="0" w:color="000000"/>
              <w:bottom w:val="double" w:sz="4" w:space="0" w:color="000000"/>
            </w:tcBorders>
            <w:shd w:fill="auto" w:val="clear"/>
            <w:vAlign w:val="center"/>
          </w:tcPr>
          <w:p>
            <w:pPr>
              <w:pStyle w:val="Normal"/>
              <w:widowControl w:val="false"/>
              <w:spacing w:lineRule="auto" w:line="276" w:before="60" w:after="60"/>
              <w:jc w:val="center"/>
              <w:rPr/>
            </w:pPr>
            <w:r>
              <w:rPr>
                <w:rFonts w:cs="Cambria" w:ascii="Cambria" w:hAnsi="Cambria"/>
                <w:color w:val="000000"/>
                <w:sz w:val="22"/>
                <w:szCs w:val="22"/>
              </w:rPr>
              <w:t>48 miesięcy</w:t>
            </w:r>
          </w:p>
        </w:tc>
        <w:tc>
          <w:tcPr>
            <w:tcW w:w="2952" w:type="dxa"/>
            <w:tcBorders>
              <w:top w:val="double" w:sz="4" w:space="0" w:color="000000"/>
              <w:left w:val="double" w:sz="4" w:space="0" w:color="000000"/>
              <w:bottom w:val="double" w:sz="4" w:space="0" w:color="000000"/>
              <w:right w:val="double" w:sz="4" w:space="0" w:color="000000"/>
            </w:tcBorders>
            <w:shd w:fill="auto" w:val="clear"/>
            <w:vAlign w:val="center"/>
          </w:tcPr>
          <w:p>
            <w:pPr>
              <w:pStyle w:val="Normal"/>
              <w:spacing w:lineRule="auto" w:line="276" w:before="60" w:after="60"/>
              <w:jc w:val="center"/>
              <w:rPr/>
            </w:pPr>
            <w:r>
              <w:rPr>
                <w:rFonts w:cs="Cambria" w:ascii="Cambria" w:hAnsi="Cambria"/>
                <w:b/>
                <w:bCs/>
                <w:color w:val="000000"/>
                <w:sz w:val="22"/>
                <w:szCs w:val="22"/>
              </w:rPr>
              <w:t xml:space="preserve">5 PKT </w:t>
            </w:r>
          </w:p>
        </w:tc>
      </w:tr>
      <w:tr>
        <w:trPr>
          <w:trHeight w:val="483" w:hRule="atLeast"/>
          <w:cantSplit w:val="true"/>
        </w:trPr>
        <w:tc>
          <w:tcPr>
            <w:tcW w:w="4911" w:type="dxa"/>
            <w:tcBorders>
              <w:top w:val="double" w:sz="4" w:space="0" w:color="000000"/>
              <w:left w:val="double" w:sz="4" w:space="0" w:color="000000"/>
              <w:bottom w:val="double" w:sz="4" w:space="0" w:color="000000"/>
            </w:tcBorders>
            <w:shd w:fill="auto" w:val="clear"/>
            <w:vAlign w:val="center"/>
          </w:tcPr>
          <w:p>
            <w:pPr>
              <w:pStyle w:val="Normal"/>
              <w:widowControl w:val="false"/>
              <w:spacing w:lineRule="auto" w:line="276" w:before="60" w:after="60"/>
              <w:jc w:val="center"/>
              <w:rPr/>
            </w:pPr>
            <w:r>
              <w:rPr>
                <w:rFonts w:cs="Cambria" w:ascii="Cambria" w:hAnsi="Cambria"/>
                <w:color w:val="000000"/>
                <w:sz w:val="22"/>
                <w:szCs w:val="22"/>
              </w:rPr>
              <w:t xml:space="preserve">60 miesięcy </w:t>
            </w:r>
          </w:p>
        </w:tc>
        <w:tc>
          <w:tcPr>
            <w:tcW w:w="2952" w:type="dxa"/>
            <w:tcBorders>
              <w:top w:val="double" w:sz="4" w:space="0" w:color="000000"/>
              <w:left w:val="double" w:sz="4" w:space="0" w:color="000000"/>
              <w:bottom w:val="double" w:sz="4" w:space="0" w:color="000000"/>
              <w:right w:val="double" w:sz="4" w:space="0" w:color="000000"/>
            </w:tcBorders>
            <w:shd w:fill="auto" w:val="clear"/>
            <w:vAlign w:val="center"/>
          </w:tcPr>
          <w:p>
            <w:pPr>
              <w:pStyle w:val="Normal"/>
              <w:spacing w:lineRule="auto" w:line="276" w:before="60" w:after="60"/>
              <w:jc w:val="center"/>
              <w:rPr/>
            </w:pPr>
            <w:r>
              <w:rPr>
                <w:rFonts w:cs="Cambria" w:ascii="Cambria" w:hAnsi="Cambria"/>
                <w:b/>
                <w:bCs/>
                <w:color w:val="000000"/>
                <w:sz w:val="22"/>
                <w:szCs w:val="22"/>
              </w:rPr>
              <w:t xml:space="preserve">10 PKT </w:t>
            </w:r>
          </w:p>
        </w:tc>
      </w:tr>
    </w:tbl>
    <w:p>
      <w:pPr>
        <w:pStyle w:val="Normal"/>
        <w:spacing w:lineRule="auto" w:line="276" w:before="0" w:after="8"/>
        <w:ind w:right="51" w:hanging="0"/>
        <w:jc w:val="both"/>
        <w:rPr>
          <w:rFonts w:ascii="Cambria" w:hAnsi="Cambria" w:cs="Cambria"/>
          <w:color w:val="000000"/>
          <w:sz w:val="22"/>
          <w:szCs w:val="22"/>
        </w:rPr>
      </w:pPr>
      <w:r>
        <w:rPr>
          <w:rFonts w:cs="Cambria" w:ascii="Cambria" w:hAnsi="Cambria"/>
          <w:color w:val="000000"/>
          <w:sz w:val="22"/>
          <w:szCs w:val="22"/>
        </w:rPr>
      </w:r>
    </w:p>
    <w:p>
      <w:pPr>
        <w:pStyle w:val="Normal"/>
        <w:numPr>
          <w:ilvl w:val="0"/>
          <w:numId w:val="54"/>
        </w:numPr>
        <w:spacing w:lineRule="auto" w:line="276" w:before="240" w:after="240"/>
        <w:ind w:left="993" w:hanging="360"/>
        <w:jc w:val="both"/>
        <w:rPr/>
      </w:pPr>
      <w:r>
        <w:rPr>
          <w:rFonts w:cs="Cambria" w:ascii="Cambria" w:hAnsi="Cambria"/>
          <w:color w:val="000000"/>
          <w:sz w:val="22"/>
          <w:szCs w:val="22"/>
        </w:rPr>
        <w:t xml:space="preserve">Za najkorzystniejszą ofertę uznana zostanie Oferta wykonawcy, która uzyska największą liczbę punktów we wskazanych powyżej kryteriach oceny ofert.  </w:t>
      </w:r>
    </w:p>
    <w:p>
      <w:pPr>
        <w:pStyle w:val="Nagwek1"/>
        <w:tabs>
          <w:tab w:val="clear" w:pos="4265"/>
        </w:tabs>
        <w:spacing w:lineRule="auto" w:line="276" w:before="240" w:after="0"/>
        <w:ind w:left="4265" w:right="92" w:hanging="0"/>
        <w:rPr/>
      </w:pPr>
      <w:r>
        <w:rPr>
          <w:color w:val="000000"/>
          <w:sz w:val="22"/>
          <w:szCs w:val="22"/>
        </w:rPr>
        <w:t>P= C+G</w:t>
      </w:r>
    </w:p>
    <w:p>
      <w:pPr>
        <w:pStyle w:val="Normal"/>
        <w:spacing w:lineRule="auto" w:line="276"/>
        <w:jc w:val="both"/>
        <w:rPr>
          <w:rFonts w:ascii="Cambria" w:hAnsi="Cambria" w:cs="Cambria"/>
          <w:color w:val="000000"/>
          <w:sz w:val="22"/>
          <w:szCs w:val="22"/>
        </w:rPr>
      </w:pPr>
      <w:r>
        <w:rPr>
          <w:rFonts w:cs="Cambria" w:ascii="Cambria" w:hAnsi="Cambria"/>
          <w:color w:val="000000"/>
          <w:sz w:val="22"/>
          <w:szCs w:val="22"/>
        </w:rPr>
      </w:r>
    </w:p>
    <w:p>
      <w:pPr>
        <w:pStyle w:val="Normal"/>
        <w:spacing w:lineRule="auto" w:line="276"/>
        <w:ind w:left="709" w:hanging="0"/>
        <w:jc w:val="both"/>
        <w:rPr/>
      </w:pPr>
      <w:r>
        <w:rPr>
          <w:rFonts w:cs="Cambria" w:ascii="Cambria" w:hAnsi="Cambria"/>
          <w:color w:val="000000"/>
          <w:sz w:val="22"/>
          <w:szCs w:val="22"/>
        </w:rPr>
        <w:t xml:space="preserve">gdzie :  </w:t>
      </w:r>
    </w:p>
    <w:p>
      <w:pPr>
        <w:pStyle w:val="Normal"/>
        <w:spacing w:lineRule="auto" w:line="276"/>
        <w:ind w:left="709" w:hanging="0"/>
        <w:jc w:val="both"/>
        <w:rPr/>
      </w:pPr>
      <w:r>
        <w:rPr>
          <w:rFonts w:cs="Cambria" w:ascii="Cambria" w:hAnsi="Cambria"/>
          <w:color w:val="000000"/>
          <w:sz w:val="22"/>
          <w:szCs w:val="22"/>
        </w:rPr>
        <w:t xml:space="preserve">P - ogólna punktacja oferty badanej  </w:t>
      </w:r>
    </w:p>
    <w:p>
      <w:pPr>
        <w:pStyle w:val="Normal"/>
        <w:spacing w:lineRule="auto" w:line="276"/>
        <w:ind w:left="709" w:hanging="0"/>
        <w:jc w:val="both"/>
        <w:rPr/>
      </w:pPr>
      <w:r>
        <w:rPr>
          <w:rFonts w:cs="Cambria" w:ascii="Cambria" w:hAnsi="Cambria"/>
          <w:color w:val="000000"/>
          <w:sz w:val="22"/>
          <w:szCs w:val="22"/>
        </w:rPr>
        <w:t xml:space="preserve">C - liczba punktów w kryterium Cena  </w:t>
      </w:r>
    </w:p>
    <w:p>
      <w:pPr>
        <w:pStyle w:val="Normal"/>
        <w:spacing w:lineRule="auto" w:line="276"/>
        <w:ind w:left="709" w:hanging="0"/>
        <w:jc w:val="both"/>
        <w:rPr/>
      </w:pPr>
      <w:r>
        <w:rPr>
          <w:rFonts w:cs="Cambria" w:ascii="Cambria" w:hAnsi="Cambria"/>
          <w:color w:val="000000"/>
          <w:sz w:val="22"/>
          <w:szCs w:val="22"/>
        </w:rPr>
        <w:t xml:space="preserve">G- liczba punktów w kryterium termin Gwarancji Jakości.  </w:t>
      </w:r>
    </w:p>
    <w:p>
      <w:pPr>
        <w:pStyle w:val="Normal"/>
        <w:spacing w:before="240" w:after="326"/>
        <w:ind w:left="426" w:hanging="0"/>
        <w:jc w:val="both"/>
        <w:rPr>
          <w:rFonts w:ascii="Cambria" w:hAnsi="Cambria" w:cs="Cambria" w:asciiTheme="majorHAnsi" w:hAnsiTheme="majorHAnsi"/>
          <w:color w:val="000000"/>
          <w:sz w:val="22"/>
          <w:szCs w:val="22"/>
        </w:rPr>
      </w:pPr>
      <w:r>
        <w:rPr>
          <w:rFonts w:cs="Cambria" w:ascii="Cambria" w:hAnsi="Cambria"/>
          <w:color w:val="000000"/>
          <w:sz w:val="22"/>
          <w:szCs w:val="22"/>
        </w:rPr>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480"/>
        <w:gridCol w:w="8595"/>
      </w:tblGrid>
      <w:tr>
        <w:trPr>
          <w:trHeight w:val="645" w:hRule="atLeast"/>
        </w:trPr>
        <w:tc>
          <w:tcPr>
            <w:tcW w:w="480"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17. </w:t>
            </w:r>
          </w:p>
        </w:tc>
        <w:tc>
          <w:tcPr>
            <w:tcW w:w="8595"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INFORMACJA O FORMALNOŚCIACH, JAKIE POWINNY BYĆ DOPEŁNIONE PO WYBORZE OFERT W CELU ZAWARCIA UMOWY</w:t>
            </w:r>
          </w:p>
        </w:tc>
      </w:tr>
    </w:tbl>
    <w:p>
      <w:pPr>
        <w:pStyle w:val="Normal"/>
        <w:numPr>
          <w:ilvl w:val="1"/>
          <w:numId w:val="20"/>
        </w:numPr>
        <w:spacing w:before="240" w:after="240"/>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Przed zawarciem umowy w sprawie zamówienia publicznego, Wykonawca, którego oferta została uznana za najkorzystniejszą zobowiązany jest dopełnić następujących formalności: przedłożyć Zamawiającemu w terminie przez niego wskazanym :  </w:t>
      </w:r>
    </w:p>
    <w:p>
      <w:pPr>
        <w:pStyle w:val="Normal"/>
        <w:numPr>
          <w:ilvl w:val="0"/>
          <w:numId w:val="24"/>
        </w:numPr>
        <w:spacing w:before="240" w:after="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kopię umowy regulującej współpracę wykonawców wspólnie ubiegających się o udzielenie zamówienia (np. umowę konsorcjum), jeżeli zamówienie będzie realizowane przez wykonawców wspólnie ubiegających się o udzielenie zamówienia; </w:t>
      </w:r>
    </w:p>
    <w:p>
      <w:pPr>
        <w:pStyle w:val="Normal"/>
        <w:numPr>
          <w:ilvl w:val="0"/>
          <w:numId w:val="24"/>
        </w:numPr>
        <w:spacing w:before="240" w:after="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przedłożyć Zamawiającemu Listę Pracowników wyznaczonych do realizacji zamówienia zatrudnionych na podstawie umowy o pracę wraz z dokumentami wskazanymi w Umowie na potwierdzenie spełnienia obowiązku zatrudnienia</w:t>
      </w:r>
    </w:p>
    <w:p>
      <w:pPr>
        <w:pStyle w:val="Normal"/>
        <w:numPr>
          <w:ilvl w:val="0"/>
          <w:numId w:val="24"/>
        </w:numPr>
        <w:spacing w:before="240" w:after="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przedłożyć dla osób funkcyjnych wykazanych w ofercie potwierdzenie aktualnego  wpisu na listę członków właściwej izby samorządu zawodowego wraz z potwierdzeniem opłacania składek OC. </w:t>
      </w:r>
    </w:p>
    <w:p>
      <w:pPr>
        <w:pStyle w:val="Normal"/>
        <w:numPr>
          <w:ilvl w:val="1"/>
          <w:numId w:val="20"/>
        </w:numPr>
        <w:spacing w:before="240" w:after="8"/>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Niedopełnienie wskazanych formalności będzie traktowane jako uchylanie się przez Wykonawcę od zawarcia umowy w sprawie zamówienia publicznego.  </w:t>
      </w:r>
    </w:p>
    <w:p>
      <w:pPr>
        <w:pStyle w:val="Normal"/>
        <w:numPr>
          <w:ilvl w:val="1"/>
          <w:numId w:val="20"/>
        </w:numPr>
        <w:spacing w:before="240" w:after="8"/>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  </w:t>
      </w:r>
    </w:p>
    <w:p>
      <w:pPr>
        <w:pStyle w:val="Normal"/>
        <w:ind w:left="709" w:hanging="709"/>
        <w:jc w:val="both"/>
        <w:rPr>
          <w:rFonts w:ascii="Cambria" w:hAnsi="Cambria" w:cs="Cambria" w:asciiTheme="majorHAnsi" w:hAnsiTheme="majorHAnsi"/>
          <w:color w:val="000000"/>
          <w:sz w:val="22"/>
          <w:szCs w:val="22"/>
        </w:rPr>
      </w:pPr>
      <w:r>
        <w:rPr>
          <w:rFonts w:cs="Cambria" w:ascii="Cambria" w:hAnsi="Cambria"/>
          <w:color w:val="000000"/>
          <w:sz w:val="22"/>
          <w:szCs w:val="22"/>
        </w:rPr>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702"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18. </w:t>
            </w:r>
          </w:p>
        </w:tc>
        <w:tc>
          <w:tcPr>
            <w:tcW w:w="8664"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PROJEKTOWANE POSTANOWIENIA UMOWY W SPRAWIE ZAMÓWIENIA PUBLICZNEGO, KTÓRE  ZOSTANĄ WPROWADZONE DO UMOWY W SPRAWIE ZAMÓWIENIA PUBLICZNEGO</w:t>
            </w:r>
          </w:p>
        </w:tc>
      </w:tr>
    </w:tbl>
    <w:p>
      <w:pPr>
        <w:pStyle w:val="Normal"/>
        <w:numPr>
          <w:ilvl w:val="1"/>
          <w:numId w:val="2"/>
        </w:numPr>
        <w:spacing w:before="240" w:after="8"/>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Projektowane postanowienia umowy w sprawie zamówienia publicznego zawiera wzór umowy stanowiący </w:t>
      </w:r>
      <w:r>
        <w:rPr>
          <w:rFonts w:cs="Cambria" w:ascii="Cambria" w:hAnsi="Cambria" w:asciiTheme="majorHAnsi" w:hAnsiTheme="majorHAnsi"/>
          <w:b/>
          <w:color w:val="000000"/>
          <w:sz w:val="22"/>
          <w:szCs w:val="22"/>
        </w:rPr>
        <w:t xml:space="preserve">załącznik nr 9 </w:t>
      </w:r>
      <w:r>
        <w:rPr>
          <w:rFonts w:cs="Cambria" w:ascii="Cambria" w:hAnsi="Cambria" w:asciiTheme="majorHAnsi" w:hAnsiTheme="majorHAnsi"/>
          <w:color w:val="000000"/>
          <w:sz w:val="22"/>
          <w:szCs w:val="22"/>
        </w:rPr>
        <w:t xml:space="preserve">do SWZ.  </w:t>
      </w:r>
    </w:p>
    <w:p>
      <w:pPr>
        <w:pStyle w:val="Normal"/>
        <w:numPr>
          <w:ilvl w:val="1"/>
          <w:numId w:val="2"/>
        </w:numPr>
        <w:spacing w:before="240" w:after="8"/>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 </w:t>
      </w:r>
    </w:p>
    <w:p>
      <w:pPr>
        <w:pStyle w:val="Normal"/>
        <w:jc w:val="both"/>
        <w:rPr>
          <w:rFonts w:ascii="Cambria" w:hAnsi="Cambria" w:cs="Cambria" w:asciiTheme="majorHAnsi" w:hAnsiTheme="majorHAnsi"/>
          <w:color w:val="000000"/>
          <w:sz w:val="22"/>
          <w:szCs w:val="22"/>
        </w:rPr>
      </w:pPr>
      <w:r>
        <w:rPr>
          <w:rFonts w:cs="Cambria" w:ascii="Cambria" w:hAnsi="Cambria"/>
          <w:color w:val="000000"/>
          <w:sz w:val="22"/>
          <w:szCs w:val="22"/>
        </w:rPr>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569"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19. </w:t>
            </w:r>
          </w:p>
        </w:tc>
        <w:tc>
          <w:tcPr>
            <w:tcW w:w="8664" w:type="dxa"/>
            <w:tcBorders/>
            <w:shd w:color="auto" w:fill="E7E6E6" w:val="clear"/>
          </w:tcPr>
          <w:p>
            <w:pPr>
              <w:pStyle w:val="Normal"/>
              <w:spacing w:before="240" w:after="240"/>
              <w:jc w:val="both"/>
              <w:rPr>
                <w:rFonts w:ascii="Cambria" w:hAnsi="Cambria" w:asciiTheme="majorHAnsi" w:hAnsiTheme="majorHAnsi"/>
              </w:rPr>
            </w:pPr>
            <w:r>
              <w:rPr>
                <w:rFonts w:eastAsia="Cambria" w:cs="Cambria" w:ascii="Cambria" w:hAnsi="Cambria" w:asciiTheme="majorHAnsi" w:hAnsiTheme="majorHAnsi"/>
                <w:b/>
                <w:color w:val="000000"/>
                <w:sz w:val="22"/>
                <w:szCs w:val="22"/>
              </w:rPr>
              <w:t xml:space="preserve"> </w:t>
            </w:r>
            <w:r>
              <w:rPr>
                <w:rFonts w:cs="Cambria" w:ascii="Cambria" w:hAnsi="Cambria" w:asciiTheme="majorHAnsi" w:hAnsiTheme="majorHAnsi"/>
                <w:b/>
                <w:color w:val="000000"/>
                <w:sz w:val="22"/>
                <w:szCs w:val="22"/>
              </w:rPr>
              <w:t xml:space="preserve">WYMAGANIA DOTYCZĄCE PODWYKONAWSTWA </w:t>
            </w:r>
          </w:p>
        </w:tc>
      </w:tr>
    </w:tbl>
    <w:p>
      <w:pPr>
        <w:pStyle w:val="Normal"/>
        <w:numPr>
          <w:ilvl w:val="1"/>
          <w:numId w:val="13"/>
        </w:numPr>
        <w:spacing w:before="240" w:after="240"/>
        <w:ind w:left="567" w:hanging="567"/>
        <w:jc w:val="both"/>
        <w:rPr>
          <w:rFonts w:ascii="Cambria" w:hAnsi="Cambria" w:cs="Cambria" w:asciiTheme="majorHAnsi" w:hAnsiTheme="majorHAnsi"/>
          <w:sz w:val="22"/>
          <w:szCs w:val="22"/>
          <w:lang w:eastAsia="pl-PL"/>
        </w:rPr>
      </w:pPr>
      <w:r>
        <w:rPr>
          <w:rFonts w:cs="Cambria" w:ascii="Cambria" w:hAnsi="Cambria" w:asciiTheme="majorHAnsi" w:hAnsiTheme="majorHAnsi"/>
          <w:sz w:val="22"/>
          <w:szCs w:val="22"/>
          <w:lang w:eastAsia="pl-PL"/>
        </w:rPr>
        <w:t>Wykonawca może realizować przedmiot zamówienia przy pomocy podwykonawców.</w:t>
      </w:r>
    </w:p>
    <w:p>
      <w:pPr>
        <w:pStyle w:val="Normal"/>
        <w:numPr>
          <w:ilvl w:val="1"/>
          <w:numId w:val="13"/>
        </w:numPr>
        <w:suppressAutoHyphens w:val="false"/>
        <w:spacing w:before="240" w:after="0"/>
        <w:ind w:left="567" w:hanging="567"/>
        <w:jc w:val="both"/>
        <w:rPr>
          <w:rFonts w:ascii="Cambria" w:hAnsi="Cambria" w:cs="Cambria" w:asciiTheme="majorHAnsi" w:hAnsiTheme="majorHAnsi"/>
          <w:sz w:val="22"/>
          <w:szCs w:val="22"/>
          <w:lang w:eastAsia="pl-PL"/>
        </w:rPr>
      </w:pPr>
      <w:r>
        <w:rPr>
          <w:rFonts w:cs="Cambria" w:ascii="Cambria" w:hAnsi="Cambria" w:asciiTheme="majorHAnsi" w:hAnsiTheme="majorHAnsi"/>
          <w:sz w:val="22"/>
          <w:szCs w:val="22"/>
          <w:lang w:eastAsia="pl-PL"/>
        </w:rPr>
        <w:t>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pPr>
        <w:pStyle w:val="Normal"/>
        <w:numPr>
          <w:ilvl w:val="1"/>
          <w:numId w:val="13"/>
        </w:numPr>
        <w:suppressAutoHyphens w:val="false"/>
        <w:spacing w:before="240" w:after="0"/>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sz w:val="22"/>
          <w:szCs w:val="22"/>
          <w:lang w:eastAsia="pl-PL"/>
        </w:rPr>
        <w:t>Powierzenie wykonania części zamówienia podwykonawcom nie zwalnia wykonawcy z odpowiedzialności za należyte wykonanie tego zamówienia.</w:t>
      </w:r>
    </w:p>
    <w:p>
      <w:pPr>
        <w:pStyle w:val="Normal"/>
        <w:numPr>
          <w:ilvl w:val="1"/>
          <w:numId w:val="13"/>
        </w:numPr>
        <w:spacing w:before="240" w:after="0"/>
        <w:ind w:left="567" w:hanging="567"/>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Pozostałe wymagania dotyczące podwykonawstwa zostały uregulowane we wzorze Umowy.  </w:t>
      </w:r>
    </w:p>
    <w:p>
      <w:pPr>
        <w:pStyle w:val="Normal"/>
        <w:ind w:left="709" w:hanging="709"/>
        <w:jc w:val="both"/>
        <w:rPr>
          <w:rFonts w:ascii="Cambria" w:hAnsi="Cambria" w:cs="Cambria" w:asciiTheme="majorHAnsi" w:hAnsiTheme="majorHAnsi"/>
          <w:color w:val="000000"/>
          <w:sz w:val="22"/>
          <w:szCs w:val="22"/>
        </w:rPr>
      </w:pPr>
      <w:r>
        <w:rPr>
          <w:rFonts w:cs="Cambria" w:ascii="Cambria" w:hAnsi="Cambria"/>
          <w:color w:val="000000"/>
          <w:sz w:val="22"/>
          <w:szCs w:val="22"/>
        </w:rPr>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606"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20. </w:t>
            </w:r>
          </w:p>
        </w:tc>
        <w:tc>
          <w:tcPr>
            <w:tcW w:w="8664" w:type="dxa"/>
            <w:tcBorders/>
            <w:shd w:color="auto" w:fill="E7E6E6" w:val="clear"/>
          </w:tcPr>
          <w:p>
            <w:pPr>
              <w:pStyle w:val="Normal"/>
              <w:spacing w:before="240" w:after="240"/>
              <w:ind w:left="82" w:hanging="0"/>
              <w:jc w:val="both"/>
              <w:rPr>
                <w:rFonts w:ascii="Cambria" w:hAnsi="Cambria" w:asciiTheme="majorHAnsi" w:hAnsiTheme="majorHAnsi"/>
              </w:rPr>
            </w:pPr>
            <w:r>
              <w:rPr>
                <w:rFonts w:cs="Cambria" w:ascii="Cambria" w:hAnsi="Cambria" w:asciiTheme="majorHAnsi" w:hAnsiTheme="majorHAnsi"/>
                <w:b/>
                <w:color w:val="000000"/>
                <w:sz w:val="22"/>
                <w:szCs w:val="22"/>
              </w:rPr>
              <w:t>POUCZENIE O ŚRODKACH OCHRONY PRAWNEJ PRZYSŁUGUJĄCE WYKONAWCY W TOKU POSTĘPOWANIA O ZMÓWIENIE PUBLICZNE</w:t>
            </w:r>
          </w:p>
        </w:tc>
      </w:tr>
    </w:tbl>
    <w:p>
      <w:pPr>
        <w:pStyle w:val="Normal"/>
        <w:numPr>
          <w:ilvl w:val="0"/>
          <w:numId w:val="26"/>
        </w:numPr>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pPr>
        <w:pStyle w:val="Normal"/>
        <w:numPr>
          <w:ilvl w:val="0"/>
          <w:numId w:val="26"/>
        </w:numPr>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 </w:t>
      </w:r>
    </w:p>
    <w:p>
      <w:pPr>
        <w:pStyle w:val="Normal"/>
        <w:numPr>
          <w:ilvl w:val="0"/>
          <w:numId w:val="26"/>
        </w:numPr>
        <w:spacing w:before="0" w:after="3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Odwołanie przysługuje na: </w:t>
      </w:r>
    </w:p>
    <w:p>
      <w:pPr>
        <w:pStyle w:val="Normal"/>
        <w:numPr>
          <w:ilvl w:val="3"/>
          <w:numId w:val="17"/>
        </w:numPr>
        <w:spacing w:before="0" w:after="29"/>
        <w:ind w:left="1134"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niezgodną z przepisami ustawy czynność Zamawiającego, podjętą w postępowaniu o udzielenie zamówienia, w tym na projektowane postanowienie umowy; </w:t>
      </w:r>
    </w:p>
    <w:p>
      <w:pPr>
        <w:pStyle w:val="Normal"/>
        <w:numPr>
          <w:ilvl w:val="3"/>
          <w:numId w:val="17"/>
        </w:numPr>
        <w:spacing w:before="0" w:after="29"/>
        <w:ind w:left="1134" w:hanging="425"/>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zaniechanie czynności w postępowaniu o udzielenie zamówienia do której zamawiający był obowiązany na podstawie ustawy; </w:t>
      </w:r>
    </w:p>
    <w:p>
      <w:pPr>
        <w:pStyle w:val="Normal"/>
        <w:numPr>
          <w:ilvl w:val="0"/>
          <w:numId w:val="26"/>
        </w:numPr>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Odwołanie wnosi się do Prezesa Izby. Odwołujący przekazuje kopię odwołania zamawiającemu przed upływem terminu do wniesienia odwołania w taki sposób, aby mógł on zapoznać się z jego treścią przed upływem tego terminu. </w:t>
      </w:r>
    </w:p>
    <w:p>
      <w:pPr>
        <w:pStyle w:val="Normal"/>
        <w:numPr>
          <w:ilvl w:val="0"/>
          <w:numId w:val="26"/>
        </w:numPr>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Odwołanie wobec treści ogłoszenia lub treści SWZ wnosi się w terminie 5 dni od dnia zamieszczenia ogłoszenia w Biuletynie Zamówień Publicznych lub treści SWZ na stronie internetowej. </w:t>
      </w:r>
    </w:p>
    <w:p>
      <w:pPr>
        <w:pStyle w:val="Normal"/>
        <w:numPr>
          <w:ilvl w:val="0"/>
          <w:numId w:val="26"/>
        </w:numPr>
        <w:jc w:val="both"/>
        <w:rPr>
          <w:rFonts w:ascii="Cambria" w:hAnsi="Cambria" w:cs="Cambria" w:asciiTheme="majorHAnsi" w:hAnsiTheme="majorHAnsi"/>
          <w:color w:val="000000"/>
        </w:rPr>
      </w:pPr>
      <w:r>
        <w:rPr>
          <w:rFonts w:cs="Cambria" w:ascii="Cambria" w:hAnsi="Cambria" w:asciiTheme="majorHAnsi" w:hAnsiTheme="majorHAnsi"/>
          <w:color w:val="000000"/>
          <w:sz w:val="22"/>
          <w:szCs w:val="22"/>
        </w:rPr>
        <w:t xml:space="preserve">Odwołanie wnosi się w terminie: </w:t>
      </w:r>
    </w:p>
    <w:p>
      <w:pPr>
        <w:pStyle w:val="ListParagraph"/>
        <w:numPr>
          <w:ilvl w:val="0"/>
          <w:numId w:val="15"/>
        </w:numPr>
        <w:spacing w:lineRule="auto" w:line="240" w:before="0" w:after="8"/>
        <w:ind w:left="993" w:hanging="284"/>
        <w:contextualSpacing/>
        <w:jc w:val="both"/>
        <w:rPr>
          <w:rFonts w:ascii="Cambria" w:hAnsi="Cambria" w:cs="Cambria" w:asciiTheme="majorHAnsi" w:hAnsiTheme="majorHAnsi"/>
          <w:color w:val="000000"/>
        </w:rPr>
      </w:pPr>
      <w:r>
        <w:rPr>
          <w:rFonts w:cs="Cambria" w:ascii="Cambria" w:hAnsi="Cambria" w:asciiTheme="majorHAnsi" w:hAnsiTheme="majorHAnsi"/>
          <w:color w:val="000000"/>
        </w:rPr>
        <w:t>5</w:t>
      </w:r>
      <w:r>
        <w:rPr>
          <w:rFonts w:cs="Cambria" w:ascii="Cambria" w:hAnsi="Cambria" w:asciiTheme="majorHAnsi" w:hAnsiTheme="majorHAnsi"/>
          <w:color w:val="C9211E"/>
        </w:rPr>
        <w:t xml:space="preserve"> </w:t>
      </w:r>
      <w:r>
        <w:rPr>
          <w:rFonts w:cs="Cambria" w:ascii="Cambria" w:hAnsi="Cambria" w:asciiTheme="majorHAnsi" w:hAnsiTheme="majorHAnsi"/>
          <w:color w:val="000000"/>
        </w:rPr>
        <w:t xml:space="preserve">dni od dnia przekazania informacji o czynności zamawiającego stanowiącej podstawę jego wniesienia, jeżeli informacja została przekazana przy użyciu środków komunikacji elektronicznej, </w:t>
      </w:r>
    </w:p>
    <w:p>
      <w:pPr>
        <w:pStyle w:val="ListParagraph"/>
        <w:numPr>
          <w:ilvl w:val="0"/>
          <w:numId w:val="15"/>
        </w:numPr>
        <w:spacing w:lineRule="auto" w:line="240" w:before="0" w:after="8"/>
        <w:ind w:left="993" w:hanging="284"/>
        <w:contextualSpacing/>
        <w:jc w:val="both"/>
        <w:rPr>
          <w:rFonts w:ascii="Cambria" w:hAnsi="Cambria" w:cs="Cambria" w:asciiTheme="majorHAnsi" w:hAnsiTheme="majorHAnsi"/>
          <w:color w:val="000000"/>
        </w:rPr>
      </w:pPr>
      <w:r>
        <w:rPr>
          <w:rFonts w:cs="Cambria" w:ascii="Cambria" w:hAnsi="Cambria" w:asciiTheme="majorHAnsi" w:hAnsiTheme="majorHAnsi"/>
          <w:color w:val="000000"/>
        </w:rPr>
        <w:t xml:space="preserve">10 dni od dnia przekazania informacji o czynności zamawiającego stanowiącej podstawę jego wniesienia, jeżeli informacja została przekazana w sposób inny niż określony w pkt 1). </w:t>
      </w:r>
    </w:p>
    <w:p>
      <w:pPr>
        <w:pStyle w:val="Normal"/>
        <w:numPr>
          <w:ilvl w:val="0"/>
          <w:numId w:val="26"/>
        </w:numPr>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Odwołanie w przypadkach innych niż określone w pkt 5 i 6 wnosi się w terminie 5 dni od dnia, </w:t>
      </w:r>
      <w:r>
        <w:rPr>
          <w:rFonts w:cs="Cambria" w:ascii="Cambria" w:hAnsi="Cambria" w:asciiTheme="majorHAnsi" w:hAnsiTheme="majorHAnsi"/>
          <w:color w:val="000000"/>
          <w:sz w:val="22"/>
          <w:szCs w:val="22"/>
          <w:shd w:fill="FFFFFF" w:val="clear"/>
        </w:rPr>
        <w:t>w którym powzięto lub przy zachowaniu należytej staranności można było powziąć wiadomość o o</w:t>
      </w:r>
      <w:r>
        <w:rPr>
          <w:rFonts w:cs="Cambria" w:ascii="Cambria" w:hAnsi="Cambria" w:asciiTheme="majorHAnsi" w:hAnsiTheme="majorHAnsi"/>
          <w:color w:val="000000"/>
          <w:sz w:val="22"/>
          <w:szCs w:val="22"/>
        </w:rPr>
        <w:t xml:space="preserve">kolicznościach stanowiących podstawę jego wniesienia </w:t>
      </w:r>
    </w:p>
    <w:p>
      <w:pPr>
        <w:pStyle w:val="Normal"/>
        <w:numPr>
          <w:ilvl w:val="0"/>
          <w:numId w:val="26"/>
        </w:numPr>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Na orzeczenie Izby oraz postanowienie Prezesa Izby, o którym mowa w art. 519 ust. 1 ustawy p.z.p., stronom oraz uczestnikom postępowania odwoławczego przysługuje skarga do sądu. </w:t>
      </w:r>
    </w:p>
    <w:p>
      <w:pPr>
        <w:pStyle w:val="Normal"/>
        <w:numPr>
          <w:ilvl w:val="0"/>
          <w:numId w:val="26"/>
        </w:numPr>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 postępowaniu toczącym się wskutek wniesienia skargi stosuje się odpowiednio przepisy ustawy z dnia 17 listopada 1964 r. - Kodeks postępowania cywilnego o apelacji, jeżeli przepisy niniejszego rozdziału nie stanowią inaczej. </w:t>
      </w:r>
    </w:p>
    <w:p>
      <w:pPr>
        <w:pStyle w:val="Normal"/>
        <w:numPr>
          <w:ilvl w:val="0"/>
          <w:numId w:val="26"/>
        </w:numPr>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Skargę wnosi się do Sądu Okręgowego w Warszawie - sądu zamówień publicznych, zwanego dalej "sądem zamówień publicznych". </w:t>
      </w:r>
    </w:p>
    <w:p>
      <w:pPr>
        <w:pStyle w:val="Normal"/>
        <w:numPr>
          <w:ilvl w:val="0"/>
          <w:numId w:val="26"/>
        </w:numPr>
        <w:spacing w:before="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pPr>
        <w:pStyle w:val="Normal"/>
        <w:numPr>
          <w:ilvl w:val="0"/>
          <w:numId w:val="26"/>
        </w:numPr>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Prezes Izby przekazuje skargę wraz z aktami postępowania odwoławczego do sądu zamówień publicznych w terminie 7 dni od dnia jej otrzymania. </w:t>
      </w:r>
    </w:p>
    <w:p>
      <w:pPr>
        <w:pStyle w:val="Normal"/>
        <w:ind w:left="513" w:hanging="0"/>
        <w:jc w:val="both"/>
        <w:rPr>
          <w:rFonts w:ascii="Cambria" w:hAnsi="Cambria" w:cs="Cambria" w:asciiTheme="majorHAnsi" w:hAnsiTheme="majorHAnsi"/>
          <w:color w:val="000000"/>
          <w:sz w:val="22"/>
          <w:szCs w:val="22"/>
        </w:rPr>
      </w:pPr>
      <w:r>
        <w:rPr>
          <w:rFonts w:cs="Cambria" w:ascii="Cambria" w:hAnsi="Cambria"/>
          <w:color w:val="000000"/>
          <w:sz w:val="22"/>
          <w:szCs w:val="22"/>
        </w:rPr>
      </w:r>
    </w:p>
    <w:tbl>
      <w:tblPr>
        <w:tblW w:w="9300" w:type="dxa"/>
        <w:jc w:val="left"/>
        <w:tblInd w:w="70" w:type="dxa"/>
        <w:tblCellMar>
          <w:top w:w="83" w:type="dxa"/>
          <w:left w:w="0" w:type="dxa"/>
          <w:bottom w:w="0" w:type="dxa"/>
          <w:right w:w="115" w:type="dxa"/>
        </w:tblCellMar>
        <w:tblLook w:firstRow="0" w:noVBand="0" w:lastRow="0" w:firstColumn="0" w:lastColumn="0" w:noHBand="0" w:val="0000"/>
      </w:tblPr>
      <w:tblGrid>
        <w:gridCol w:w="637"/>
        <w:gridCol w:w="8662"/>
      </w:tblGrid>
      <w:tr>
        <w:trPr>
          <w:trHeight w:val="599" w:hRule="atLeast"/>
        </w:trPr>
        <w:tc>
          <w:tcPr>
            <w:tcW w:w="637"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21. </w:t>
            </w:r>
          </w:p>
        </w:tc>
        <w:tc>
          <w:tcPr>
            <w:tcW w:w="8662"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ZABEZPIECZENIE NALEŻYTEGO WYKONANIA UMOWY</w:t>
            </w:r>
          </w:p>
        </w:tc>
      </w:tr>
    </w:tbl>
    <w:p>
      <w:pPr>
        <w:pStyle w:val="Normal"/>
        <w:numPr>
          <w:ilvl w:val="0"/>
          <w:numId w:val="7"/>
        </w:numPr>
        <w:spacing w:before="0" w:after="240"/>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wymaga wniesienia zabezpieczenia należytego wykonania umowy w terminie 7 dni od daty podpisania umowy, lecz nie później niż w dniu rozpoczęcia robót.  </w:t>
      </w:r>
    </w:p>
    <w:p>
      <w:pPr>
        <w:pStyle w:val="Normal"/>
        <w:numPr>
          <w:ilvl w:val="0"/>
          <w:numId w:val="7"/>
        </w:numPr>
        <w:spacing w:before="0" w:after="240"/>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Zabezpieczenie należytego wykonania umowy może być wnoszone, według wyboru wykonawcy, w jednej lub w kilku następujących formach:</w:t>
      </w:r>
    </w:p>
    <w:p>
      <w:pPr>
        <w:pStyle w:val="Normal"/>
        <w:numPr>
          <w:ilvl w:val="2"/>
          <w:numId w:val="20"/>
        </w:numPr>
        <w:spacing w:before="240" w:after="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pieniądzu;</w:t>
      </w:r>
    </w:p>
    <w:p>
      <w:pPr>
        <w:pStyle w:val="Normal"/>
        <w:numPr>
          <w:ilvl w:val="2"/>
          <w:numId w:val="20"/>
        </w:numPr>
        <w:spacing w:before="240" w:after="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poręczeniach bankowych lub poręczeniach spółdzielczej kasy oszczędnościowo-kredytowej, z  tym że zobowiązanie kasy jest zawsze zobowiązaniem pieniężnym;</w:t>
      </w:r>
    </w:p>
    <w:p>
      <w:pPr>
        <w:pStyle w:val="Normal"/>
        <w:numPr>
          <w:ilvl w:val="2"/>
          <w:numId w:val="20"/>
        </w:numPr>
        <w:spacing w:before="240" w:after="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gwarancjach bankowych;</w:t>
      </w:r>
    </w:p>
    <w:p>
      <w:pPr>
        <w:pStyle w:val="Normal"/>
        <w:numPr>
          <w:ilvl w:val="2"/>
          <w:numId w:val="20"/>
        </w:numPr>
        <w:spacing w:before="240" w:after="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gwarancjach ubezpieczeniowych;</w:t>
      </w:r>
    </w:p>
    <w:p>
      <w:pPr>
        <w:pStyle w:val="Normal"/>
        <w:numPr>
          <w:ilvl w:val="2"/>
          <w:numId w:val="20"/>
        </w:numPr>
        <w:spacing w:before="240" w:after="240"/>
        <w:ind w:left="993" w:hanging="284"/>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poręczeniach udzielanych przez podmioty, o których mowa w art. 6b ust. 5 pkt 2 ustawy z dnia 9 listopada 2000 r. o utworzeniu Polskiej Agencji Rozwoju Przedsiębiorczości</w:t>
      </w:r>
    </w:p>
    <w:p>
      <w:pPr>
        <w:pStyle w:val="Normal"/>
        <w:numPr>
          <w:ilvl w:val="0"/>
          <w:numId w:val="7"/>
        </w:numPr>
        <w:spacing w:before="240" w:after="240"/>
        <w:ind w:left="1424" w:hanging="998"/>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dopuszcza  możliwości wniesienia zabezpieczenia w innej formie.</w:t>
      </w:r>
    </w:p>
    <w:p>
      <w:pPr>
        <w:pStyle w:val="Normal"/>
        <w:numPr>
          <w:ilvl w:val="0"/>
          <w:numId w:val="7"/>
        </w:numPr>
        <w:spacing w:before="0" w:after="240"/>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Zabezpieczenie wnoszone w pieniądzu wykonawca wpłaca przelewem na rachunek bankowy wskazany przez zamawiającego. W przypadku wniesienia wadium w pieniądzu wykonawca może wyrazić zgodę na zaliczenie kwoty wadium na poczet zabezpieczenia.</w:t>
      </w:r>
    </w:p>
    <w:p>
      <w:pPr>
        <w:pStyle w:val="Normal"/>
        <w:numPr>
          <w:ilvl w:val="0"/>
          <w:numId w:val="7"/>
        </w:numPr>
        <w:spacing w:before="0" w:after="240"/>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W trakcie realizacji umowy wykonawca może dokonać zmiany formy zabezpieczenia na jedną lub kilka form, o których mowa w art. 450 ust. 1 ustawy Prawo zamówień publicznych.</w:t>
      </w:r>
    </w:p>
    <w:p>
      <w:pPr>
        <w:pStyle w:val="Normal"/>
        <w:numPr>
          <w:ilvl w:val="0"/>
          <w:numId w:val="7"/>
        </w:numPr>
        <w:spacing w:before="0" w:after="240"/>
        <w:ind w:left="709" w:hanging="283"/>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Wysokość zabezpieczenia - Zamawiający </w:t>
      </w:r>
      <w:r>
        <w:rPr>
          <w:rFonts w:cs="Cambria" w:ascii="Cambria" w:hAnsi="Cambria" w:asciiTheme="majorHAnsi" w:hAnsiTheme="majorHAnsi"/>
          <w:b/>
          <w:color w:val="000000"/>
          <w:sz w:val="22"/>
          <w:szCs w:val="22"/>
        </w:rPr>
        <w:t>ustalił na 5% ceny całkowitej (brutto)</w:t>
      </w:r>
      <w:r>
        <w:rPr>
          <w:rFonts w:cs="Cambria" w:ascii="Cambria" w:hAnsi="Cambria" w:asciiTheme="majorHAnsi" w:hAnsiTheme="majorHAnsi"/>
          <w:color w:val="000000"/>
          <w:sz w:val="22"/>
          <w:szCs w:val="22"/>
        </w:rPr>
        <w:t xml:space="preserve"> określonej w ofercie. </w:t>
      </w:r>
    </w:p>
    <w:p>
      <w:pPr>
        <w:pStyle w:val="Normal"/>
        <w:numPr>
          <w:ilvl w:val="0"/>
          <w:numId w:val="7"/>
        </w:numPr>
        <w:spacing w:before="0" w:after="240"/>
        <w:ind w:left="709" w:hanging="283"/>
        <w:jc w:val="both"/>
        <w:rPr>
          <w:rFonts w:ascii="Cambria" w:hAnsi="Cambria" w:eastAsia="Arial" w:cs="Cambria" w:asciiTheme="majorHAnsi" w:hAnsiTheme="majorHAnsi"/>
          <w:b/>
          <w:b/>
          <w:color w:val="000000"/>
          <w:sz w:val="22"/>
          <w:szCs w:val="22"/>
        </w:rPr>
      </w:pPr>
      <w:r>
        <w:rPr>
          <w:rFonts w:cs="Cambria" w:ascii="Cambria" w:hAnsi="Cambria" w:asciiTheme="majorHAnsi" w:hAnsiTheme="majorHAnsi"/>
          <w:color w:val="000000"/>
          <w:sz w:val="22"/>
          <w:szCs w:val="22"/>
        </w:rPr>
        <w:t xml:space="preserve">Zasady zwrotu zabezpieczenia należytego wykonania umowy określa art. 453 ustawy Prawo zamówień publicznych. </w:t>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382"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22.</w:t>
            </w:r>
          </w:p>
        </w:tc>
        <w:tc>
          <w:tcPr>
            <w:tcW w:w="8664" w:type="dxa"/>
            <w:tcBorders/>
            <w:shd w:color="auto" w:fill="E7E6E6" w:val="clear"/>
          </w:tcPr>
          <w:p>
            <w:pPr>
              <w:pStyle w:val="Normal"/>
              <w:spacing w:before="240" w:after="240"/>
              <w:ind w:left="82" w:hanging="0"/>
              <w:jc w:val="both"/>
              <w:rPr>
                <w:rFonts w:ascii="Cambria" w:hAnsi="Cambria" w:asciiTheme="majorHAnsi" w:hAnsiTheme="majorHAnsi"/>
              </w:rPr>
            </w:pPr>
            <w:r>
              <w:rPr>
                <w:rFonts w:cs="Cambria" w:ascii="Cambria" w:hAnsi="Cambria" w:asciiTheme="majorHAnsi" w:hAnsiTheme="majorHAnsi"/>
                <w:b/>
                <w:color w:val="000000"/>
                <w:sz w:val="22"/>
                <w:szCs w:val="22"/>
              </w:rPr>
              <w:t xml:space="preserve">KLAUZULA RODO </w:t>
            </w:r>
          </w:p>
        </w:tc>
      </w:tr>
    </w:tbl>
    <w:p>
      <w:pPr>
        <w:pStyle w:val="Normal"/>
        <w:spacing w:lineRule="auto" w:line="276" w:before="0" w:after="240"/>
        <w:ind w:left="993" w:hanging="0"/>
        <w:jc w:val="both"/>
        <w:rPr/>
      </w:pPr>
      <w:r>
        <w:rPr>
          <w:rFonts w:cs="Cambria" w:ascii="Cambria" w:hAnsi="Cambria"/>
          <w:bCs/>
          <w:color w:val="000000"/>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 </w:t>
      </w:r>
    </w:p>
    <w:p>
      <w:pPr>
        <w:pStyle w:val="Normal"/>
        <w:numPr>
          <w:ilvl w:val="1"/>
          <w:numId w:val="50"/>
        </w:numPr>
        <w:spacing w:lineRule="auto" w:line="276" w:before="0" w:after="240"/>
        <w:ind w:left="1418" w:hanging="425"/>
        <w:rPr/>
      </w:pPr>
      <w:r>
        <w:rPr>
          <w:rFonts w:cs="Cambria" w:ascii="Cambria" w:hAnsi="Cambria"/>
          <w:bCs/>
          <w:color w:val="000000"/>
          <w:sz w:val="22"/>
          <w:szCs w:val="22"/>
        </w:rPr>
        <w:t>Administratorem Pani/Pana danych osobowych jest Uzdrowisko Rabka S.A., ul. Orkana 49, 34-700 Rabka-Zdrój, telefon: 18 26 76 020, e-mail: sekretariat@uzdrowisko-rabka.pl.</w:t>
      </w:r>
    </w:p>
    <w:p>
      <w:pPr>
        <w:pStyle w:val="Normal"/>
        <w:numPr>
          <w:ilvl w:val="1"/>
          <w:numId w:val="50"/>
        </w:numPr>
        <w:spacing w:lineRule="auto" w:line="276" w:before="0" w:after="240"/>
        <w:ind w:left="1418" w:hanging="425"/>
        <w:jc w:val="both"/>
        <w:rPr/>
      </w:pPr>
      <w:r>
        <w:rPr>
          <w:rFonts w:cs="Cambria" w:ascii="Cambria" w:hAnsi="Cambria"/>
          <w:bCs/>
          <w:color w:val="000000"/>
          <w:sz w:val="22"/>
          <w:szCs w:val="22"/>
        </w:rPr>
        <w:t>Administrator wyznaczył inspektora ochrony danych, z którym może się Pani/Pan skontaktować poprzez email iod@uzdrowisko-rabka.pl lub telefonicznie pod numerem (+48) 603 387 378. Z inspektorem ochrony danych można się kontaktować we wszystkich sprawach dotyczących przetwarzania danych osobowych oraz korzystania z praw związanych z przetwarzaniem danych;</w:t>
      </w:r>
    </w:p>
    <w:p>
      <w:pPr>
        <w:pStyle w:val="Normal"/>
        <w:numPr>
          <w:ilvl w:val="1"/>
          <w:numId w:val="50"/>
        </w:numPr>
        <w:spacing w:lineRule="auto" w:line="276" w:before="0" w:after="240"/>
        <w:ind w:left="1418" w:hanging="425"/>
        <w:rPr/>
      </w:pPr>
      <w:r>
        <w:rPr>
          <w:rFonts w:cs="Cambria" w:ascii="Cambria" w:hAnsi="Cambria"/>
          <w:bCs/>
          <w:color w:val="000000"/>
          <w:sz w:val="22"/>
          <w:szCs w:val="22"/>
        </w:rPr>
        <w:t xml:space="preserve">Pani/Pana dane osobowe przetwarzane będą, na podstawie art. 6 ust. 1 lit. c RODO w zw. z ustawą z dnia 11 września 2019 r. – Prawo zamówień publicznych </w:t>
      </w:r>
      <w:r>
        <w:rPr>
          <w:rFonts w:cs="Cambria" w:ascii="Cambria" w:hAnsi="Cambria"/>
          <w:color w:val="000000"/>
          <w:sz w:val="22"/>
          <w:szCs w:val="22"/>
        </w:rPr>
        <w:t xml:space="preserve">( </w:t>
      </w:r>
      <w:r>
        <w:rPr>
          <w:rFonts w:cs="Cambria" w:ascii="Cambria" w:hAnsi="Cambria"/>
          <w:color w:val="000000"/>
          <w:sz w:val="22"/>
          <w:szCs w:val="22"/>
          <w:lang w:eastAsia="ar-SA"/>
        </w:rPr>
        <w:t>Dz. U. z 2026 r. poz. 793 ze zm.</w:t>
      </w:r>
      <w:r>
        <w:rPr>
          <w:rFonts w:cs="Cambria" w:ascii="Cambria" w:hAnsi="Cambria"/>
          <w:color w:val="000000"/>
          <w:sz w:val="22"/>
          <w:szCs w:val="22"/>
        </w:rPr>
        <w:t>), dalej jako „PZP”, w celu realizacji procesu wyboru wykonawcy na podstawie p</w:t>
      </w:r>
      <w:r>
        <w:rPr>
          <w:rFonts w:cs="Cambria" w:ascii="Cambria" w:hAnsi="Cambria"/>
          <w:bCs/>
          <w:color w:val="000000"/>
          <w:sz w:val="22"/>
          <w:szCs w:val="22"/>
        </w:rPr>
        <w:t>rowadzonego postępowania o udzielenie zamówienia publicznego, a następnie realizacji postanowień umownych związanych z wykonywanym zamówieniem;</w:t>
      </w:r>
    </w:p>
    <w:p>
      <w:pPr>
        <w:pStyle w:val="Normal"/>
        <w:numPr>
          <w:ilvl w:val="1"/>
          <w:numId w:val="50"/>
        </w:numPr>
        <w:spacing w:lineRule="auto" w:line="276" w:before="0" w:after="240"/>
        <w:ind w:left="1418" w:hanging="425"/>
        <w:jc w:val="both"/>
        <w:rPr/>
      </w:pPr>
      <w:r>
        <w:rPr>
          <w:rFonts w:cs="Cambria" w:ascii="Cambria" w:hAnsi="Cambria"/>
          <w:bCs/>
          <w:color w:val="000000"/>
          <w:sz w:val="22"/>
          <w:szCs w:val="22"/>
        </w:rPr>
        <w:t>Pani/Pana dane osobowe mogą być udostępniane innym odbiorcom lub kategoriom odbiorców danych osobowych, na podstawie przepisów prawa oraz zawartych umów powierzenia przetwarzania danych, jeżeli wymagane byłoby to w celu realizacji postanowień umownych,</w:t>
      </w:r>
    </w:p>
    <w:p>
      <w:pPr>
        <w:pStyle w:val="Normal"/>
        <w:numPr>
          <w:ilvl w:val="1"/>
          <w:numId w:val="50"/>
        </w:numPr>
        <w:spacing w:lineRule="auto" w:line="276" w:before="0" w:after="240"/>
        <w:ind w:left="1418" w:hanging="425"/>
        <w:jc w:val="both"/>
        <w:rPr/>
      </w:pPr>
      <w:r>
        <w:rPr>
          <w:rFonts w:cs="Cambria" w:ascii="Cambria" w:hAnsi="Cambria"/>
          <w:bCs/>
          <w:color w:val="000000"/>
          <w:sz w:val="22"/>
          <w:szCs w:val="22"/>
        </w:rPr>
        <w:t>Pani/Pana dane osobowe będą przechowywane, zgodnie z z art. 78 ust. 1 PZP przez okres 4 lat od dnia zakończenia postępowania o udzielenie zamówienia, a jeżeli czas trwania umowy przekracza 4 lata, okres przechowywania obejmuje cały czas trwania umowy;</w:t>
      </w:r>
    </w:p>
    <w:p>
      <w:pPr>
        <w:pStyle w:val="Normal"/>
        <w:numPr>
          <w:ilvl w:val="1"/>
          <w:numId w:val="50"/>
        </w:numPr>
        <w:spacing w:lineRule="auto" w:line="276" w:before="0" w:after="240"/>
        <w:ind w:left="1418" w:hanging="425"/>
        <w:jc w:val="both"/>
        <w:rPr/>
      </w:pPr>
      <w:r>
        <w:rPr>
          <w:rFonts w:cs="Cambria" w:ascii="Cambria" w:hAnsi="Cambria"/>
          <w:bCs/>
          <w:color w:val="000000"/>
          <w:sz w:val="22"/>
          <w:szCs w:val="22"/>
        </w:rPr>
        <w:t>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p>
      <w:pPr>
        <w:pStyle w:val="Normal"/>
        <w:numPr>
          <w:ilvl w:val="1"/>
          <w:numId w:val="50"/>
        </w:numPr>
        <w:spacing w:lineRule="auto" w:line="276" w:before="0" w:after="240"/>
        <w:ind w:left="1418" w:hanging="425"/>
        <w:jc w:val="both"/>
        <w:rPr/>
      </w:pPr>
      <w:r>
        <w:rPr>
          <w:rFonts w:cs="Cambria" w:ascii="Cambria" w:hAnsi="Cambria"/>
          <w:bCs/>
          <w:color w:val="000000"/>
          <w:sz w:val="22"/>
          <w:szCs w:val="22"/>
        </w:rPr>
        <w:t>W odniesieniu do Pani/Pana danych osobowych decyzje nie będą podejmowane w sposób zautomatyzowany, stosowanie do art. 22 RODO;</w:t>
      </w:r>
    </w:p>
    <w:p>
      <w:pPr>
        <w:pStyle w:val="Normal"/>
        <w:numPr>
          <w:ilvl w:val="1"/>
          <w:numId w:val="50"/>
        </w:numPr>
        <w:spacing w:lineRule="auto" w:line="276" w:before="0" w:after="240"/>
        <w:ind w:left="1418" w:hanging="425"/>
        <w:jc w:val="both"/>
        <w:rPr/>
      </w:pPr>
      <w:r>
        <w:rPr>
          <w:rFonts w:cs="Cambria" w:ascii="Cambria" w:hAnsi="Cambria"/>
          <w:bCs/>
          <w:color w:val="000000"/>
          <w:sz w:val="22"/>
          <w:szCs w:val="22"/>
        </w:rPr>
        <w:t>Posiada Pani/Pan prawo do:</w:t>
      </w:r>
    </w:p>
    <w:p>
      <w:pPr>
        <w:pStyle w:val="Normal"/>
        <w:numPr>
          <w:ilvl w:val="2"/>
          <w:numId w:val="50"/>
        </w:numPr>
        <w:spacing w:lineRule="auto" w:line="276" w:before="0" w:after="240"/>
        <w:jc w:val="both"/>
        <w:rPr/>
      </w:pPr>
      <w:r>
        <w:rPr>
          <w:rFonts w:cs="Cambria" w:ascii="Cambria" w:hAnsi="Cambria"/>
          <w:bCs/>
          <w:color w:val="000000"/>
          <w:sz w:val="22"/>
          <w:szCs w:val="22"/>
        </w:rPr>
        <w:t>dostępu do danych osobowych, które Pani/Pana dotyczą (art. 15 RODO), przy czym administrator może żądać od osoby, której dane dotyczą, wskazania dodatkowych informacji mających na celu sprecyzowanie żądania, w szczególności podania nazwy lub daty postępowania o udzielenie zamówienia publicznego;</w:t>
      </w:r>
    </w:p>
    <w:p>
      <w:pPr>
        <w:pStyle w:val="Normal"/>
        <w:numPr>
          <w:ilvl w:val="2"/>
          <w:numId w:val="50"/>
        </w:numPr>
        <w:spacing w:lineRule="auto" w:line="276" w:before="0" w:after="240"/>
        <w:jc w:val="both"/>
        <w:rPr/>
      </w:pPr>
      <w:r>
        <w:rPr>
          <w:rFonts w:cs="Cambria" w:ascii="Cambria" w:hAnsi="Cambria"/>
          <w:bCs/>
          <w:color w:val="000000"/>
          <w:sz w:val="22"/>
          <w:szCs w:val="22"/>
        </w:rPr>
        <w:t>sprostowania lub uzupełnienia danych osobowych (art. 16 RODO) przy czym skorzystanie z niniejszego uprawnienia nie może skutkować zmianą wyniku postępowania o udzielenie zamówienia publicznego ani zmianą postanowień umowy w zakresie niezgodnym PZP;</w:t>
      </w:r>
    </w:p>
    <w:p>
      <w:pPr>
        <w:pStyle w:val="Normal"/>
        <w:numPr>
          <w:ilvl w:val="2"/>
          <w:numId w:val="50"/>
        </w:numPr>
        <w:spacing w:lineRule="auto" w:line="276" w:before="0" w:after="240"/>
        <w:jc w:val="both"/>
        <w:rPr/>
      </w:pPr>
      <w:r>
        <w:rPr>
          <w:rFonts w:cs="Cambria" w:ascii="Cambria" w:hAnsi="Cambria"/>
          <w:bCs/>
          <w:color w:val="000000"/>
          <w:sz w:val="22"/>
          <w:szCs w:val="22"/>
        </w:rPr>
        <w:t>ograniczenia przetwarzania danych osobowych (art. 18 RODO) przy czym wystąpienie z żądaniem, nie ogranicza przetwarzania danych osobowych do czasu zakończenia postępowania o udzielenie zamówienia publicznego;</w:t>
      </w:r>
    </w:p>
    <w:p>
      <w:pPr>
        <w:pStyle w:val="Normal"/>
        <w:numPr>
          <w:ilvl w:val="2"/>
          <w:numId w:val="50"/>
        </w:numPr>
        <w:spacing w:lineRule="auto" w:line="276" w:before="0" w:after="240"/>
        <w:jc w:val="both"/>
        <w:rPr/>
      </w:pPr>
      <w:r>
        <w:rPr>
          <w:rFonts w:cs="Cambria" w:ascii="Cambria" w:hAnsi="Cambria"/>
          <w:bCs/>
          <w:color w:val="000000"/>
          <w:sz w:val="22"/>
          <w:szCs w:val="22"/>
        </w:rPr>
        <w:t>wniesienia skargi do Prezesa Urzędu Ochrony Danych Osobowych, przy ul. Stawki 2, 00-193 Warszawa (art. 77 RODO), gdy uzna Pani/Pan, że przetwarzanie danych osobowych narusza przepisy RODO;</w:t>
      </w:r>
    </w:p>
    <w:p>
      <w:pPr>
        <w:pStyle w:val="Normal"/>
        <w:numPr>
          <w:ilvl w:val="1"/>
          <w:numId w:val="50"/>
        </w:numPr>
        <w:spacing w:lineRule="auto" w:line="276" w:before="0" w:after="240"/>
        <w:jc w:val="both"/>
        <w:rPr/>
      </w:pPr>
      <w:r>
        <w:rPr>
          <w:rFonts w:cs="Cambria" w:ascii="Cambria" w:hAnsi="Cambria"/>
          <w:bCs/>
          <w:color w:val="000000"/>
          <w:sz w:val="22"/>
          <w:szCs w:val="22"/>
        </w:rPr>
        <w:t>Nie przysługuje Pani/Panu prawo do:</w:t>
      </w:r>
    </w:p>
    <w:p>
      <w:pPr>
        <w:pStyle w:val="Normal"/>
        <w:numPr>
          <w:ilvl w:val="2"/>
          <w:numId w:val="50"/>
        </w:numPr>
        <w:spacing w:lineRule="auto" w:line="276" w:before="0" w:after="240"/>
        <w:jc w:val="both"/>
        <w:rPr/>
      </w:pPr>
      <w:r>
        <w:rPr>
          <w:rFonts w:cs="Cambria" w:ascii="Cambria" w:hAnsi="Cambria"/>
          <w:bCs/>
          <w:color w:val="000000"/>
          <w:sz w:val="22"/>
          <w:szCs w:val="22"/>
        </w:rPr>
        <w:t>w związku z prawo do usunięcia danych osobowych (art. 17 ust. 3 lit. b, d lub e RODO);</w:t>
      </w:r>
    </w:p>
    <w:p>
      <w:pPr>
        <w:pStyle w:val="Normal"/>
        <w:numPr>
          <w:ilvl w:val="2"/>
          <w:numId w:val="50"/>
        </w:numPr>
        <w:spacing w:lineRule="auto" w:line="276" w:before="0" w:after="240"/>
        <w:jc w:val="both"/>
        <w:rPr/>
      </w:pPr>
      <w:r>
        <w:rPr>
          <w:rFonts w:cs="Cambria" w:ascii="Cambria" w:hAnsi="Cambria"/>
          <w:bCs/>
          <w:color w:val="000000"/>
          <w:sz w:val="22"/>
          <w:szCs w:val="22"/>
        </w:rPr>
        <w:t>usunięcia lub przenoszenia danych osobowych (art. 20 RODO);</w:t>
      </w:r>
    </w:p>
    <w:p>
      <w:pPr>
        <w:pStyle w:val="Normal"/>
        <w:numPr>
          <w:ilvl w:val="2"/>
          <w:numId w:val="50"/>
        </w:numPr>
        <w:spacing w:lineRule="auto" w:line="276" w:before="0" w:after="240"/>
        <w:jc w:val="both"/>
        <w:rPr/>
      </w:pPr>
      <w:r>
        <w:rPr>
          <w:rFonts w:cs="Cambria" w:ascii="Cambria" w:hAnsi="Cambria"/>
          <w:bCs/>
          <w:color w:val="000000"/>
          <w:sz w:val="22"/>
          <w:szCs w:val="22"/>
        </w:rPr>
        <w:t>sprzeciwu, wobec przetwarzania danych osobowych (art. 21 RODO).</w:t>
      </w:r>
    </w:p>
    <w:p>
      <w:pPr>
        <w:pStyle w:val="Normal"/>
        <w:spacing w:before="0" w:after="240"/>
        <w:ind w:left="720" w:hanging="0"/>
        <w:jc w:val="both"/>
        <w:rPr>
          <w:rFonts w:ascii="Cambria" w:hAnsi="Cambria" w:eastAsia="Arial" w:cs="Cambria" w:asciiTheme="majorHAnsi" w:hAnsiTheme="majorHAnsi"/>
          <w:b/>
          <w:b/>
          <w:color w:val="000000"/>
          <w:sz w:val="22"/>
          <w:szCs w:val="22"/>
        </w:rPr>
      </w:pPr>
      <w:r>
        <w:rPr>
          <w:rFonts w:eastAsia="Arial" w:cs="Cambria" w:ascii="Cambria" w:hAnsi="Cambria"/>
          <w:b/>
          <w:color w:val="000000"/>
          <w:sz w:val="22"/>
          <w:szCs w:val="22"/>
        </w:rPr>
      </w:r>
    </w:p>
    <w:tbl>
      <w:tblPr>
        <w:tblW w:w="9076" w:type="dxa"/>
        <w:jc w:val="left"/>
        <w:tblInd w:w="70" w:type="dxa"/>
        <w:tblCellMar>
          <w:top w:w="83" w:type="dxa"/>
          <w:left w:w="0" w:type="dxa"/>
          <w:bottom w:w="0" w:type="dxa"/>
          <w:right w:w="115" w:type="dxa"/>
        </w:tblCellMar>
        <w:tblLook w:firstRow="0" w:noVBand="0" w:lastRow="0" w:firstColumn="0" w:lastColumn="0" w:noHBand="0" w:val="0000"/>
      </w:tblPr>
      <w:tblGrid>
        <w:gridCol w:w="551"/>
        <w:gridCol w:w="8524"/>
      </w:tblGrid>
      <w:tr>
        <w:trPr>
          <w:trHeight w:val="677" w:hRule="atLeast"/>
        </w:trPr>
        <w:tc>
          <w:tcPr>
            <w:tcW w:w="551"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 xml:space="preserve">23. </w:t>
            </w:r>
          </w:p>
        </w:tc>
        <w:tc>
          <w:tcPr>
            <w:tcW w:w="8524" w:type="dxa"/>
            <w:tcBorders/>
            <w:shd w:color="auto" w:fill="E7E6E6" w:val="clear"/>
          </w:tcPr>
          <w:p>
            <w:pPr>
              <w:pStyle w:val="Normal"/>
              <w:spacing w:before="240" w:after="240"/>
              <w:ind w:left="224" w:hanging="0"/>
              <w:jc w:val="both"/>
              <w:rPr>
                <w:rFonts w:ascii="Cambria" w:hAnsi="Cambria" w:asciiTheme="majorHAnsi" w:hAnsiTheme="majorHAnsi"/>
              </w:rPr>
            </w:pPr>
            <w:r>
              <w:rPr>
                <w:rFonts w:cs="Cambria" w:ascii="Cambria" w:hAnsi="Cambria" w:asciiTheme="majorHAnsi" w:hAnsiTheme="majorHAnsi"/>
                <w:b/>
                <w:color w:val="000000"/>
                <w:sz w:val="22"/>
                <w:szCs w:val="22"/>
              </w:rPr>
              <w:t xml:space="preserve">WZÓR UMOWY </w:t>
            </w:r>
          </w:p>
        </w:tc>
      </w:tr>
    </w:tbl>
    <w:p>
      <w:pPr>
        <w:pStyle w:val="Normal"/>
        <w:spacing w:before="240" w:after="240"/>
        <w:ind w:left="720" w:hanging="0"/>
        <w:jc w:val="both"/>
        <w:rPr>
          <w:rFonts w:ascii="Cambria" w:hAnsi="Cambria" w:eastAsia="Arial" w:cs="Cambria" w:asciiTheme="majorHAnsi" w:hAnsiTheme="majorHAnsi"/>
          <w:b/>
          <w:b/>
          <w:color w:val="000000"/>
          <w:sz w:val="22"/>
          <w:szCs w:val="22"/>
        </w:rPr>
      </w:pPr>
      <w:r>
        <w:rPr>
          <w:rFonts w:eastAsia="Arial" w:cs="Cambria" w:ascii="Cambria" w:hAnsi="Cambria" w:asciiTheme="majorHAnsi" w:hAnsiTheme="majorHAnsi"/>
          <w:color w:val="000000"/>
          <w:sz w:val="22"/>
          <w:szCs w:val="22"/>
        </w:rPr>
        <w:t xml:space="preserve">Wzór umowy stanowi </w:t>
      </w:r>
      <w:r>
        <w:rPr>
          <w:rFonts w:eastAsia="Arial" w:cs="Cambria" w:ascii="Cambria" w:hAnsi="Cambria" w:asciiTheme="majorHAnsi" w:hAnsiTheme="majorHAnsi"/>
          <w:b/>
          <w:color w:val="000000"/>
          <w:sz w:val="22"/>
          <w:szCs w:val="22"/>
        </w:rPr>
        <w:t>załącznik nr 9</w:t>
      </w:r>
      <w:r>
        <w:rPr>
          <w:rFonts w:eastAsia="Arial" w:cs="Cambria" w:ascii="Cambria" w:hAnsi="Cambria" w:asciiTheme="majorHAnsi" w:hAnsiTheme="majorHAnsi"/>
          <w:color w:val="000000"/>
          <w:sz w:val="22"/>
          <w:szCs w:val="22"/>
        </w:rPr>
        <w:t xml:space="preserve">  do SWZ.</w:t>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472"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24.</w:t>
            </w:r>
          </w:p>
        </w:tc>
        <w:tc>
          <w:tcPr>
            <w:tcW w:w="8664" w:type="dxa"/>
            <w:tcBorders/>
            <w:shd w:color="auto" w:fill="E7E6E6" w:val="clear"/>
          </w:tcPr>
          <w:p>
            <w:pPr>
              <w:pStyle w:val="Normal"/>
              <w:spacing w:before="240" w:after="240"/>
              <w:ind w:left="224" w:hanging="0"/>
              <w:jc w:val="both"/>
              <w:rPr>
                <w:rFonts w:ascii="Cambria" w:hAnsi="Cambria" w:asciiTheme="majorHAnsi" w:hAnsiTheme="majorHAnsi"/>
              </w:rPr>
            </w:pPr>
            <w:r>
              <w:rPr>
                <w:rFonts w:cs="Cambria" w:ascii="Cambria" w:hAnsi="Cambria" w:asciiTheme="majorHAnsi" w:hAnsiTheme="majorHAnsi"/>
                <w:b/>
                <w:color w:val="000000"/>
                <w:sz w:val="22"/>
                <w:szCs w:val="22"/>
              </w:rPr>
              <w:t>OFERTY WARIANTOWE. UMOWA RAMOWA . KATALOGI ELEKTRONICZNE</w:t>
            </w:r>
          </w:p>
        </w:tc>
      </w:tr>
    </w:tbl>
    <w:p>
      <w:pPr>
        <w:pStyle w:val="Normal"/>
        <w:numPr>
          <w:ilvl w:val="0"/>
          <w:numId w:val="16"/>
        </w:numPr>
        <w:spacing w:before="240" w:after="240"/>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Zamawiający nie dopuszcza składania ofert wariantowych oraz nie przewiduje zawarcia umowy ramowej. </w:t>
      </w:r>
    </w:p>
    <w:p>
      <w:pPr>
        <w:pStyle w:val="Normal"/>
        <w:numPr>
          <w:ilvl w:val="0"/>
          <w:numId w:val="16"/>
        </w:numPr>
        <w:spacing w:before="0" w:after="329"/>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Zamawiający nie wymaga ani nie dopuszcza składania katalogów elektronicznych.</w:t>
      </w:r>
    </w:p>
    <w:p>
      <w:pPr>
        <w:pStyle w:val="Normal"/>
        <w:numPr>
          <w:ilvl w:val="0"/>
          <w:numId w:val="16"/>
        </w:numPr>
        <w:spacing w:before="0" w:after="329"/>
        <w:jc w:val="both"/>
        <w:rPr>
          <w:rFonts w:ascii="Cambria" w:hAnsi="Cambria" w:eastAsia="Arial" w:cs="Cambria" w:asciiTheme="majorHAnsi" w:hAnsiTheme="majorHAnsi"/>
          <w:b/>
          <w:b/>
          <w:color w:val="000000"/>
          <w:sz w:val="22"/>
          <w:szCs w:val="22"/>
        </w:rPr>
      </w:pPr>
      <w:r>
        <w:rPr>
          <w:rFonts w:cs="Cambria" w:ascii="Cambria" w:hAnsi="Cambria" w:asciiTheme="majorHAnsi" w:hAnsiTheme="majorHAnsi"/>
          <w:color w:val="000000"/>
          <w:sz w:val="22"/>
          <w:szCs w:val="22"/>
        </w:rPr>
        <w:t xml:space="preserve">Zamawiający nie dopuszcza składania ofert częściowych. </w:t>
      </w:r>
      <w:r>
        <w:rPr>
          <w:rFonts w:cs="Cambria" w:ascii="Cambria" w:hAnsi="Cambria" w:asciiTheme="majorHAnsi" w:hAnsiTheme="majorHAnsi"/>
          <w:sz w:val="22"/>
          <w:szCs w:val="22"/>
        </w:rPr>
        <w:t xml:space="preserve">  </w:t>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579"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25.</w:t>
            </w:r>
          </w:p>
        </w:tc>
        <w:tc>
          <w:tcPr>
            <w:tcW w:w="8664"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 xml:space="preserve">AUKCJA ELEKTRONICZNA </w:t>
            </w:r>
          </w:p>
        </w:tc>
      </w:tr>
    </w:tbl>
    <w:p>
      <w:pPr>
        <w:pStyle w:val="Normal"/>
        <w:spacing w:before="240" w:after="240"/>
        <w:ind w:left="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 xml:space="preserve">Zamawiający nie przewiduje wyboru najkorzystniejszej oferty z zastosowaniem aukcji elektronicznej.  </w:t>
      </w:r>
    </w:p>
    <w:p>
      <w:pPr>
        <w:pStyle w:val="Normal"/>
        <w:spacing w:before="240" w:after="240"/>
        <w:ind w:left="9" w:hanging="0"/>
        <w:jc w:val="both"/>
        <w:rPr>
          <w:rFonts w:ascii="Cambria" w:hAnsi="Cambria" w:eastAsia="Arial" w:cs="Cambria" w:asciiTheme="majorHAnsi" w:hAnsiTheme="majorHAnsi"/>
          <w:b/>
          <w:b/>
          <w:color w:val="000000"/>
          <w:sz w:val="22"/>
          <w:szCs w:val="22"/>
        </w:rPr>
      </w:pPr>
      <w:r>
        <w:rPr>
          <w:rFonts w:eastAsia="Arial" w:cs="Cambria" w:ascii="Cambria" w:hAnsi="Cambria"/>
          <w:b/>
          <w:color w:val="000000"/>
          <w:sz w:val="22"/>
          <w:szCs w:val="22"/>
        </w:rPr>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530"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26.</w:t>
            </w:r>
          </w:p>
        </w:tc>
        <w:tc>
          <w:tcPr>
            <w:tcW w:w="8664"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ZWROT KOSZTÓW UDZIAŁU W POSTĘPOWANIA</w:t>
            </w:r>
          </w:p>
        </w:tc>
      </w:tr>
    </w:tbl>
    <w:p>
      <w:pPr>
        <w:pStyle w:val="Normal"/>
        <w:spacing w:before="240" w:after="240"/>
        <w:ind w:left="9" w:hanging="0"/>
        <w:jc w:val="both"/>
        <w:rPr>
          <w:rFonts w:ascii="Cambria" w:hAnsi="Cambria" w:cs="Cambria" w:asciiTheme="majorHAnsi" w:hAnsiTheme="majorHAnsi"/>
          <w:sz w:val="22"/>
          <w:szCs w:val="22"/>
        </w:rPr>
      </w:pPr>
      <w:r>
        <w:rPr>
          <w:rFonts w:cs="Cambria" w:ascii="Cambria" w:hAnsi="Cambria" w:asciiTheme="majorHAnsi" w:hAnsiTheme="majorHAnsi"/>
          <w:sz w:val="22"/>
          <w:szCs w:val="22"/>
        </w:rPr>
        <w:t>Zamawiający nie przewiduje zwrotu kosztów udziału w postępowaniu z zastrzeżeniem postanowień SWZ.</w:t>
      </w:r>
    </w:p>
    <w:p>
      <w:pPr>
        <w:pStyle w:val="Normal"/>
        <w:spacing w:before="240" w:after="240"/>
        <w:ind w:left="9" w:hanging="0"/>
        <w:jc w:val="both"/>
        <w:rPr>
          <w:rFonts w:ascii="Cambria" w:hAnsi="Cambria" w:eastAsia="Arial" w:cs="Cambria" w:asciiTheme="majorHAnsi" w:hAnsiTheme="majorHAnsi"/>
          <w:b/>
          <w:b/>
          <w:color w:val="000000"/>
          <w:sz w:val="22"/>
          <w:szCs w:val="22"/>
        </w:rPr>
      </w:pPr>
      <w:r>
        <w:rPr>
          <w:rFonts w:eastAsia="Arial" w:cs="Cambria" w:ascii="Cambria" w:hAnsi="Cambria"/>
          <w:b/>
          <w:color w:val="000000"/>
          <w:sz w:val="22"/>
          <w:szCs w:val="22"/>
        </w:rPr>
      </w:r>
    </w:p>
    <w:tbl>
      <w:tblPr>
        <w:tblW w:w="9158" w:type="dxa"/>
        <w:jc w:val="left"/>
        <w:tblInd w:w="70" w:type="dxa"/>
        <w:tblCellMar>
          <w:top w:w="83" w:type="dxa"/>
          <w:left w:w="0" w:type="dxa"/>
          <w:bottom w:w="0" w:type="dxa"/>
          <w:right w:w="115" w:type="dxa"/>
        </w:tblCellMar>
        <w:tblLook w:firstRow="0" w:noVBand="0" w:lastRow="0" w:firstColumn="0" w:lastColumn="0" w:noHBand="0" w:val="0000"/>
      </w:tblPr>
      <w:tblGrid>
        <w:gridCol w:w="493"/>
        <w:gridCol w:w="8664"/>
      </w:tblGrid>
      <w:tr>
        <w:trPr>
          <w:trHeight w:val="480" w:hRule="atLeast"/>
        </w:trPr>
        <w:tc>
          <w:tcPr>
            <w:tcW w:w="493" w:type="dxa"/>
            <w:tcBorders/>
            <w:shd w:color="auto" w:fill="E7E6E6" w:val="clear"/>
          </w:tcPr>
          <w:p>
            <w:pPr>
              <w:pStyle w:val="Normal"/>
              <w:spacing w:before="240" w:after="240"/>
              <w:ind w:left="55" w:hanging="0"/>
              <w:jc w:val="both"/>
              <w:rPr>
                <w:rFonts w:ascii="Cambria" w:hAnsi="Cambria" w:asciiTheme="majorHAnsi" w:hAnsiTheme="majorHAnsi"/>
              </w:rPr>
            </w:pPr>
            <w:r>
              <w:rPr>
                <w:rFonts w:eastAsia="Arial" w:cs="Cambria" w:ascii="Cambria" w:hAnsi="Cambria" w:asciiTheme="majorHAnsi" w:hAnsiTheme="majorHAnsi"/>
                <w:b/>
                <w:color w:val="000000"/>
                <w:sz w:val="22"/>
                <w:szCs w:val="22"/>
              </w:rPr>
              <w:t>27.</w:t>
            </w:r>
          </w:p>
        </w:tc>
        <w:tc>
          <w:tcPr>
            <w:tcW w:w="8664" w:type="dxa"/>
            <w:tcBorders/>
            <w:shd w:color="auto" w:fill="E7E6E6" w:val="clear"/>
          </w:tcPr>
          <w:p>
            <w:pPr>
              <w:pStyle w:val="Normal"/>
              <w:spacing w:before="240" w:after="240"/>
              <w:jc w:val="both"/>
              <w:rPr>
                <w:rFonts w:ascii="Cambria" w:hAnsi="Cambria" w:asciiTheme="majorHAnsi" w:hAnsiTheme="majorHAnsi"/>
              </w:rPr>
            </w:pPr>
            <w:r>
              <w:rPr>
                <w:rFonts w:cs="Cambria" w:ascii="Cambria" w:hAnsi="Cambria" w:asciiTheme="majorHAnsi" w:hAnsiTheme="majorHAnsi"/>
                <w:b/>
                <w:color w:val="000000"/>
                <w:sz w:val="22"/>
                <w:szCs w:val="22"/>
              </w:rPr>
              <w:t xml:space="preserve">WYKAZ ZAŁĄCZNIKÓW DO SWZ </w:t>
            </w:r>
          </w:p>
        </w:tc>
      </w:tr>
    </w:tbl>
    <w:p>
      <w:pPr>
        <w:pStyle w:val="Normal"/>
        <w:numPr>
          <w:ilvl w:val="0"/>
          <w:numId w:val="28"/>
        </w:numPr>
        <w:spacing w:lineRule="auto" w:line="276" w:before="24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Załącznik nr 1 - STWiORB</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Załącznik nr 2 - Formularz ofertowy </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Załącznik nr 3 - Oświadczenie o braku podstaw wykluczenia oraz o spełnianiu warunków udziału  wykonawca/ wykonawca wspólnie ubiegający się o zamówienie </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Załącznik nr 4 - Oświadczenie o braku podstaw wykluczenia oraz o spełnianiu warunków udziału  podmiot udostępniający zasoby </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Załącznik nr 5 - Wykaz osób</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Załącznik nr 6 - Wykaz robót budowlanych </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Załącznik nr 7 - Oświadczenie o aktualności danych  </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Załącznik nr 8 -  Zobowiązanie podmiotu trzeciego do udostępnienia zasobów</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Załącznik nr 9  - Wzór umowy  </w:t>
      </w:r>
    </w:p>
    <w:p>
      <w:pPr>
        <w:pStyle w:val="Normal"/>
        <w:numPr>
          <w:ilvl w:val="0"/>
          <w:numId w:val="28"/>
        </w:numPr>
        <w:spacing w:lineRule="auto" w:line="276" w:before="0" w:after="240"/>
        <w:ind w:left="426" w:hanging="426"/>
        <w:jc w:val="both"/>
        <w:rPr>
          <w:rFonts w:ascii="Cambria" w:hAnsi="Cambria" w:cs="Cambria" w:asciiTheme="majorHAnsi" w:hAnsiTheme="majorHAnsi"/>
          <w:color w:val="000000"/>
          <w:sz w:val="22"/>
          <w:szCs w:val="22"/>
        </w:rPr>
      </w:pPr>
      <w:r>
        <w:rPr>
          <w:rFonts w:cs="Cambria" w:ascii="Cambria" w:hAnsi="Cambria" w:asciiTheme="majorHAnsi" w:hAnsiTheme="majorHAnsi"/>
          <w:color w:val="000000"/>
          <w:sz w:val="22"/>
          <w:szCs w:val="22"/>
        </w:rPr>
        <w:t xml:space="preserve">Załącznik nr 10-   Wzór oświadczenia wykonawców wspólnie ubiegających się o zamówienie  </w:t>
      </w:r>
    </w:p>
    <w:p>
      <w:pPr>
        <w:pStyle w:val="Normal"/>
        <w:numPr>
          <w:ilvl w:val="0"/>
          <w:numId w:val="28"/>
        </w:numPr>
        <w:spacing w:lineRule="auto" w:line="276" w:before="0" w:after="240"/>
        <w:ind w:left="426" w:hanging="426"/>
        <w:jc w:val="both"/>
        <w:rPr/>
      </w:pPr>
      <w:r>
        <w:rPr>
          <w:rFonts w:cs="Cambria" w:ascii="Cambria" w:hAnsi="Cambria" w:asciiTheme="majorHAnsi" w:hAnsiTheme="majorHAnsi"/>
          <w:color w:val="000000"/>
          <w:sz w:val="22"/>
          <w:szCs w:val="22"/>
        </w:rPr>
        <w:t xml:space="preserve">Załącznik nr 11- Wzór Karty gwarancyjnej  </w:t>
      </w:r>
    </w:p>
    <w:p>
      <w:pPr>
        <w:pStyle w:val="Normal"/>
        <w:numPr>
          <w:ilvl w:val="0"/>
          <w:numId w:val="28"/>
        </w:numPr>
        <w:spacing w:lineRule="auto" w:line="276" w:before="0" w:after="240"/>
        <w:ind w:left="426" w:hanging="426"/>
        <w:jc w:val="both"/>
        <w:rPr/>
      </w:pPr>
      <w:r>
        <w:rPr>
          <w:rFonts w:cs="Cambria" w:ascii="Cambria" w:hAnsi="Cambria" w:asciiTheme="majorHAnsi" w:hAnsiTheme="majorHAnsi"/>
          <w:color w:val="000000"/>
          <w:sz w:val="22"/>
          <w:szCs w:val="22"/>
        </w:rPr>
        <w:t>Załącznik nr 12 - Dokumentacja obiektu</w:t>
      </w:r>
    </w:p>
    <w:sectPr>
      <w:headerReference w:type="default" r:id="rId3"/>
      <w:footerReference w:type="default" r:id="rId4"/>
      <w:type w:val="nextPage"/>
      <w:pgSz w:w="11906" w:h="16838"/>
      <w:pgMar w:left="1418" w:right="1418" w:header="426" w:top="993" w:footer="363" w:bottom="113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01"/>
    <w:family w:val="roman"/>
    <w:pitch w:val="default"/>
  </w:font>
  <w:font w:name="Cambria">
    <w:charset w:val="01"/>
    <w:family w:val="roman"/>
    <w:pitch w:val="default"/>
  </w:font>
  <w:font w:name="Calibri">
    <w:charset w:val="01"/>
    <w:family w:val="roman"/>
    <w:pitch w:val="default"/>
  </w:font>
  <w:font w:name="Times New (W1)">
    <w:charset w:val="01"/>
    <w:family w:val="roman"/>
    <w:pitch w:val="default"/>
  </w:font>
  <w:font w:name="Verdana">
    <w:charset w:val="01"/>
    <w:family w:val="roman"/>
    <w:pitch w:val="default"/>
  </w:font>
  <w:font w:name="Symbol">
    <w:charset w:val="01"/>
    <w:family w:val="roman"/>
    <w:pitch w:val="default"/>
  </w:font>
  <w:font w:name="Arial">
    <w:charset w:val="01"/>
    <w:family w:val="roman"/>
    <w:pitch w:val="default"/>
  </w:font>
  <w:font w:name="Segoe UI Symbol">
    <w:charset w:val="01"/>
    <w:family w:val="roman"/>
    <w:pitch w:val="default"/>
  </w:font>
  <w:font w:name="Wingdings">
    <w:charset w:val="01"/>
    <w:family w:val="roman"/>
    <w:pitch w:val="default"/>
  </w:font>
  <w:font w:name="Courier New">
    <w:charset w:val="01"/>
    <w:family w:val="roman"/>
    <w:pitch w:val="default"/>
  </w:font>
  <w:font w:name="Cambria Math">
    <w:charset w:val="01"/>
    <w:family w:val="roman"/>
    <w:pitch w:val="default"/>
  </w:font>
  <w:font w:name="Garamond">
    <w:charset w:val="01"/>
    <w:family w:val="roman"/>
    <w:pitch w:val="default"/>
  </w:font>
  <w:font w:name="Tahoma">
    <w:charset w:val="01"/>
    <w:family w:val="roman"/>
    <w:pitch w:val="default"/>
  </w:font>
  <w:font w:name="Bookman Old Style">
    <w:charset w:val="01"/>
    <w:family w:val="roman"/>
    <w:pitch w:val="default"/>
  </w:font>
  <w:font w:name="Arial Unicode MS">
    <w:charset w:val="01"/>
    <w:family w:val="roman"/>
    <w:pitch w:val="default"/>
  </w:font>
  <w:font w:name="Franklin Gothic Book">
    <w:charset w:val="01"/>
    <w:family w:val="roman"/>
    <w:pitch w:val="default"/>
  </w:font>
  <w:font w:name="Liberation Sans">
    <w:altName w:val="Arial"/>
    <w:charset w:val="01"/>
    <w:family w:val="roman"/>
    <w:pitch w:val="default"/>
  </w:font>
  <w:font w:name="Georgia">
    <w:charset w:val="01"/>
    <w:family w:val="roman"/>
    <w:pitch w:val="default"/>
  </w:font>
  <w:font w:name="Optima">
    <w:charset w:val="01"/>
    <w:family w:val="roman"/>
    <w:pitch w:val="default"/>
  </w:font>
  <w:font w:name="Aptos Narrow">
    <w:charset w:val="01"/>
    <w:family w:val="roman"/>
    <w:pitch w:val="default"/>
  </w:font>
  <w:font w:name="Arial Narrow">
    <w:charset w:val="01"/>
    <w:family w:val="roman"/>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pPr>
    <w:r>
      <w:rPr>
        <w:rFonts w:cs="Calibri" w:ascii="Calibri" w:hAnsi="Calibri"/>
        <w:sz w:val="20"/>
        <w:szCs w:val="20"/>
      </w:rPr>
      <w:fldChar w:fldCharType="begin"/>
    </w:r>
    <w:r>
      <w:rPr>
        <w:sz w:val="20"/>
        <w:szCs w:val="20"/>
        <w:rFonts w:cs="Calibri" w:ascii="Calibri" w:hAnsi="Calibri"/>
      </w:rPr>
      <w:instrText> PAGE </w:instrText>
    </w:r>
    <w:r>
      <w:rPr>
        <w:sz w:val="20"/>
        <w:szCs w:val="20"/>
        <w:rFonts w:cs="Calibri" w:ascii="Calibri" w:hAnsi="Calibri"/>
      </w:rPr>
      <w:fldChar w:fldCharType="separate"/>
    </w:r>
    <w:r>
      <w:rPr>
        <w:sz w:val="20"/>
        <w:szCs w:val="20"/>
        <w:rFonts w:cs="Calibri" w:ascii="Calibri" w:hAnsi="Calibri"/>
      </w:rPr>
      <w:t>26</w:t>
    </w:r>
    <w:r>
      <w:rPr>
        <w:sz w:val="20"/>
        <w:szCs w:val="20"/>
        <w:rFonts w:cs="Calibri" w:ascii="Calibri" w:hAnsi="Calibri"/>
      </w:rPr>
      <w:fldChar w:fldCharType="end"/>
    </w:r>
  </w:p>
  <w:p>
    <w:pPr>
      <w:pStyle w:val="Gwka"/>
      <w:jc w:val="center"/>
      <w:rPr>
        <w:rFonts w:ascii="Arial Narrow" w:hAnsi="Arial Narrow" w:cs="Arial Narrow"/>
        <w:b/>
        <w:b/>
        <w:caps/>
        <w:w w:val="90"/>
        <w:sz w:val="20"/>
        <w:szCs w:val="20"/>
      </w:rPr>
    </w:pPr>
    <w:r>
      <w:rPr>
        <w:rFonts w:cs="Arial Narrow" w:ascii="Arial Narrow" w:hAnsi="Arial Narrow"/>
        <w:b/>
        <w:caps/>
        <w:w w:val="90"/>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gwek2"/>
      <w:numFmt w:val="upperRoman"/>
      <w:lvlText w:val="%1."/>
      <w:lvlJc w:val="left"/>
      <w:pPr>
        <w:tabs>
          <w:tab w:val="num" w:pos="4265"/>
        </w:tabs>
        <w:ind w:left="4265" w:hanging="720"/>
      </w:pPr>
    </w:lvl>
    <w:lvl w:ilvl="1">
      <w:start w:val="1"/>
      <w:numFmt w:val="none"/>
      <w:suff w:val="nothing"/>
      <w:lvlText w:val=""/>
      <w:lvlJc w:val="left"/>
      <w:pPr>
        <w:ind w:left="0" w:hanging="0"/>
      </w:pPr>
    </w:lvl>
    <w:lvl w:ilvl="2">
      <w:start w:val="1"/>
      <w:pStyle w:val="Nagwek3"/>
      <w:numFmt w:val="none"/>
      <w:suff w:val="nothing"/>
      <w:lvlText w:val=""/>
      <w:lvlJc w:val="left"/>
      <w:pPr>
        <w:ind w:left="0" w:hanging="0"/>
      </w:pPr>
    </w:lvl>
    <w:lvl w:ilvl="3">
      <w:start w:val="1"/>
      <w:pStyle w:val="Nagwek4"/>
      <w:numFmt w:val="none"/>
      <w:suff w:val="nothing"/>
      <w:lvlText w:val=""/>
      <w:lvlJc w:val="left"/>
      <w:pPr>
        <w:ind w:left="0" w:hanging="0"/>
      </w:pPr>
    </w:lvl>
    <w:lvl w:ilvl="4">
      <w:start w:val="1"/>
      <w:pStyle w:val="Nagwek5"/>
      <w:numFmt w:val="none"/>
      <w:suff w:val="nothing"/>
      <w:lvlText w:val=""/>
      <w:lvlJc w:val="left"/>
      <w:pPr>
        <w:ind w:left="0" w:hanging="0"/>
      </w:pPr>
    </w:lvl>
    <w:lvl w:ilvl="5">
      <w:start w:val="1"/>
      <w:pStyle w:val="Nagwek6"/>
      <w:numFmt w:val="none"/>
      <w:suff w:val="nothing"/>
      <w:lvlText w:val=""/>
      <w:lvlJc w:val="left"/>
      <w:pPr>
        <w:ind w:left="0" w:hanging="0"/>
      </w:pPr>
    </w:lvl>
    <w:lvl w:ilvl="6">
      <w:start w:val="1"/>
      <w:pStyle w:val="Nagwek7"/>
      <w:numFmt w:val="none"/>
      <w:suff w:val="nothing"/>
      <w:lvlText w:val=""/>
      <w:lvlJc w:val="left"/>
      <w:pPr>
        <w:ind w:left="0" w:hanging="0"/>
      </w:pPr>
    </w:lvl>
    <w:lvl w:ilvl="7">
      <w:start w:val="1"/>
      <w:pStyle w:val="Nagwek8"/>
      <w:numFmt w:val="none"/>
      <w:suff w:val="nothing"/>
      <w:lvlText w:val=""/>
      <w:lvlJc w:val="left"/>
      <w:pPr>
        <w:ind w:left="0" w:hanging="0"/>
      </w:pPr>
    </w:lvl>
    <w:lvl w:ilvl="8">
      <w:start w:val="1"/>
      <w:pStyle w:val="Nagwek9"/>
      <w:numFmt w:val="none"/>
      <w:suff w:val="nothing"/>
      <w:lvlText w:val=""/>
      <w:lvlJc w:val="left"/>
      <w:pPr>
        <w:ind w:left="0" w:hanging="0"/>
      </w:pPr>
    </w:lvl>
  </w:abstractNum>
  <w:abstractNum w:abstractNumId="2">
    <w:lvl w:ilvl="0">
      <w:start w:val="18"/>
      <w:numFmt w:val="decimal"/>
      <w:lvlText w:val="%1"/>
      <w:lvlJc w:val="left"/>
      <w:pPr>
        <w:ind w:left="360" w:hanging="0"/>
      </w:pPr>
      <w:rPr>
        <w:dstrike w:val="false"/>
        <w:strike w:val="false"/>
        <w:vertAlign w:val="baseline"/>
        <w:position w:val="0"/>
        <w:sz w:val="20"/>
        <w:sz w:val="20"/>
        <w:i w:val="false"/>
        <w:u w:val="none" w:color="000000"/>
        <w:b/>
        <w:szCs w:val="20"/>
        <w:bCs/>
        <w:rFonts w:eastAsia="Cambria" w:cs="Cambria"/>
        <w:color w:val="000000"/>
      </w:rPr>
    </w:lvl>
    <w:lvl w:ilvl="1">
      <w:start w:val="1"/>
      <w:numFmt w:val="decimal"/>
      <w:lvlText w:val="%2."/>
      <w:lvlJc w:val="left"/>
      <w:pPr>
        <w:ind w:left="1428" w:hanging="0"/>
      </w:pPr>
      <w:rPr>
        <w:dstrike w:val="false"/>
        <w:strike w:val="false"/>
        <w:vertAlign w:val="baseline"/>
        <w:position w:val="0"/>
        <w:sz w:val="22"/>
        <w:sz w:val="22"/>
        <w:i w:val="false"/>
        <w:u w:val="none" w:color="000000"/>
        <w:b/>
        <w:szCs w:val="20"/>
        <w:bCs/>
        <w:rFonts w:ascii="Cambria" w:hAnsi="Cambria"/>
        <w:color w:val="000000"/>
      </w:rPr>
    </w:lvl>
    <w:lvl w:ilvl="2">
      <w:start w:val="1"/>
      <w:numFmt w:val="lowerRoman"/>
      <w:lvlText w:val="%3"/>
      <w:lvlJc w:val="left"/>
      <w:pPr>
        <w:ind w:left="1080" w:hanging="0"/>
      </w:pPr>
      <w:rPr>
        <w:dstrike w:val="false"/>
        <w:strike w:val="false"/>
        <w:vertAlign w:val="baseline"/>
        <w:position w:val="0"/>
        <w:sz w:val="20"/>
        <w:sz w:val="20"/>
        <w:i w:val="false"/>
        <w:u w:val="none" w:color="000000"/>
        <w:b/>
        <w:szCs w:val="20"/>
        <w:bCs/>
        <w:rFonts w:eastAsia="Cambria" w:cs="Cambria"/>
        <w:color w:val="000000"/>
      </w:rPr>
    </w:lvl>
    <w:lvl w:ilvl="3">
      <w:start w:val="1"/>
      <w:numFmt w:val="decimal"/>
      <w:lvlText w:val="%4"/>
      <w:lvlJc w:val="left"/>
      <w:pPr>
        <w:ind w:left="1800" w:hanging="0"/>
      </w:pPr>
      <w:rPr>
        <w:dstrike w:val="false"/>
        <w:strike w:val="false"/>
        <w:vertAlign w:val="baseline"/>
        <w:position w:val="0"/>
        <w:sz w:val="20"/>
        <w:sz w:val="20"/>
        <w:i w:val="false"/>
        <w:u w:val="none" w:color="000000"/>
        <w:b/>
        <w:szCs w:val="20"/>
        <w:bCs/>
        <w:rFonts w:eastAsia="Cambria" w:cs="Cambria"/>
        <w:color w:val="000000"/>
      </w:rPr>
    </w:lvl>
    <w:lvl w:ilvl="4">
      <w:start w:val="1"/>
      <w:numFmt w:val="lowerLetter"/>
      <w:lvlText w:val="%5"/>
      <w:lvlJc w:val="left"/>
      <w:pPr>
        <w:ind w:left="2520" w:hanging="0"/>
      </w:pPr>
      <w:rPr>
        <w:dstrike w:val="false"/>
        <w:strike w:val="false"/>
        <w:vertAlign w:val="baseline"/>
        <w:position w:val="0"/>
        <w:sz w:val="20"/>
        <w:sz w:val="20"/>
        <w:i w:val="false"/>
        <w:u w:val="none" w:color="000000"/>
        <w:b/>
        <w:szCs w:val="20"/>
        <w:bCs/>
        <w:rFonts w:eastAsia="Cambria" w:cs="Cambria"/>
        <w:color w:val="000000"/>
      </w:rPr>
    </w:lvl>
    <w:lvl w:ilvl="5">
      <w:start w:val="1"/>
      <w:numFmt w:val="lowerRoman"/>
      <w:lvlText w:val="%6"/>
      <w:lvlJc w:val="left"/>
      <w:pPr>
        <w:ind w:left="3240" w:hanging="0"/>
      </w:pPr>
      <w:rPr>
        <w:dstrike w:val="false"/>
        <w:strike w:val="false"/>
        <w:vertAlign w:val="baseline"/>
        <w:position w:val="0"/>
        <w:sz w:val="20"/>
        <w:sz w:val="20"/>
        <w:i w:val="false"/>
        <w:u w:val="none" w:color="000000"/>
        <w:b/>
        <w:szCs w:val="20"/>
        <w:bCs/>
        <w:rFonts w:eastAsia="Cambria" w:cs="Cambria"/>
        <w:color w:val="000000"/>
      </w:rPr>
    </w:lvl>
    <w:lvl w:ilvl="6">
      <w:start w:val="1"/>
      <w:numFmt w:val="decimal"/>
      <w:lvlText w:val="%7"/>
      <w:lvlJc w:val="left"/>
      <w:pPr>
        <w:ind w:left="3960" w:hanging="0"/>
      </w:pPr>
      <w:rPr>
        <w:dstrike w:val="false"/>
        <w:strike w:val="false"/>
        <w:vertAlign w:val="baseline"/>
        <w:position w:val="0"/>
        <w:sz w:val="20"/>
        <w:sz w:val="20"/>
        <w:i w:val="false"/>
        <w:u w:val="none" w:color="000000"/>
        <w:b/>
        <w:szCs w:val="20"/>
        <w:bCs/>
        <w:rFonts w:eastAsia="Cambria" w:cs="Cambria"/>
        <w:color w:val="000000"/>
      </w:rPr>
    </w:lvl>
    <w:lvl w:ilvl="7">
      <w:start w:val="1"/>
      <w:numFmt w:val="lowerLetter"/>
      <w:lvlText w:val="%8"/>
      <w:lvlJc w:val="left"/>
      <w:pPr>
        <w:ind w:left="4680" w:hanging="0"/>
      </w:pPr>
      <w:rPr>
        <w:dstrike w:val="false"/>
        <w:strike w:val="false"/>
        <w:vertAlign w:val="baseline"/>
        <w:position w:val="0"/>
        <w:sz w:val="20"/>
        <w:sz w:val="20"/>
        <w:i w:val="false"/>
        <w:u w:val="none" w:color="000000"/>
        <w:b/>
        <w:szCs w:val="20"/>
        <w:bCs/>
        <w:rFonts w:eastAsia="Cambria" w:cs="Cambria"/>
        <w:color w:val="000000"/>
      </w:rPr>
    </w:lvl>
    <w:lvl w:ilvl="8">
      <w:start w:val="1"/>
      <w:numFmt w:val="lowerRoman"/>
      <w:lvlText w:val="%9"/>
      <w:lvlJc w:val="left"/>
      <w:pPr>
        <w:ind w:left="5400" w:hanging="0"/>
      </w:pPr>
      <w:rPr>
        <w:dstrike w:val="false"/>
        <w:strike w:val="false"/>
        <w:vertAlign w:val="baseline"/>
        <w:position w:val="0"/>
        <w:sz w:val="20"/>
        <w:sz w:val="20"/>
        <w:i w:val="false"/>
        <w:u w:val="none" w:color="000000"/>
        <w:b/>
        <w:szCs w:val="20"/>
        <w:bCs/>
        <w:rFonts w:eastAsia="Cambria" w:cs="Cambria"/>
        <w:color w:val="000000"/>
      </w:rPr>
    </w:lvl>
  </w:abstractNum>
  <w:abstractNum w:abstractNumId="3">
    <w:lvl w:ilvl="0">
      <w:start w:val="1"/>
      <w:numFmt w:val="lowerLetter"/>
      <w:lvlText w:val="%1)"/>
      <w:lvlJc w:val="left"/>
      <w:pPr>
        <w:ind w:left="149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ind w:left="1429" w:hanging="360"/>
      </w:pPr>
    </w:lvl>
    <w:lvl w:ilvl="1">
      <w:start w:val="1"/>
      <w:numFmt w:val="decimal"/>
      <w:lvlText w:val="%2)"/>
      <w:lvlJc w:val="left"/>
      <w:pPr>
        <w:ind w:left="2149" w:hanging="360"/>
      </w:pPr>
    </w:lvl>
    <w:lvl w:ilvl="2">
      <w:start w:val="1"/>
      <w:numFmt w:val="lowerLetter"/>
      <w:lvlText w:val="%3)"/>
      <w:lvlJc w:val="left"/>
      <w:pPr>
        <w:ind w:left="3109" w:hanging="42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ind w:left="114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708"/>
        </w:tabs>
        <w:ind w:left="1424" w:hanging="7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ind w:left="1440" w:hanging="360"/>
      </w:pPr>
    </w:lvl>
    <w:lvl w:ilvl="1">
      <w:start w:val="1"/>
      <w:numFmt w:val="decimal"/>
      <w:lvlText w:val="%2)"/>
      <w:lvlJc w:val="left"/>
      <w:pPr>
        <w:ind w:left="2220" w:hanging="42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lvl w:ilvl="0">
      <w:start w:val="1"/>
      <w:numFmt w:val="bullet"/>
      <w:lvlText w:val=""/>
      <w:lvlJc w:val="left"/>
      <w:pPr>
        <w:ind w:left="1457"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ind w:left="703" w:hanging="705"/>
      </w:pPr>
      <w:rPr>
        <w:sz w:val="22"/>
        <w:b w:val="false"/>
        <w:bCs/>
        <w:rFonts w:ascii="Cambria" w:hAnsi="Cambr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9"/>
      <w:numFmt w:val="decimal"/>
      <w:lvlText w:val="%1."/>
      <w:lvlJc w:val="left"/>
      <w:pPr>
        <w:ind w:left="513" w:hanging="0"/>
      </w:pPr>
      <w:rPr>
        <w:dstrike w:val="false"/>
        <w:strike w:val="false"/>
        <w:vertAlign w:val="baseline"/>
        <w:position w:val="0"/>
        <w:sz w:val="20"/>
        <w:sz w:val="20"/>
        <w:i w:val="false"/>
        <w:u w:val="none" w:color="000000"/>
        <w:b/>
        <w:szCs w:val="20"/>
        <w:bCs/>
        <w:rFonts w:eastAsia="Cambria" w:cs="Cambria"/>
        <w:color w:val="000000"/>
      </w:rPr>
    </w:lvl>
    <w:lvl w:ilvl="1">
      <w:start w:val="1"/>
      <w:numFmt w:val="decimal"/>
      <w:lvlText w:val="%2."/>
      <w:lvlJc w:val="left"/>
      <w:pPr>
        <w:ind w:left="1538" w:hanging="0"/>
      </w:pPr>
      <w:rPr>
        <w:dstrike w:val="false"/>
        <w:strike w:val="false"/>
        <w:vertAlign w:val="baseline"/>
        <w:position w:val="0"/>
        <w:sz w:val="22"/>
        <w:sz w:val="22"/>
        <w:i w:val="false"/>
        <w:u w:val="none" w:color="000000"/>
        <w:b/>
        <w:szCs w:val="20"/>
        <w:bCs/>
        <w:rFonts w:ascii="Cambria" w:hAnsi="Cambria"/>
        <w:color w:val="000000"/>
      </w:rPr>
    </w:lvl>
    <w:lvl w:ilvl="2">
      <w:start w:val="1"/>
      <w:numFmt w:val="decimal"/>
      <w:lvlText w:val="%3."/>
      <w:lvlJc w:val="left"/>
      <w:pPr>
        <w:ind w:left="1910" w:hanging="0"/>
      </w:pPr>
      <w:rPr>
        <w:dstrike w:val="false"/>
        <w:strike w:val="false"/>
        <w:vertAlign w:val="baseline"/>
        <w:position w:val="0"/>
        <w:sz w:val="20"/>
        <w:sz w:val="20"/>
        <w:i w:val="false"/>
        <w:u w:val="none" w:color="000000"/>
        <w:b w:val="false"/>
        <w:szCs w:val="20"/>
        <w:rFonts w:eastAsia="Cambria" w:cs="Cambria"/>
        <w:color w:val="000000"/>
      </w:rPr>
    </w:lvl>
    <w:lvl w:ilvl="3">
      <w:start w:val="1"/>
      <w:numFmt w:val="lowerLetter"/>
      <w:lvlText w:val="%4)"/>
      <w:lvlJc w:val="left"/>
      <w:pPr>
        <w:ind w:left="2695" w:hanging="0"/>
      </w:pPr>
      <w:rPr>
        <w:dstrike w:val="false"/>
        <w:strike w:val="false"/>
        <w:vertAlign w:val="baseline"/>
        <w:position w:val="0"/>
        <w:sz w:val="20"/>
        <w:sz w:val="20"/>
        <w:i w:val="false"/>
        <w:u w:val="none" w:color="000000"/>
        <w:b w:val="false"/>
        <w:szCs w:val="20"/>
        <w:rFonts w:eastAsia="Cambria" w:cs="Cambria"/>
        <w:color w:val="000000"/>
      </w:rPr>
    </w:lvl>
    <w:lvl w:ilvl="4">
      <w:start w:val="1"/>
      <w:numFmt w:val="lowerLetter"/>
      <w:lvlText w:val="%5"/>
      <w:lvlJc w:val="left"/>
      <w:pPr>
        <w:ind w:left="1788" w:hanging="0"/>
      </w:pPr>
      <w:rPr>
        <w:dstrike w:val="false"/>
        <w:strike w:val="false"/>
        <w:vertAlign w:val="baseline"/>
        <w:position w:val="0"/>
        <w:sz w:val="20"/>
        <w:sz w:val="20"/>
        <w:i w:val="false"/>
        <w:u w:val="none" w:color="000000"/>
        <w:b w:val="false"/>
        <w:szCs w:val="20"/>
        <w:rFonts w:eastAsia="Cambria" w:cs="Cambria"/>
        <w:color w:val="000000"/>
      </w:rPr>
    </w:lvl>
    <w:lvl w:ilvl="5">
      <w:start w:val="1"/>
      <w:numFmt w:val="lowerRoman"/>
      <w:lvlText w:val="%6"/>
      <w:lvlJc w:val="left"/>
      <w:pPr>
        <w:ind w:left="2508" w:hanging="0"/>
      </w:pPr>
      <w:rPr>
        <w:dstrike w:val="false"/>
        <w:strike w:val="false"/>
        <w:vertAlign w:val="baseline"/>
        <w:position w:val="0"/>
        <w:sz w:val="20"/>
        <w:sz w:val="20"/>
        <w:i w:val="false"/>
        <w:u w:val="none" w:color="000000"/>
        <w:b w:val="false"/>
        <w:szCs w:val="20"/>
        <w:rFonts w:eastAsia="Cambria" w:cs="Cambria"/>
        <w:color w:val="000000"/>
      </w:rPr>
    </w:lvl>
    <w:lvl w:ilvl="6">
      <w:start w:val="1"/>
      <w:numFmt w:val="decimal"/>
      <w:lvlText w:val="%7"/>
      <w:lvlJc w:val="left"/>
      <w:pPr>
        <w:ind w:left="3228" w:hanging="0"/>
      </w:pPr>
      <w:rPr>
        <w:dstrike w:val="false"/>
        <w:strike w:val="false"/>
        <w:vertAlign w:val="baseline"/>
        <w:position w:val="0"/>
        <w:sz w:val="20"/>
        <w:sz w:val="20"/>
        <w:i w:val="false"/>
        <w:u w:val="none" w:color="000000"/>
        <w:b w:val="false"/>
        <w:szCs w:val="20"/>
        <w:rFonts w:eastAsia="Cambria" w:cs="Cambria"/>
        <w:color w:val="000000"/>
      </w:rPr>
    </w:lvl>
    <w:lvl w:ilvl="7">
      <w:start w:val="1"/>
      <w:numFmt w:val="lowerLetter"/>
      <w:lvlText w:val="%8"/>
      <w:lvlJc w:val="left"/>
      <w:pPr>
        <w:ind w:left="3948" w:hanging="0"/>
      </w:pPr>
      <w:rPr>
        <w:dstrike w:val="false"/>
        <w:strike w:val="false"/>
        <w:vertAlign w:val="baseline"/>
        <w:position w:val="0"/>
        <w:sz w:val="20"/>
        <w:sz w:val="20"/>
        <w:i w:val="false"/>
        <w:u w:val="none" w:color="000000"/>
        <w:b w:val="false"/>
        <w:szCs w:val="20"/>
        <w:rFonts w:eastAsia="Cambria" w:cs="Cambria"/>
        <w:color w:val="000000"/>
      </w:rPr>
    </w:lvl>
    <w:lvl w:ilvl="8">
      <w:start w:val="1"/>
      <w:numFmt w:val="lowerRoman"/>
      <w:lvlText w:val="%9"/>
      <w:lvlJc w:val="left"/>
      <w:pPr>
        <w:ind w:left="4668" w:hanging="0"/>
      </w:pPr>
      <w:rPr>
        <w:dstrike w:val="false"/>
        <w:strike w:val="false"/>
        <w:vertAlign w:val="baseline"/>
        <w:position w:val="0"/>
        <w:sz w:val="20"/>
        <w:sz w:val="20"/>
        <w:i w:val="false"/>
        <w:u w:val="none" w:color="000000"/>
        <w:b w:val="false"/>
        <w:szCs w:val="20"/>
        <w:rFonts w:eastAsia="Cambria" w:cs="Cambria"/>
        <w:color w:val="000000"/>
      </w:rPr>
    </w:lvl>
  </w:abstractNum>
  <w:abstractNum w:abstractNumId="14">
    <w:lvl w:ilvl="0">
      <w:start w:val="1"/>
      <w:numFmt w:val="decimal"/>
      <w:lvlText w:val="%1."/>
      <w:lvlJc w:val="left"/>
      <w:pPr>
        <w:ind w:left="720" w:hanging="360"/>
      </w:pPr>
    </w:lvl>
    <w:lvl w:ilvl="1">
      <w:start w:val="1"/>
      <w:numFmt w:val="lowerLetter"/>
      <w:lvlText w:val="%2)"/>
      <w:lvlJc w:val="left"/>
      <w:pPr>
        <w:ind w:left="1770" w:hanging="6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decimal"/>
      <w:lvlText w:val="%1."/>
      <w:lvlJc w:val="left"/>
      <w:pPr>
        <w:ind w:left="72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2"/>
        <w:rFonts w:ascii="Cambria" w:hAnsi="Cambria"/>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1"/>
      <w:numFmt w:val="bullet"/>
      <w:lvlText w:val=""/>
      <w:lvlJc w:val="left"/>
      <w:pPr>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ind w:left="1004"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7"/>
      <w:numFmt w:val="decimal"/>
      <w:lvlText w:val="%1."/>
      <w:lvlJc w:val="left"/>
      <w:pPr>
        <w:ind w:left="470" w:hanging="0"/>
      </w:pPr>
      <w:rPr>
        <w:dstrike w:val="false"/>
        <w:strike w:val="false"/>
        <w:vertAlign w:val="baseline"/>
        <w:position w:val="0"/>
        <w:sz w:val="20"/>
        <w:sz w:val="20"/>
        <w:i w:val="false"/>
        <w:u w:val="none" w:color="000000"/>
        <w:b/>
        <w:szCs w:val="20"/>
        <w:bCs/>
        <w:rFonts w:eastAsia="Cambria" w:cs="Cambria"/>
        <w:color w:val="000000"/>
      </w:rPr>
    </w:lvl>
    <w:lvl w:ilvl="1">
      <w:start w:val="1"/>
      <w:numFmt w:val="decimal"/>
      <w:lvlText w:val="%2."/>
      <w:lvlJc w:val="left"/>
      <w:pPr>
        <w:ind w:left="1538" w:hanging="0"/>
      </w:pPr>
      <w:rPr>
        <w:dstrike w:val="false"/>
        <w:strike w:val="false"/>
        <w:vertAlign w:val="baseline"/>
        <w:position w:val="0"/>
        <w:sz w:val="22"/>
        <w:sz w:val="22"/>
        <w:i w:val="false"/>
        <w:u w:val="none" w:color="000000"/>
        <w:b/>
        <w:szCs w:val="20"/>
        <w:bCs/>
        <w:rFonts w:ascii="Cambria" w:hAnsi="Cambria"/>
        <w:color w:val="000000"/>
      </w:rPr>
    </w:lvl>
    <w:lvl w:ilvl="2">
      <w:start w:val="1"/>
      <w:numFmt w:val="decimal"/>
      <w:lvlText w:val="%3)"/>
      <w:lvlJc w:val="left"/>
      <w:pPr>
        <w:ind w:left="1835" w:hanging="0"/>
      </w:pPr>
      <w:rPr>
        <w:dstrike w:val="false"/>
        <w:strike w:val="false"/>
        <w:vertAlign w:val="baseline"/>
        <w:position w:val="0"/>
        <w:sz w:val="22"/>
        <w:sz w:val="22"/>
        <w:i w:val="false"/>
        <w:u w:val="none" w:color="000000"/>
        <w:b w:val="false"/>
        <w:szCs w:val="20"/>
        <w:rFonts w:ascii="Cambria" w:hAnsi="Cambria" w:eastAsia="Cambria" w:cs="Cambria"/>
        <w:color w:val="000000"/>
      </w:rPr>
    </w:lvl>
    <w:lvl w:ilvl="3">
      <w:start w:val="1"/>
      <w:numFmt w:val="decimal"/>
      <w:lvlText w:val="%4"/>
      <w:lvlJc w:val="left"/>
      <w:pPr>
        <w:ind w:left="1646" w:hanging="0"/>
      </w:pPr>
      <w:rPr>
        <w:dstrike w:val="false"/>
        <w:strike w:val="false"/>
        <w:vertAlign w:val="baseline"/>
        <w:position w:val="0"/>
        <w:sz w:val="20"/>
        <w:sz w:val="20"/>
        <w:i w:val="false"/>
        <w:u w:val="none" w:color="000000"/>
        <w:b w:val="false"/>
        <w:szCs w:val="20"/>
        <w:rFonts w:eastAsia="Cambria" w:cs="Cambria"/>
        <w:color w:val="000000"/>
      </w:rPr>
    </w:lvl>
    <w:lvl w:ilvl="4">
      <w:start w:val="1"/>
      <w:numFmt w:val="lowerLetter"/>
      <w:lvlText w:val="%5"/>
      <w:lvlJc w:val="left"/>
      <w:pPr>
        <w:ind w:left="2366" w:hanging="0"/>
      </w:pPr>
      <w:rPr>
        <w:dstrike w:val="false"/>
        <w:strike w:val="false"/>
        <w:vertAlign w:val="baseline"/>
        <w:position w:val="0"/>
        <w:sz w:val="20"/>
        <w:sz w:val="20"/>
        <w:i w:val="false"/>
        <w:u w:val="none" w:color="000000"/>
        <w:b w:val="false"/>
        <w:szCs w:val="20"/>
        <w:rFonts w:eastAsia="Cambria" w:cs="Cambria"/>
        <w:color w:val="000000"/>
      </w:rPr>
    </w:lvl>
    <w:lvl w:ilvl="5">
      <w:start w:val="1"/>
      <w:numFmt w:val="lowerRoman"/>
      <w:lvlText w:val="%6"/>
      <w:lvlJc w:val="left"/>
      <w:pPr>
        <w:ind w:left="3086" w:hanging="0"/>
      </w:pPr>
      <w:rPr>
        <w:dstrike w:val="false"/>
        <w:strike w:val="false"/>
        <w:vertAlign w:val="baseline"/>
        <w:position w:val="0"/>
        <w:sz w:val="20"/>
        <w:sz w:val="20"/>
        <w:i w:val="false"/>
        <w:u w:val="none" w:color="000000"/>
        <w:b w:val="false"/>
        <w:szCs w:val="20"/>
        <w:rFonts w:eastAsia="Cambria" w:cs="Cambria"/>
        <w:color w:val="000000"/>
      </w:rPr>
    </w:lvl>
    <w:lvl w:ilvl="6">
      <w:start w:val="1"/>
      <w:numFmt w:val="decimal"/>
      <w:lvlText w:val="%7"/>
      <w:lvlJc w:val="left"/>
      <w:pPr>
        <w:ind w:left="3806" w:hanging="0"/>
      </w:pPr>
      <w:rPr>
        <w:dstrike w:val="false"/>
        <w:strike w:val="false"/>
        <w:vertAlign w:val="baseline"/>
        <w:position w:val="0"/>
        <w:sz w:val="20"/>
        <w:sz w:val="20"/>
        <w:i w:val="false"/>
        <w:u w:val="none" w:color="000000"/>
        <w:b w:val="false"/>
        <w:szCs w:val="20"/>
        <w:rFonts w:eastAsia="Cambria" w:cs="Cambria"/>
        <w:color w:val="000000"/>
      </w:rPr>
    </w:lvl>
    <w:lvl w:ilvl="7">
      <w:start w:val="1"/>
      <w:numFmt w:val="lowerLetter"/>
      <w:lvlText w:val="%8"/>
      <w:lvlJc w:val="left"/>
      <w:pPr>
        <w:ind w:left="4526" w:hanging="0"/>
      </w:pPr>
      <w:rPr>
        <w:dstrike w:val="false"/>
        <w:strike w:val="false"/>
        <w:vertAlign w:val="baseline"/>
        <w:position w:val="0"/>
        <w:sz w:val="20"/>
        <w:sz w:val="20"/>
        <w:i w:val="false"/>
        <w:u w:val="none" w:color="000000"/>
        <w:b w:val="false"/>
        <w:szCs w:val="20"/>
        <w:rFonts w:eastAsia="Cambria" w:cs="Cambria"/>
        <w:color w:val="000000"/>
      </w:rPr>
    </w:lvl>
    <w:lvl w:ilvl="8">
      <w:start w:val="1"/>
      <w:numFmt w:val="lowerRoman"/>
      <w:lvlText w:val="%9"/>
      <w:lvlJc w:val="left"/>
      <w:pPr>
        <w:ind w:left="5246" w:hanging="0"/>
      </w:pPr>
      <w:rPr>
        <w:dstrike w:val="false"/>
        <w:strike w:val="false"/>
        <w:vertAlign w:val="baseline"/>
        <w:position w:val="0"/>
        <w:sz w:val="20"/>
        <w:sz w:val="20"/>
        <w:i w:val="false"/>
        <w:u w:val="none" w:color="000000"/>
        <w:b w:val="false"/>
        <w:szCs w:val="20"/>
        <w:rFonts w:eastAsia="Cambria" w:cs="Cambria"/>
        <w:color w:val="000000"/>
      </w:rPr>
    </w:lvl>
  </w:abstractNum>
  <w:abstractNum w:abstractNumId="21">
    <w:lvl w:ilvl="0">
      <w:start w:val="1"/>
      <w:numFmt w:val="bullet"/>
      <w:lvlText w:val=""/>
      <w:lvlJc w:val="left"/>
      <w:pPr>
        <w:ind w:left="720" w:hanging="360"/>
      </w:pPr>
      <w:rPr>
        <w:rFonts w:ascii="Symbol" w:hAnsi="Symbol" w:cs="Symbol" w:hint="default"/>
        <w:sz w:val="22"/>
        <w:b/>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bullet"/>
      <w:lvlText w:val=""/>
      <w:lvlJc w:val="left"/>
      <w:pPr>
        <w:ind w:left="1301" w:hanging="360"/>
      </w:pPr>
      <w:rPr>
        <w:rFonts w:ascii="Symbol" w:hAnsi="Symbol" w:cs="Symbol" w:hint="default"/>
        <w:rFonts w:cs="Symbol"/>
      </w:rPr>
    </w:lvl>
    <w:lvl w:ilvl="1">
      <w:start w:val="1"/>
      <w:numFmt w:val="decimal"/>
      <w:lvlText w:val="%2)"/>
      <w:lvlJc w:val="left"/>
      <w:pPr>
        <w:ind w:left="2021" w:hanging="360"/>
      </w:pPr>
      <w:rPr>
        <w:sz w:val="22"/>
        <w:b/>
        <w:bCs/>
        <w:rFonts w:ascii="Cambria" w:hAnsi="Cambria"/>
      </w:rPr>
    </w:lvl>
    <w:lvl w:ilvl="2">
      <w:start w:val="1"/>
      <w:numFmt w:val="bullet"/>
      <w:lvlText w:val=""/>
      <w:lvlJc w:val="left"/>
      <w:pPr>
        <w:ind w:left="2741" w:hanging="360"/>
      </w:pPr>
      <w:rPr>
        <w:rFonts w:ascii="Wingdings" w:hAnsi="Wingdings" w:cs="Wingdings" w:hint="default"/>
        <w:rFonts w:cs="Wingdings"/>
      </w:rPr>
    </w:lvl>
    <w:lvl w:ilvl="3">
      <w:start w:val="1"/>
      <w:numFmt w:val="bullet"/>
      <w:lvlText w:val=""/>
      <w:lvlJc w:val="left"/>
      <w:pPr>
        <w:ind w:left="3461" w:hanging="360"/>
      </w:pPr>
      <w:rPr>
        <w:rFonts w:ascii="Symbol" w:hAnsi="Symbol" w:cs="Symbol" w:hint="default"/>
        <w:rFonts w:cs="Symbol"/>
      </w:rPr>
    </w:lvl>
    <w:lvl w:ilvl="4">
      <w:start w:val="1"/>
      <w:numFmt w:val="bullet"/>
      <w:lvlText w:val="o"/>
      <w:lvlJc w:val="left"/>
      <w:pPr>
        <w:ind w:left="4181" w:hanging="360"/>
      </w:pPr>
      <w:rPr>
        <w:rFonts w:ascii="Courier New" w:hAnsi="Courier New" w:cs="Courier New" w:hint="default"/>
        <w:rFonts w:cs="Courier New"/>
      </w:rPr>
    </w:lvl>
    <w:lvl w:ilvl="5">
      <w:start w:val="1"/>
      <w:numFmt w:val="bullet"/>
      <w:lvlText w:val=""/>
      <w:lvlJc w:val="left"/>
      <w:pPr>
        <w:ind w:left="4901" w:hanging="360"/>
      </w:pPr>
      <w:rPr>
        <w:rFonts w:ascii="Wingdings" w:hAnsi="Wingdings" w:cs="Wingdings" w:hint="default"/>
        <w:rFonts w:cs="Wingdings"/>
      </w:rPr>
    </w:lvl>
    <w:lvl w:ilvl="6">
      <w:start w:val="1"/>
      <w:numFmt w:val="bullet"/>
      <w:lvlText w:val=""/>
      <w:lvlJc w:val="left"/>
      <w:pPr>
        <w:ind w:left="5621" w:hanging="360"/>
      </w:pPr>
      <w:rPr>
        <w:rFonts w:ascii="Symbol" w:hAnsi="Symbol" w:cs="Symbol" w:hint="default"/>
        <w:rFonts w:cs="Symbol"/>
      </w:rPr>
    </w:lvl>
    <w:lvl w:ilvl="7">
      <w:start w:val="1"/>
      <w:numFmt w:val="bullet"/>
      <w:lvlText w:val="o"/>
      <w:lvlJc w:val="left"/>
      <w:pPr>
        <w:ind w:left="6341" w:hanging="360"/>
      </w:pPr>
      <w:rPr>
        <w:rFonts w:ascii="Courier New" w:hAnsi="Courier New" w:cs="Courier New" w:hint="default"/>
        <w:rFonts w:cs="Courier New"/>
      </w:rPr>
    </w:lvl>
    <w:lvl w:ilvl="8">
      <w:start w:val="1"/>
      <w:numFmt w:val="bullet"/>
      <w:lvlText w:val=""/>
      <w:lvlJc w:val="left"/>
      <w:pPr>
        <w:ind w:left="7061" w:hanging="360"/>
      </w:pPr>
      <w:rPr>
        <w:rFonts w:ascii="Wingdings" w:hAnsi="Wingdings" w:cs="Wingdings" w:hint="default"/>
        <w:rFonts w:cs="Wingdings"/>
      </w:rPr>
    </w:lvl>
  </w:abstractNum>
  <w:abstractNum w:abstractNumId="23">
    <w:lvl w:ilvl="0">
      <w:start w:val="1"/>
      <w:numFmt w:val="decimal"/>
      <w:lvlText w:val="%1."/>
      <w:lvlJc w:val="left"/>
      <w:pPr>
        <w:ind w:left="704" w:hanging="7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bullet"/>
      <w:lvlText w:val=""/>
      <w:lvlJc w:val="left"/>
      <w:pPr>
        <w:ind w:left="1287"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1"/>
      <w:numFmt w:val="decimal"/>
      <w:lvlText w:val="%1"/>
      <w:lvlJc w:val="left"/>
      <w:pPr>
        <w:ind w:left="360" w:hanging="0"/>
      </w:pPr>
      <w:rPr>
        <w:dstrike w:val="false"/>
        <w:strike w:val="false"/>
        <w:vertAlign w:val="baseline"/>
        <w:position w:val="0"/>
        <w:sz w:val="20"/>
        <w:sz w:val="20"/>
        <w:i w:val="false"/>
        <w:u w:val="none" w:color="000000"/>
        <w:b w:val="false"/>
        <w:szCs w:val="20"/>
        <w:rFonts w:eastAsia="Cambria" w:cs="Cambria"/>
        <w:color w:val="000000"/>
      </w:rPr>
    </w:lvl>
    <w:lvl w:ilvl="1">
      <w:start w:val="1"/>
      <w:numFmt w:val="lowerLetter"/>
      <w:lvlText w:val="%2"/>
      <w:lvlJc w:val="left"/>
      <w:pPr>
        <w:ind w:left="644" w:hanging="0"/>
      </w:pPr>
      <w:rPr>
        <w:dstrike w:val="false"/>
        <w:strike w:val="false"/>
        <w:vertAlign w:val="baseline"/>
        <w:position w:val="0"/>
        <w:sz w:val="20"/>
        <w:sz w:val="20"/>
        <w:i w:val="false"/>
        <w:u w:val="none" w:color="000000"/>
        <w:b w:val="false"/>
        <w:szCs w:val="20"/>
        <w:rFonts w:eastAsia="Cambria" w:cs="Cambria"/>
        <w:color w:val="000000"/>
      </w:rPr>
    </w:lvl>
    <w:lvl w:ilvl="2">
      <w:start w:val="1"/>
      <w:numFmt w:val="lowerRoman"/>
      <w:lvlText w:val="%3"/>
      <w:lvlJc w:val="left"/>
      <w:pPr>
        <w:ind w:left="928" w:hanging="0"/>
      </w:pPr>
      <w:rPr>
        <w:dstrike w:val="false"/>
        <w:strike w:val="false"/>
        <w:vertAlign w:val="baseline"/>
        <w:position w:val="0"/>
        <w:sz w:val="20"/>
        <w:sz w:val="20"/>
        <w:i w:val="false"/>
        <w:u w:val="none" w:color="000000"/>
        <w:b w:val="false"/>
        <w:szCs w:val="20"/>
        <w:rFonts w:eastAsia="Cambria" w:cs="Cambria"/>
        <w:color w:val="000000"/>
      </w:rPr>
    </w:lvl>
    <w:lvl w:ilvl="3">
      <w:start w:val="1"/>
      <w:numFmt w:val="decimal"/>
      <w:lvlText w:val="(%4)"/>
      <w:lvlJc w:val="left"/>
      <w:pPr>
        <w:ind w:left="1433" w:hanging="0"/>
      </w:pPr>
      <w:rPr>
        <w:dstrike w:val="false"/>
        <w:strike w:val="false"/>
        <w:vertAlign w:val="baseline"/>
        <w:position w:val="0"/>
        <w:sz w:val="22"/>
        <w:sz w:val="22"/>
        <w:i w:val="false"/>
        <w:u w:val="none" w:color="000000"/>
        <w:b w:val="false"/>
        <w:szCs w:val="20"/>
        <w:rFonts w:ascii="Cambria" w:hAnsi="Cambria" w:eastAsia="Cambria" w:cs="Cambria"/>
        <w:color w:val="000000"/>
      </w:rPr>
    </w:lvl>
    <w:lvl w:ilvl="4">
      <w:start w:val="1"/>
      <w:numFmt w:val="lowerLetter"/>
      <w:lvlText w:val="%5"/>
      <w:lvlJc w:val="left"/>
      <w:pPr>
        <w:ind w:left="1932" w:hanging="0"/>
      </w:pPr>
      <w:rPr>
        <w:dstrike w:val="false"/>
        <w:strike w:val="false"/>
        <w:vertAlign w:val="baseline"/>
        <w:position w:val="0"/>
        <w:sz w:val="20"/>
        <w:sz w:val="20"/>
        <w:i w:val="false"/>
        <w:u w:val="none" w:color="000000"/>
        <w:b w:val="false"/>
        <w:szCs w:val="20"/>
        <w:rFonts w:eastAsia="Cambria" w:cs="Cambria"/>
        <w:color w:val="000000"/>
      </w:rPr>
    </w:lvl>
    <w:lvl w:ilvl="5">
      <w:start w:val="1"/>
      <w:numFmt w:val="lowerRoman"/>
      <w:lvlText w:val="%6"/>
      <w:lvlJc w:val="left"/>
      <w:pPr>
        <w:ind w:left="2652" w:hanging="0"/>
      </w:pPr>
      <w:rPr>
        <w:dstrike w:val="false"/>
        <w:strike w:val="false"/>
        <w:vertAlign w:val="baseline"/>
        <w:position w:val="0"/>
        <w:sz w:val="20"/>
        <w:sz w:val="20"/>
        <w:i w:val="false"/>
        <w:u w:val="none" w:color="000000"/>
        <w:b w:val="false"/>
        <w:szCs w:val="20"/>
        <w:rFonts w:eastAsia="Cambria" w:cs="Cambria"/>
        <w:color w:val="000000"/>
      </w:rPr>
    </w:lvl>
    <w:lvl w:ilvl="6">
      <w:start w:val="1"/>
      <w:numFmt w:val="decimal"/>
      <w:lvlText w:val="%7"/>
      <w:lvlJc w:val="left"/>
      <w:pPr>
        <w:ind w:left="3372" w:hanging="0"/>
      </w:pPr>
      <w:rPr>
        <w:dstrike w:val="false"/>
        <w:strike w:val="false"/>
        <w:vertAlign w:val="baseline"/>
        <w:position w:val="0"/>
        <w:sz w:val="20"/>
        <w:sz w:val="20"/>
        <w:i w:val="false"/>
        <w:u w:val="none" w:color="000000"/>
        <w:b w:val="false"/>
        <w:szCs w:val="20"/>
        <w:rFonts w:eastAsia="Cambria" w:cs="Cambria"/>
        <w:color w:val="000000"/>
      </w:rPr>
    </w:lvl>
    <w:lvl w:ilvl="7">
      <w:start w:val="1"/>
      <w:numFmt w:val="lowerLetter"/>
      <w:lvlText w:val="%8"/>
      <w:lvlJc w:val="left"/>
      <w:pPr>
        <w:ind w:left="4092" w:hanging="0"/>
      </w:pPr>
      <w:rPr>
        <w:dstrike w:val="false"/>
        <w:strike w:val="false"/>
        <w:vertAlign w:val="baseline"/>
        <w:position w:val="0"/>
        <w:sz w:val="20"/>
        <w:sz w:val="20"/>
        <w:i w:val="false"/>
        <w:u w:val="none" w:color="000000"/>
        <w:b w:val="false"/>
        <w:szCs w:val="20"/>
        <w:rFonts w:eastAsia="Cambria" w:cs="Cambria"/>
        <w:color w:val="000000"/>
      </w:rPr>
    </w:lvl>
    <w:lvl w:ilvl="8">
      <w:start w:val="1"/>
      <w:numFmt w:val="lowerRoman"/>
      <w:lvlText w:val="%9"/>
      <w:lvlJc w:val="left"/>
      <w:pPr>
        <w:ind w:left="4812" w:hanging="0"/>
      </w:pPr>
      <w:rPr>
        <w:dstrike w:val="false"/>
        <w:strike w:val="false"/>
        <w:vertAlign w:val="baseline"/>
        <w:position w:val="0"/>
        <w:sz w:val="20"/>
        <w:sz w:val="20"/>
        <w:i w:val="false"/>
        <w:u w:val="none" w:color="000000"/>
        <w:b w:val="false"/>
        <w:szCs w:val="20"/>
        <w:rFonts w:eastAsia="Cambria" w:cs="Cambria"/>
        <w:color w:val="000000"/>
      </w:rPr>
    </w:lvl>
  </w:abstractNum>
  <w:abstractNum w:abstractNumId="26">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lvl w:ilvl="0">
      <w:start w:val="1"/>
      <w:numFmt w:val="decimal"/>
      <w:lvlText w:val="%1."/>
      <w:lvlJc w:val="left"/>
      <w:pPr>
        <w:ind w:left="721" w:hanging="360"/>
      </w:pPr>
      <w:rPr>
        <w:sz w:val="22"/>
        <w:b w:val="false"/>
        <w:bCs/>
        <w:rFonts w:ascii="Cambria" w:hAnsi="Cambr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lvl w:ilvl="0">
      <w:start w:val="1"/>
      <w:numFmt w:val="decimal"/>
      <w:lvlText w:val="%1)"/>
      <w:lvlJc w:val="left"/>
      <w:pPr>
        <w:ind w:left="100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lvl w:ilvl="0">
      <w:start w:val="1"/>
      <w:numFmt w:val="decimal"/>
      <w:lvlText w:val="%1)"/>
      <w:lvlJc w:val="left"/>
      <w:pPr>
        <w:ind w:left="644" w:hanging="360"/>
      </w:pPr>
      <w:rPr>
        <w:sz w:val="22"/>
        <w:b/>
        <w:bCs/>
        <w:rFonts w:ascii="Cambria" w:hAnsi="Cambr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lvl w:ilvl="0">
      <w:start w:val="1"/>
      <w:numFmt w:val="decimal"/>
      <w:lvlText w:val="%1."/>
      <w:lvlJc w:val="left"/>
      <w:pPr>
        <w:ind w:left="720" w:hanging="360"/>
      </w:pPr>
    </w:lvl>
    <w:lvl w:ilvl="1">
      <w:start w:val="1"/>
      <w:numFmt w:val="decimal"/>
      <w:lvlText w:val="%2)"/>
      <w:lvlJc w:val="left"/>
      <w:pPr>
        <w:ind w:left="1440" w:hanging="360"/>
      </w:pPr>
      <w:rPr>
        <w:sz w:val="22"/>
        <w:b/>
        <w:bCs/>
        <w:rFonts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lvl w:ilvl="0">
      <w:start w:val="1"/>
      <w:numFmt w:val="decimal"/>
      <w:lvlText w:val="%1)"/>
      <w:lvlJc w:val="left"/>
      <w:pPr>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lvl w:ilvl="0">
      <w:start w:val="1"/>
      <w:numFmt w:val="decimal"/>
      <w:lvlText w:val="%1."/>
      <w:lvlJc w:val="left"/>
      <w:pPr>
        <w:ind w:left="360" w:hanging="360"/>
      </w:pPr>
      <w:rPr>
        <w:b w:val="false"/>
      </w:rPr>
    </w:lvl>
    <w:lvl w:ilvl="1">
      <w:start w:val="1"/>
      <w:numFmt w:val="lowerLetter"/>
      <w:lvlText w:val="%2)"/>
      <w:lvlJc w:val="left"/>
      <w:pPr>
        <w:ind w:left="1290" w:hanging="57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6">
    <w:lvl w:ilvl="0">
      <w:start w:val="1"/>
      <w:numFmt w:val="bullet"/>
      <w:lvlText w:val=""/>
      <w:lvlJc w:val="left"/>
      <w:pPr>
        <w:ind w:left="1429" w:hanging="360"/>
      </w:pPr>
      <w:rPr>
        <w:rFonts w:ascii="Symbol" w:hAnsi="Symbol" w:cs="Symbol" w:hint="default"/>
        <w:sz w:val="22"/>
        <w:b/>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lvl w:ilvl="0">
      <w:start w:val="1"/>
      <w:numFmt w:val="bullet"/>
      <w:lvlText w:val=""/>
      <w:lvlJc w:val="left"/>
      <w:pPr>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lvl w:ilvl="0">
      <w:start w:val="1"/>
      <w:numFmt w:val="bullet"/>
      <w:lvlText w:val=""/>
      <w:lvlJc w:val="left"/>
      <w:pPr>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lvl w:ilvl="0">
      <w:start w:val="1"/>
      <w:numFmt w:val="decimal"/>
      <w:lvlText w:val="%1)"/>
      <w:lvlJc w:val="left"/>
      <w:pPr>
        <w:ind w:left="100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lvl w:ilvl="0">
      <w:start w:val="1"/>
      <w:numFmt w:val="decimal"/>
      <w:lvlText w:val="%1)"/>
      <w:lvlJc w:val="left"/>
      <w:pPr>
        <w:ind w:left="213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lvl w:ilvl="0">
      <w:start w:val="1"/>
      <w:numFmt w:val="bullet"/>
      <w:lvlText w:val=""/>
      <w:lvlJc w:val="left"/>
      <w:pPr>
        <w:ind w:left="2858" w:hanging="360"/>
      </w:pPr>
      <w:rPr>
        <w:rFonts w:ascii="Symbol" w:hAnsi="Symbol" w:cs="Symbol" w:hint="default"/>
        <w:sz w:val="22"/>
        <w:b/>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lvl w:ilvl="0">
      <w:start w:val="1"/>
      <w:numFmt w:val="decimal"/>
      <w:lvlText w:val="%1."/>
      <w:lvlJc w:val="left"/>
      <w:pPr>
        <w:ind w:left="360" w:hanging="360"/>
      </w:pPr>
      <w:rPr>
        <w:sz w:val="22"/>
        <w:b w:val="false"/>
        <w:bCs w:val="false"/>
        <w:rFonts w:ascii="Cambria" w:hAnsi="Cambria" w:cs="Symbo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sz w:val="22"/>
        <w:szCs w:val="22"/>
        <w:rFonts w:ascii="Cambria" w:hAnsi="Cambria"/>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lvl w:ilvl="0">
      <w:start w:val="1"/>
      <w:numFmt w:val="bullet"/>
      <w:lvlText w:val=""/>
      <w:lvlJc w:val="left"/>
      <w:pPr>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lvl w:ilvl="0">
      <w:start w:val="1"/>
      <w:numFmt w:val="decimal"/>
      <w:lvlText w:val="%1)"/>
      <w:lvlJc w:val="left"/>
      <w:pPr>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lvl w:ilvl="0">
      <w:start w:val="1"/>
      <w:numFmt w:val="decimal"/>
      <w:lvlText w:val="%1."/>
      <w:lvlJc w:val="left"/>
      <w:pPr>
        <w:ind w:left="720" w:hanging="360"/>
      </w:pPr>
    </w:lvl>
    <w:lvl w:ilvl="1">
      <w:start w:val="1"/>
      <w:numFmt w:val="lowerLetter"/>
      <w:lvlText w:val="%2)"/>
      <w:lvlJc w:val="left"/>
      <w:pPr>
        <w:ind w:left="1500" w:hanging="420"/>
      </w:pPr>
      <w:rPr>
        <w:sz w:val="22"/>
        <w:szCs w:val="22"/>
        <w:rFonts w:cs="Cambria"/>
      </w:rPr>
    </w:lvl>
    <w:lvl w:ilvl="2">
      <w:start w:val="1"/>
      <w:numFmt w:val="decimal"/>
      <w:lvlText w:val="%3)"/>
      <w:lvlJc w:val="left"/>
      <w:pPr>
        <w:ind w:left="2400" w:hanging="420"/>
      </w:pPr>
      <w:rPr>
        <w:sz w:val="22"/>
        <w:szCs w:val="22"/>
        <w:rFonts w:cs="Cambri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lvl w:ilvl="0">
      <w:start w:val="1"/>
      <w:numFmt w:val="decimal"/>
      <w:lvlText w:val="%1."/>
      <w:lvlJc w:val="left"/>
      <w:pPr>
        <w:ind w:left="720" w:hanging="360"/>
      </w:pPr>
    </w:lvl>
    <w:lvl w:ilvl="1">
      <w:start w:val="1"/>
      <w:numFmt w:val="lowerLetter"/>
      <w:lvlText w:val="%2)"/>
      <w:lvlJc w:val="left"/>
      <w:pPr>
        <w:ind w:left="1500" w:hanging="420"/>
      </w:pPr>
      <w:rPr>
        <w:sz w:val="22"/>
        <w:szCs w:val="22"/>
        <w:rFonts w:cs="Cambria"/>
      </w:rPr>
    </w:lvl>
    <w:lvl w:ilvl="2">
      <w:start w:val="1"/>
      <w:numFmt w:val="decimal"/>
      <w:lvlText w:val="%3)"/>
      <w:lvlJc w:val="left"/>
      <w:pPr>
        <w:ind w:left="2400" w:hanging="420"/>
      </w:pPr>
      <w:rPr>
        <w:sz w:val="22"/>
        <w:szCs w:val="22"/>
        <w:rFonts w:cs="Cambri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lvl w:ilvl="0">
      <w:start w:val="1"/>
      <w:numFmt w:val="decimal"/>
      <w:lvlText w:val="%1."/>
      <w:lvlJc w:val="left"/>
      <w:pPr>
        <w:ind w:left="720" w:hanging="360"/>
      </w:pPr>
    </w:lvl>
    <w:lvl w:ilvl="1">
      <w:start w:val="1"/>
      <w:numFmt w:val="lowerLetter"/>
      <w:lvlText w:val="%2)"/>
      <w:lvlJc w:val="left"/>
      <w:pPr>
        <w:ind w:left="1500" w:hanging="420"/>
      </w:pPr>
      <w:rPr>
        <w:sz w:val="22"/>
        <w:szCs w:val="22"/>
        <w:rFonts w:cs="Cambria"/>
      </w:rPr>
    </w:lvl>
    <w:lvl w:ilvl="2">
      <w:start w:val="1"/>
      <w:numFmt w:val="decimal"/>
      <w:lvlText w:val="%3)"/>
      <w:lvlJc w:val="left"/>
      <w:pPr>
        <w:ind w:left="2400" w:hanging="420"/>
      </w:pPr>
      <w:rPr>
        <w:sz w:val="22"/>
        <w:szCs w:val="22"/>
        <w:rFonts w:cs="Cambria"/>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lvl w:ilvl="0">
      <w:start w:val="1"/>
      <w:numFmt w:val="decimal"/>
      <w:lvlText w:val="%1."/>
      <w:lvlJc w:val="left"/>
      <w:pPr>
        <w:ind w:left="1146" w:hanging="360"/>
      </w:pPr>
      <w:rPr>
        <w:sz w:val="22"/>
        <w:szCs w:val="22"/>
        <w:rFonts w:cs="Cambria"/>
        <w:color w:val="000000"/>
      </w:rPr>
    </w:lvl>
    <w:lvl w:ilvl="1">
      <w:start w:val="1"/>
      <w:numFmt w:val="lowerLetter"/>
      <w:lvlText w:val="%2)"/>
      <w:lvlJc w:val="left"/>
      <w:pPr>
        <w:ind w:left="1770" w:hanging="690"/>
      </w:pPr>
      <w:rPr>
        <w:sz w:val="22"/>
        <w:szCs w:val="22"/>
        <w:rFonts w:cs="Cambria"/>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lvl w:ilvl="0">
      <w:start w:val="1"/>
      <w:numFmt w:val="decimal"/>
      <w:lvlText w:val="%1."/>
      <w:lvlJc w:val="left"/>
      <w:pPr>
        <w:ind w:left="720" w:hanging="360"/>
      </w:pPr>
      <w:rPr>
        <w:b w:val="false"/>
        <w:bCs w:val="false"/>
      </w:rPr>
    </w:lvl>
    <w:lvl w:ilvl="1">
      <w:start w:val="1"/>
      <w:numFmt w:val="decimal"/>
      <w:lvlText w:val="%2."/>
      <w:lvlJc w:val="left"/>
      <w:pPr>
        <w:ind w:left="1770" w:hanging="690"/>
      </w:pPr>
      <w:rPr>
        <w:sz w:val="22"/>
        <w:szCs w:val="22"/>
        <w:bCs/>
        <w:rFonts w:eastAsia="Times New Roman" w:cs="Cambria"/>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lvl w:ilvl="0">
      <w:start w:val="1"/>
      <w:numFmt w:val="decimal"/>
      <w:lvlText w:val="%1)"/>
      <w:lvlJc w:val="left"/>
      <w:pPr>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3">
    <w:lvl w:ilvl="0">
      <w:start w:val="15"/>
      <w:numFmt w:val="decimal"/>
      <w:lvlText w:val="%1."/>
      <w:lvlJc w:val="left"/>
      <w:pPr>
        <w:ind w:left="470" w:hanging="0"/>
      </w:pPr>
      <w:rPr>
        <w:dstrike w:val="false"/>
        <w:strike w:val="false"/>
        <w:vertAlign w:val="baseline"/>
        <w:position w:val="0"/>
        <w:sz w:val="20"/>
        <w:sz w:val="20"/>
        <w:i w:val="false"/>
        <w:u w:val="none" w:color="000000"/>
        <w:b/>
        <w:szCs w:val="20"/>
        <w:bCs/>
        <w:rFonts w:eastAsia="Cambria" w:cs="Cambria"/>
        <w:color w:val="000000"/>
      </w:rPr>
    </w:lvl>
    <w:lvl w:ilvl="1">
      <w:start w:val="1"/>
      <w:numFmt w:val="decimal"/>
      <w:lvlText w:val="%1.%2"/>
      <w:lvlJc w:val="left"/>
      <w:pPr>
        <w:ind w:left="1538" w:hanging="0"/>
      </w:pPr>
      <w:rPr>
        <w:dstrike w:val="false"/>
        <w:strike w:val="false"/>
        <w:vertAlign w:val="baseline"/>
        <w:position w:val="0"/>
        <w:sz w:val="20"/>
        <w:sz w:val="20"/>
        <w:i w:val="false"/>
        <w:u w:val="none" w:color="000000"/>
        <w:b/>
        <w:szCs w:val="20"/>
        <w:bCs/>
        <w:rFonts w:eastAsia="Cambria" w:cs="Cambria"/>
        <w:color w:val="000000"/>
      </w:rPr>
    </w:lvl>
    <w:lvl w:ilvl="2">
      <w:start w:val="1"/>
      <w:numFmt w:val="lowerLetter"/>
      <w:lvlText w:val="%3)"/>
      <w:lvlJc w:val="left"/>
      <w:pPr>
        <w:ind w:left="1835" w:hanging="0"/>
      </w:pPr>
      <w:rPr>
        <w:dstrike w:val="false"/>
        <w:strike w:val="false"/>
        <w:vertAlign w:val="baseline"/>
        <w:position w:val="0"/>
        <w:sz w:val="18"/>
        <w:sz w:val="18"/>
        <w:i w:val="false"/>
        <w:u w:val="none" w:color="000000"/>
        <w:b w:val="false"/>
        <w:szCs w:val="18"/>
        <w:rFonts w:cs="Cambria"/>
        <w:color w:val="000000"/>
      </w:rPr>
    </w:lvl>
    <w:lvl w:ilvl="3">
      <w:start w:val="1"/>
      <w:numFmt w:val="decimal"/>
      <w:lvlText w:val="%4"/>
      <w:lvlJc w:val="left"/>
      <w:pPr>
        <w:ind w:left="1802" w:hanging="0"/>
      </w:pPr>
      <w:rPr>
        <w:dstrike w:val="false"/>
        <w:strike w:val="false"/>
        <w:vertAlign w:val="baseline"/>
        <w:position w:val="0"/>
        <w:sz w:val="18"/>
        <w:sz w:val="18"/>
        <w:i w:val="false"/>
        <w:u w:val="none" w:color="000000"/>
        <w:b w:val="false"/>
        <w:szCs w:val="18"/>
        <w:rFonts w:eastAsia="Cambria" w:cs="Cambria"/>
        <w:color w:val="000000"/>
      </w:rPr>
    </w:lvl>
    <w:lvl w:ilvl="4">
      <w:start w:val="1"/>
      <w:numFmt w:val="lowerLetter"/>
      <w:lvlText w:val="%5"/>
      <w:lvlJc w:val="left"/>
      <w:pPr>
        <w:ind w:left="2522" w:hanging="0"/>
      </w:pPr>
      <w:rPr>
        <w:dstrike w:val="false"/>
        <w:strike w:val="false"/>
        <w:vertAlign w:val="baseline"/>
        <w:position w:val="0"/>
        <w:sz w:val="18"/>
        <w:sz w:val="18"/>
        <w:i w:val="false"/>
        <w:u w:val="none" w:color="000000"/>
        <w:b w:val="false"/>
        <w:szCs w:val="18"/>
        <w:rFonts w:eastAsia="Cambria" w:cs="Cambria"/>
        <w:color w:val="000000"/>
      </w:rPr>
    </w:lvl>
    <w:lvl w:ilvl="5">
      <w:start w:val="1"/>
      <w:numFmt w:val="lowerRoman"/>
      <w:lvlText w:val="%6"/>
      <w:lvlJc w:val="left"/>
      <w:pPr>
        <w:ind w:left="3242" w:hanging="0"/>
      </w:pPr>
      <w:rPr>
        <w:dstrike w:val="false"/>
        <w:strike w:val="false"/>
        <w:vertAlign w:val="baseline"/>
        <w:position w:val="0"/>
        <w:sz w:val="18"/>
        <w:sz w:val="18"/>
        <w:i w:val="false"/>
        <w:u w:val="none" w:color="000000"/>
        <w:b w:val="false"/>
        <w:szCs w:val="18"/>
        <w:rFonts w:eastAsia="Cambria" w:cs="Cambria"/>
        <w:color w:val="000000"/>
      </w:rPr>
    </w:lvl>
    <w:lvl w:ilvl="6">
      <w:start w:val="1"/>
      <w:numFmt w:val="decimal"/>
      <w:lvlText w:val="%7"/>
      <w:lvlJc w:val="left"/>
      <w:pPr>
        <w:ind w:left="3962" w:hanging="0"/>
      </w:pPr>
      <w:rPr>
        <w:dstrike w:val="false"/>
        <w:strike w:val="false"/>
        <w:vertAlign w:val="baseline"/>
        <w:position w:val="0"/>
        <w:sz w:val="18"/>
        <w:sz w:val="18"/>
        <w:i w:val="false"/>
        <w:u w:val="none" w:color="000000"/>
        <w:b w:val="false"/>
        <w:szCs w:val="18"/>
        <w:rFonts w:eastAsia="Cambria" w:cs="Cambria"/>
        <w:color w:val="000000"/>
      </w:rPr>
    </w:lvl>
    <w:lvl w:ilvl="7">
      <w:start w:val="1"/>
      <w:numFmt w:val="lowerLetter"/>
      <w:lvlText w:val="%8"/>
      <w:lvlJc w:val="left"/>
      <w:pPr>
        <w:ind w:left="4682" w:hanging="0"/>
      </w:pPr>
      <w:rPr>
        <w:dstrike w:val="false"/>
        <w:strike w:val="false"/>
        <w:vertAlign w:val="baseline"/>
        <w:position w:val="0"/>
        <w:sz w:val="18"/>
        <w:sz w:val="18"/>
        <w:i w:val="false"/>
        <w:u w:val="none" w:color="000000"/>
        <w:b w:val="false"/>
        <w:szCs w:val="18"/>
        <w:rFonts w:eastAsia="Cambria" w:cs="Cambria"/>
        <w:color w:val="000000"/>
      </w:rPr>
    </w:lvl>
    <w:lvl w:ilvl="8">
      <w:start w:val="1"/>
      <w:numFmt w:val="lowerRoman"/>
      <w:lvlText w:val="%9"/>
      <w:lvlJc w:val="left"/>
      <w:pPr>
        <w:ind w:left="5402" w:hanging="0"/>
      </w:pPr>
      <w:rPr>
        <w:dstrike w:val="false"/>
        <w:strike w:val="false"/>
        <w:vertAlign w:val="baseline"/>
        <w:position w:val="0"/>
        <w:sz w:val="18"/>
        <w:sz w:val="18"/>
        <w:i w:val="false"/>
        <w:u w:val="none" w:color="000000"/>
        <w:b w:val="false"/>
        <w:szCs w:val="18"/>
        <w:rFonts w:eastAsia="Cambria" w:cs="Cambria"/>
        <w:color w:val="000000"/>
      </w:rPr>
    </w:lvl>
  </w:abstractNum>
  <w:abstractNum w:abstractNumId="54">
    <w:lvl w:ilvl="0">
      <w:start w:val="1"/>
      <w:numFmt w:val="decimal"/>
      <w:lvlText w:val="%1."/>
      <w:lvlJc w:val="left"/>
      <w:pPr>
        <w:ind w:left="1146" w:hanging="360"/>
      </w:pPr>
      <w:rPr>
        <w:sz w:val="22"/>
        <w:szCs w:val="22"/>
        <w:rFonts w:cs="Cambria"/>
        <w:color w:val="000000"/>
      </w:rPr>
    </w:lvl>
    <w:lvl w:ilvl="1">
      <w:start w:val="1"/>
      <w:numFmt w:val="lowerLetter"/>
      <w:lvlText w:val="%2)"/>
      <w:lvlJc w:val="left"/>
      <w:pPr>
        <w:ind w:left="1770" w:hanging="690"/>
      </w:pPr>
      <w:rPr>
        <w:sz w:val="22"/>
        <w:szCs w:val="22"/>
        <w:rFonts w:cs="Cambria"/>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w="http://schemas.openxmlformats.org/wordprocessingml/2006/main">
  <w:zoom w:percent="130"/>
  <w:displayBackgroundShape/>
  <w:embedSystemFonts/>
  <w:defaultTabStop w:val="709"/>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303f"/>
    <w:pPr>
      <w:widowControl/>
      <w:suppressAutoHyphens w:val="true"/>
      <w:bidi w:val="0"/>
      <w:jc w:val="left"/>
    </w:pPr>
    <w:rPr>
      <w:rFonts w:ascii="Times New Roman" w:hAnsi="Times New Roman" w:eastAsia="Times New Roman" w:cs="Times New Roman"/>
      <w:color w:val="auto"/>
      <w:kern w:val="0"/>
      <w:sz w:val="24"/>
      <w:szCs w:val="24"/>
      <w:lang w:val="pl-PL" w:eastAsia="zh-CN" w:bidi="ar-SA"/>
    </w:rPr>
  </w:style>
  <w:style w:type="paragraph" w:styleId="Nagwek1">
    <w:name w:val="Heading 1"/>
    <w:basedOn w:val="Normal"/>
    <w:next w:val="Normal"/>
    <w:qFormat/>
    <w:rsid w:val="00770df0"/>
    <w:pPr>
      <w:keepNext w:val="true"/>
      <w:keepLines/>
      <w:tabs>
        <w:tab w:val="clear" w:pos="709"/>
        <w:tab w:val="left" w:pos="4265" w:leader="none"/>
      </w:tabs>
      <w:spacing w:before="480" w:after="0"/>
      <w:ind w:left="4265" w:hanging="720"/>
      <w:outlineLvl w:val="0"/>
    </w:pPr>
    <w:rPr>
      <w:rFonts w:ascii="Cambria" w:hAnsi="Cambria" w:cs="Cambria"/>
      <w:b/>
      <w:bCs/>
      <w:color w:val="365F91"/>
      <w:sz w:val="28"/>
      <w:szCs w:val="28"/>
    </w:rPr>
  </w:style>
  <w:style w:type="paragraph" w:styleId="Nagwek2">
    <w:name w:val="Heading 2"/>
    <w:basedOn w:val="Normal"/>
    <w:next w:val="Normal"/>
    <w:qFormat/>
    <w:rsid w:val="00770df0"/>
    <w:pPr>
      <w:keepNext w:val="true"/>
      <w:numPr>
        <w:ilvl w:val="0"/>
        <w:numId w:val="1"/>
      </w:numPr>
      <w:jc w:val="both"/>
      <w:outlineLvl w:val="0"/>
    </w:pPr>
    <w:rPr>
      <w:rFonts w:ascii="Calibri" w:hAnsi="Calibri" w:eastAsia="Calibri" w:cs="Calibri"/>
      <w:b/>
      <w:szCs w:val="20"/>
    </w:rPr>
  </w:style>
  <w:style w:type="paragraph" w:styleId="Nagwek3">
    <w:name w:val="Heading 3"/>
    <w:basedOn w:val="Normal"/>
    <w:next w:val="Normal"/>
    <w:qFormat/>
    <w:rsid w:val="00770df0"/>
    <w:pPr>
      <w:keepNext w:val="true"/>
      <w:numPr>
        <w:ilvl w:val="2"/>
        <w:numId w:val="1"/>
      </w:numPr>
      <w:spacing w:before="240" w:after="60"/>
      <w:outlineLvl w:val="2"/>
    </w:pPr>
    <w:rPr>
      <w:rFonts w:ascii="Cambria" w:hAnsi="Cambria" w:cs="Cambria"/>
      <w:b/>
      <w:bCs/>
      <w:sz w:val="26"/>
      <w:szCs w:val="26"/>
    </w:rPr>
  </w:style>
  <w:style w:type="paragraph" w:styleId="Nagwek4">
    <w:name w:val="Heading 4"/>
    <w:basedOn w:val="Normal"/>
    <w:next w:val="Normal"/>
    <w:qFormat/>
    <w:rsid w:val="00770df0"/>
    <w:pPr>
      <w:keepNext w:val="true"/>
      <w:numPr>
        <w:ilvl w:val="3"/>
        <w:numId w:val="1"/>
      </w:numPr>
      <w:spacing w:before="240" w:after="60"/>
      <w:outlineLvl w:val="3"/>
    </w:pPr>
    <w:rPr>
      <w:rFonts w:ascii="Times New (W1)" w:hAnsi="Times New (W1)" w:cs="Times New (W1)"/>
      <w:b/>
      <w:bCs/>
      <w:sz w:val="28"/>
      <w:szCs w:val="28"/>
    </w:rPr>
  </w:style>
  <w:style w:type="paragraph" w:styleId="Nagwek5">
    <w:name w:val="Heading 5"/>
    <w:basedOn w:val="Normal"/>
    <w:next w:val="Normal"/>
    <w:qFormat/>
    <w:rsid w:val="00770df0"/>
    <w:pPr>
      <w:keepNext w:val="true"/>
      <w:numPr>
        <w:ilvl w:val="4"/>
        <w:numId w:val="1"/>
      </w:numPr>
      <w:outlineLvl w:val="4"/>
    </w:pPr>
    <w:rPr>
      <w:szCs w:val="20"/>
      <w:u w:val="single"/>
    </w:rPr>
  </w:style>
  <w:style w:type="paragraph" w:styleId="Nagwek6">
    <w:name w:val="Heading 6"/>
    <w:basedOn w:val="Normal"/>
    <w:next w:val="Normal"/>
    <w:qFormat/>
    <w:rsid w:val="00770df0"/>
    <w:pPr>
      <w:numPr>
        <w:ilvl w:val="5"/>
        <w:numId w:val="1"/>
      </w:numPr>
      <w:spacing w:before="240" w:after="60"/>
      <w:outlineLvl w:val="5"/>
    </w:pPr>
    <w:rPr>
      <w:rFonts w:ascii="Calibri" w:hAnsi="Calibri" w:cs="Calibri"/>
      <w:b/>
      <w:bCs/>
      <w:sz w:val="22"/>
      <w:szCs w:val="22"/>
    </w:rPr>
  </w:style>
  <w:style w:type="paragraph" w:styleId="Nagwek7">
    <w:name w:val="Heading 7"/>
    <w:basedOn w:val="Normal"/>
    <w:next w:val="Normal"/>
    <w:qFormat/>
    <w:rsid w:val="00770df0"/>
    <w:pPr>
      <w:numPr>
        <w:ilvl w:val="6"/>
        <w:numId w:val="1"/>
      </w:numPr>
      <w:spacing w:before="240" w:after="60"/>
      <w:outlineLvl w:val="6"/>
    </w:pPr>
    <w:rPr>
      <w:rFonts w:ascii="Calibri" w:hAnsi="Calibri" w:cs="Calibri"/>
    </w:rPr>
  </w:style>
  <w:style w:type="paragraph" w:styleId="Nagwek8">
    <w:name w:val="Heading 8"/>
    <w:basedOn w:val="Normal"/>
    <w:next w:val="Normal"/>
    <w:qFormat/>
    <w:rsid w:val="00770df0"/>
    <w:pPr>
      <w:keepNext w:val="true"/>
      <w:numPr>
        <w:ilvl w:val="7"/>
        <w:numId w:val="1"/>
      </w:numPr>
      <w:ind w:left="720" w:firstLine="556"/>
      <w:outlineLvl w:val="7"/>
    </w:pPr>
    <w:rPr>
      <w:rFonts w:ascii="Verdana" w:hAnsi="Verdana" w:cs="Verdana"/>
      <w:b/>
      <w:i/>
      <w:sz w:val="20"/>
      <w:szCs w:val="20"/>
    </w:rPr>
  </w:style>
  <w:style w:type="paragraph" w:styleId="Nagwek9">
    <w:name w:val="Heading 9"/>
    <w:basedOn w:val="Normal"/>
    <w:next w:val="Normal"/>
    <w:qFormat/>
    <w:rsid w:val="00770df0"/>
    <w:pPr>
      <w:keepNext w:val="true"/>
      <w:widowControl w:val="false"/>
      <w:numPr>
        <w:ilvl w:val="8"/>
        <w:numId w:val="1"/>
      </w:numPr>
      <w:jc w:val="center"/>
      <w:outlineLvl w:val="8"/>
    </w:pPr>
    <w:rPr>
      <w:sz w:val="32"/>
      <w:szCs w:val="20"/>
    </w:rPr>
  </w:style>
  <w:style w:type="character" w:styleId="DefaultParagraphFont" w:default="1">
    <w:name w:val="Default Paragraph Font"/>
    <w:uiPriority w:val="1"/>
    <w:semiHidden/>
    <w:unhideWhenUsed/>
    <w:qFormat/>
    <w:rPr/>
  </w:style>
  <w:style w:type="character" w:styleId="WW8Num2z0" w:customStyle="1">
    <w:name w:val="WW8Num2z0"/>
    <w:qFormat/>
    <w:rsid w:val="00770df0"/>
    <w:rPr>
      <w:rFonts w:ascii="Cambria" w:hAnsi="Cambria" w:eastAsia="Cambria" w:cs="Cambria"/>
      <w:i w:val="false"/>
      <w:color w:val="000000"/>
      <w:position w:val="0"/>
      <w:sz w:val="20"/>
      <w:sz w:val="20"/>
      <w:szCs w:val="20"/>
      <w:shd w:fill="auto" w:val="clear"/>
      <w:vertAlign w:val="baseline"/>
    </w:rPr>
  </w:style>
  <w:style w:type="character" w:styleId="WW8Num2z1" w:customStyle="1">
    <w:name w:val="WW8Num2z1"/>
    <w:qFormat/>
    <w:rsid w:val="00770df0"/>
    <w:rPr>
      <w:i w:val="false"/>
      <w:color w:val="000000"/>
      <w:position w:val="0"/>
      <w:sz w:val="20"/>
      <w:sz w:val="20"/>
      <w:szCs w:val="20"/>
      <w:shd w:fill="auto" w:val="clear"/>
      <w:vertAlign w:val="baseline"/>
    </w:rPr>
  </w:style>
  <w:style w:type="character" w:styleId="WW8Num3z0" w:customStyle="1">
    <w:name w:val="WW8Num3z0"/>
    <w:qFormat/>
    <w:rsid w:val="00770df0"/>
    <w:rPr>
      <w:rFonts w:ascii="Symbol" w:hAnsi="Symbol" w:cs="Symbol"/>
    </w:rPr>
  </w:style>
  <w:style w:type="character" w:styleId="WW8Num5z0" w:customStyle="1">
    <w:name w:val="WW8Num5z0"/>
    <w:qFormat/>
    <w:rsid w:val="00770df0"/>
    <w:rPr>
      <w:rFonts w:ascii="Symbol" w:hAnsi="Symbol" w:cs="Symbol"/>
    </w:rPr>
  </w:style>
  <w:style w:type="character" w:styleId="WW8Num6z0" w:customStyle="1">
    <w:name w:val="WW8Num6z0"/>
    <w:qFormat/>
    <w:rsid w:val="00770df0"/>
    <w:rPr>
      <w:rFonts w:ascii="Symbol" w:hAnsi="Symbol" w:cs="Symbol"/>
    </w:rPr>
  </w:style>
  <w:style w:type="character" w:styleId="WW8Num9z1" w:customStyle="1">
    <w:name w:val="WW8Num9z1"/>
    <w:qFormat/>
    <w:rsid w:val="00770df0"/>
    <w:rPr/>
  </w:style>
  <w:style w:type="character" w:styleId="WW8Num10z0" w:customStyle="1">
    <w:name w:val="WW8Num10z0"/>
    <w:qFormat/>
    <w:rsid w:val="00770df0"/>
    <w:rPr>
      <w:rFonts w:ascii="Arial" w:hAnsi="Arial" w:cs="Arial"/>
      <w:i w:val="false"/>
      <w:color w:val="000000"/>
      <w:position w:val="0"/>
      <w:sz w:val="20"/>
      <w:sz w:val="20"/>
      <w:szCs w:val="20"/>
      <w:shd w:fill="auto" w:val="clear"/>
      <w:vertAlign w:val="baseline"/>
    </w:rPr>
  </w:style>
  <w:style w:type="character" w:styleId="WW8Num10z1" w:customStyle="1">
    <w:name w:val="WW8Num10z1"/>
    <w:qFormat/>
    <w:rsid w:val="00770df0"/>
    <w:rPr>
      <w:rFonts w:ascii="Segoe UI Symbol" w:hAnsi="Segoe UI Symbol" w:cs="Segoe UI Symbol"/>
      <w:i w:val="false"/>
      <w:color w:val="000000"/>
      <w:position w:val="0"/>
      <w:sz w:val="20"/>
      <w:sz w:val="20"/>
      <w:szCs w:val="20"/>
      <w:shd w:fill="auto" w:val="clear"/>
      <w:vertAlign w:val="baseline"/>
    </w:rPr>
  </w:style>
  <w:style w:type="character" w:styleId="WW8Num10z2" w:customStyle="1">
    <w:name w:val="WW8Num10z2"/>
    <w:qFormat/>
    <w:rsid w:val="00770df0"/>
    <w:rPr>
      <w:rFonts w:ascii="Symbol" w:hAnsi="Symbol" w:cs="Symbol"/>
      <w:i w:val="false"/>
      <w:color w:val="000000"/>
      <w:position w:val="0"/>
      <w:sz w:val="20"/>
      <w:sz w:val="20"/>
      <w:szCs w:val="20"/>
      <w:shd w:fill="auto" w:val="clear"/>
      <w:vertAlign w:val="baseline"/>
    </w:rPr>
  </w:style>
  <w:style w:type="character" w:styleId="WW8Num11z2" w:customStyle="1">
    <w:name w:val="WW8Num11z2"/>
    <w:qFormat/>
    <w:rsid w:val="00770df0"/>
    <w:rPr/>
  </w:style>
  <w:style w:type="character" w:styleId="WW8Num13z0" w:customStyle="1">
    <w:name w:val="WW8Num13z0"/>
    <w:qFormat/>
    <w:rsid w:val="00770df0"/>
    <w:rPr/>
  </w:style>
  <w:style w:type="character" w:styleId="WW8Num14z0" w:customStyle="1">
    <w:name w:val="WW8Num14z0"/>
    <w:qFormat/>
    <w:rsid w:val="00770df0"/>
    <w:rPr/>
  </w:style>
  <w:style w:type="character" w:styleId="WW8Num15z0" w:customStyle="1">
    <w:name w:val="WW8Num15z0"/>
    <w:qFormat/>
    <w:rsid w:val="00770df0"/>
    <w:rPr>
      <w:rFonts w:ascii="Symbol" w:hAnsi="Symbol" w:cs="Symbol"/>
    </w:rPr>
  </w:style>
  <w:style w:type="character" w:styleId="WW8Num20z0" w:customStyle="1">
    <w:name w:val="WW8Num20z0"/>
    <w:qFormat/>
    <w:rsid w:val="00770df0"/>
    <w:rPr>
      <w:rFonts w:ascii="Symbol" w:hAnsi="Symbol" w:cs="Symbol"/>
    </w:rPr>
  </w:style>
  <w:style w:type="character" w:styleId="WW8Num21z0" w:customStyle="1">
    <w:name w:val="WW8Num21z0"/>
    <w:qFormat/>
    <w:rsid w:val="00770df0"/>
    <w:rPr/>
  </w:style>
  <w:style w:type="character" w:styleId="WW8Num22z0" w:customStyle="1">
    <w:name w:val="WW8Num22z0"/>
    <w:qFormat/>
    <w:rsid w:val="00770df0"/>
    <w:rPr>
      <w:rFonts w:ascii="Symbol" w:hAnsi="Symbol" w:cs="Symbol"/>
    </w:rPr>
  </w:style>
  <w:style w:type="character" w:styleId="WW8Num23z1" w:customStyle="1">
    <w:name w:val="WW8Num23z1"/>
    <w:qFormat/>
    <w:rsid w:val="00770df0"/>
    <w:rPr/>
  </w:style>
  <w:style w:type="character" w:styleId="WW8Num24z0" w:customStyle="1">
    <w:name w:val="WW8Num24z0"/>
    <w:qFormat/>
    <w:rsid w:val="00770df0"/>
    <w:rPr>
      <w:rFonts w:ascii="Symbol" w:hAnsi="Symbol" w:cs="Symbol"/>
    </w:rPr>
  </w:style>
  <w:style w:type="character" w:styleId="WW8Num25z0" w:customStyle="1">
    <w:name w:val="WW8Num25z0"/>
    <w:qFormat/>
    <w:rsid w:val="00770df0"/>
    <w:rPr/>
  </w:style>
  <w:style w:type="character" w:styleId="WW8Num26z0" w:customStyle="1">
    <w:name w:val="WW8Num26z0"/>
    <w:qFormat/>
    <w:rsid w:val="00770df0"/>
    <w:rPr>
      <w:rFonts w:ascii="Cambria" w:hAnsi="Cambria" w:eastAsia="Cambria" w:cs="Cambria"/>
      <w:i w:val="false"/>
      <w:color w:val="000000"/>
      <w:position w:val="0"/>
      <w:sz w:val="20"/>
      <w:sz w:val="20"/>
      <w:szCs w:val="20"/>
      <w:shd w:fill="auto" w:val="clear"/>
      <w:vertAlign w:val="baseline"/>
    </w:rPr>
  </w:style>
  <w:style w:type="character" w:styleId="WW8Num26z1" w:customStyle="1">
    <w:name w:val="WW8Num26z1"/>
    <w:qFormat/>
    <w:rsid w:val="00770df0"/>
    <w:rPr>
      <w:i w:val="false"/>
      <w:color w:val="000000"/>
      <w:position w:val="0"/>
      <w:sz w:val="20"/>
      <w:sz w:val="20"/>
      <w:szCs w:val="20"/>
      <w:shd w:fill="auto" w:val="clear"/>
      <w:vertAlign w:val="baseline"/>
    </w:rPr>
  </w:style>
  <w:style w:type="character" w:styleId="WW8Num26z2" w:customStyle="1">
    <w:name w:val="WW8Num26z2"/>
    <w:qFormat/>
    <w:rsid w:val="00770df0"/>
    <w:rPr>
      <w:rFonts w:ascii="Cambria" w:hAnsi="Cambria" w:eastAsia="Cambria" w:cs="Cambria"/>
      <w:i w:val="false"/>
      <w:color w:val="000000"/>
      <w:position w:val="0"/>
      <w:sz w:val="20"/>
      <w:sz w:val="20"/>
      <w:szCs w:val="20"/>
      <w:shd w:fill="auto" w:val="clear"/>
      <w:vertAlign w:val="baseline"/>
    </w:rPr>
  </w:style>
  <w:style w:type="character" w:styleId="WW8Num27z1" w:customStyle="1">
    <w:name w:val="WW8Num27z1"/>
    <w:qFormat/>
    <w:rsid w:val="00770df0"/>
    <w:rPr/>
  </w:style>
  <w:style w:type="character" w:styleId="WW8Num28z0" w:customStyle="1">
    <w:name w:val="WW8Num28z0"/>
    <w:qFormat/>
    <w:rsid w:val="00770df0"/>
    <w:rPr>
      <w:rFonts w:ascii="Symbol" w:hAnsi="Symbol" w:cs="Symbol"/>
    </w:rPr>
  </w:style>
  <w:style w:type="character" w:styleId="WW8Num29z0" w:customStyle="1">
    <w:name w:val="WW8Num29z0"/>
    <w:qFormat/>
    <w:rsid w:val="00770df0"/>
    <w:rPr/>
  </w:style>
  <w:style w:type="character" w:styleId="WW8Num30z3" w:customStyle="1">
    <w:name w:val="WW8Num30z3"/>
    <w:qFormat/>
    <w:rsid w:val="00770df0"/>
    <w:rPr>
      <w:color w:val="000000"/>
    </w:rPr>
  </w:style>
  <w:style w:type="character" w:styleId="WW8Num31z0" w:customStyle="1">
    <w:name w:val="WW8Num31z0"/>
    <w:qFormat/>
    <w:rsid w:val="00770df0"/>
    <w:rPr>
      <w:rFonts w:ascii="Symbol" w:hAnsi="Symbol" w:cs="Symbol"/>
    </w:rPr>
  </w:style>
  <w:style w:type="character" w:styleId="WW8Num33z0" w:customStyle="1">
    <w:name w:val="WW8Num33z0"/>
    <w:qFormat/>
    <w:rsid w:val="00770df0"/>
    <w:rPr>
      <w:rFonts w:ascii="Cambria" w:hAnsi="Cambria" w:eastAsia="Cambria" w:cs="Cambria"/>
      <w:i w:val="false"/>
      <w:color w:val="000000"/>
      <w:position w:val="0"/>
      <w:sz w:val="20"/>
      <w:sz w:val="20"/>
      <w:szCs w:val="20"/>
      <w:shd w:fill="auto" w:val="clear"/>
      <w:vertAlign w:val="baseline"/>
    </w:rPr>
  </w:style>
  <w:style w:type="character" w:styleId="WW8Num33z2" w:customStyle="1">
    <w:name w:val="WW8Num33z2"/>
    <w:qFormat/>
    <w:rsid w:val="00770df0"/>
    <w:rPr>
      <w:i w:val="false"/>
      <w:color w:val="000000"/>
      <w:position w:val="0"/>
      <w:sz w:val="18"/>
      <w:sz w:val="18"/>
      <w:szCs w:val="18"/>
      <w:shd w:fill="auto" w:val="clear"/>
      <w:vertAlign w:val="baseline"/>
    </w:rPr>
  </w:style>
  <w:style w:type="character" w:styleId="WW8Num33z3" w:customStyle="1">
    <w:name w:val="WW8Num33z3"/>
    <w:qFormat/>
    <w:rsid w:val="00770df0"/>
    <w:rPr>
      <w:rFonts w:ascii="Cambria" w:hAnsi="Cambria" w:eastAsia="Cambria" w:cs="Cambria"/>
      <w:i w:val="false"/>
      <w:color w:val="000000"/>
      <w:position w:val="0"/>
      <w:sz w:val="18"/>
      <w:sz w:val="18"/>
      <w:szCs w:val="18"/>
      <w:shd w:fill="auto" w:val="clear"/>
      <w:vertAlign w:val="baseline"/>
    </w:rPr>
  </w:style>
  <w:style w:type="character" w:styleId="WW8Num34z0" w:customStyle="1">
    <w:name w:val="WW8Num34z0"/>
    <w:qFormat/>
    <w:rsid w:val="00770df0"/>
    <w:rPr>
      <w:rFonts w:ascii="Symbol" w:hAnsi="Symbol" w:cs="Symbol"/>
    </w:rPr>
  </w:style>
  <w:style w:type="character" w:styleId="WW8Num35z0" w:customStyle="1">
    <w:name w:val="WW8Num35z0"/>
    <w:qFormat/>
    <w:rsid w:val="00770df0"/>
    <w:rPr>
      <w:rFonts w:ascii="Cambria" w:hAnsi="Cambria" w:eastAsia="Cambria" w:cs="Cambria"/>
      <w:i w:val="false"/>
      <w:color w:val="000000"/>
      <w:position w:val="0"/>
      <w:sz w:val="20"/>
      <w:sz w:val="20"/>
      <w:szCs w:val="20"/>
      <w:shd w:fill="auto" w:val="clear"/>
      <w:vertAlign w:val="baseline"/>
    </w:rPr>
  </w:style>
  <w:style w:type="character" w:styleId="WW8Num35z1" w:customStyle="1">
    <w:name w:val="WW8Num35z1"/>
    <w:qFormat/>
    <w:rsid w:val="00770df0"/>
    <w:rPr>
      <w:i w:val="false"/>
      <w:color w:val="000000"/>
      <w:position w:val="0"/>
      <w:sz w:val="20"/>
      <w:sz w:val="20"/>
      <w:szCs w:val="20"/>
      <w:shd w:fill="auto" w:val="clear"/>
      <w:vertAlign w:val="baseline"/>
    </w:rPr>
  </w:style>
  <w:style w:type="character" w:styleId="WW8Num35z2" w:customStyle="1">
    <w:name w:val="WW8Num35z2"/>
    <w:qFormat/>
    <w:rsid w:val="00770df0"/>
    <w:rPr>
      <w:rFonts w:ascii="Cambria" w:hAnsi="Cambria" w:eastAsia="Cambria" w:cs="Cambria"/>
      <w:i w:val="false"/>
      <w:color w:val="000000"/>
      <w:position w:val="0"/>
      <w:sz w:val="20"/>
      <w:sz w:val="20"/>
      <w:szCs w:val="20"/>
      <w:shd w:fill="auto" w:val="clear"/>
      <w:vertAlign w:val="baseline"/>
    </w:rPr>
  </w:style>
  <w:style w:type="character" w:styleId="WW8Num36z0" w:customStyle="1">
    <w:name w:val="WW8Num36z0"/>
    <w:qFormat/>
    <w:rsid w:val="00770df0"/>
    <w:rPr>
      <w:rFonts w:ascii="Symbol" w:hAnsi="Symbol" w:cs="Symbol"/>
    </w:rPr>
  </w:style>
  <w:style w:type="character" w:styleId="WW8Num37z0" w:customStyle="1">
    <w:name w:val="WW8Num37z0"/>
    <w:qFormat/>
    <w:rsid w:val="00770df0"/>
    <w:rPr>
      <w:rFonts w:ascii="Symbol" w:hAnsi="Symbol" w:cs="Symbol"/>
    </w:rPr>
  </w:style>
  <w:style w:type="character" w:styleId="WW8Num38z0" w:customStyle="1">
    <w:name w:val="WW8Num38z0"/>
    <w:qFormat/>
    <w:rsid w:val="00770df0"/>
    <w:rPr>
      <w:rFonts w:ascii="Symbol" w:hAnsi="Symbol" w:cs="Symbol"/>
    </w:rPr>
  </w:style>
  <w:style w:type="character" w:styleId="WW8Num38z1" w:customStyle="1">
    <w:name w:val="WW8Num38z1"/>
    <w:qFormat/>
    <w:rsid w:val="00770df0"/>
    <w:rPr/>
  </w:style>
  <w:style w:type="character" w:styleId="WW8Num38z2" w:customStyle="1">
    <w:name w:val="WW8Num38z2"/>
    <w:qFormat/>
    <w:rsid w:val="00770df0"/>
    <w:rPr>
      <w:rFonts w:ascii="Wingdings" w:hAnsi="Wingdings" w:cs="Wingdings"/>
    </w:rPr>
  </w:style>
  <w:style w:type="character" w:styleId="WW8Num38z4" w:customStyle="1">
    <w:name w:val="WW8Num38z4"/>
    <w:qFormat/>
    <w:rsid w:val="00770df0"/>
    <w:rPr>
      <w:rFonts w:ascii="Courier New" w:hAnsi="Courier New" w:cs="Courier New"/>
    </w:rPr>
  </w:style>
  <w:style w:type="character" w:styleId="WW8Num39z0" w:customStyle="1">
    <w:name w:val="WW8Num39z0"/>
    <w:qFormat/>
    <w:rsid w:val="00770df0"/>
    <w:rPr/>
  </w:style>
  <w:style w:type="character" w:styleId="WW8Num40z0" w:customStyle="1">
    <w:name w:val="WW8Num40z0"/>
    <w:qFormat/>
    <w:rsid w:val="00770df0"/>
    <w:rPr>
      <w:rFonts w:ascii="Symbol" w:hAnsi="Symbol" w:cs="Symbol"/>
    </w:rPr>
  </w:style>
  <w:style w:type="character" w:styleId="WW8Num41z0" w:customStyle="1">
    <w:name w:val="WW8Num41z0"/>
    <w:qFormat/>
    <w:rsid w:val="00770df0"/>
    <w:rPr>
      <w:rFonts w:ascii="Symbol" w:hAnsi="Symbol" w:cs="Symbol"/>
    </w:rPr>
  </w:style>
  <w:style w:type="character" w:styleId="WW8Num43z0" w:customStyle="1">
    <w:name w:val="WW8Num43z0"/>
    <w:qFormat/>
    <w:rsid w:val="00770df0"/>
    <w:rPr>
      <w:rFonts w:ascii="Symbol" w:hAnsi="Symbol" w:cs="Symbol"/>
    </w:rPr>
  </w:style>
  <w:style w:type="character" w:styleId="WW8Num44z0" w:customStyle="1">
    <w:name w:val="WW8Num44z0"/>
    <w:qFormat/>
    <w:rsid w:val="00770df0"/>
    <w:rPr>
      <w:rFonts w:ascii="Cambria" w:hAnsi="Cambria" w:eastAsia="Cambria" w:cs="Cambria"/>
      <w:i w:val="false"/>
      <w:color w:val="000000"/>
      <w:position w:val="0"/>
      <w:sz w:val="20"/>
      <w:sz w:val="20"/>
      <w:szCs w:val="20"/>
      <w:shd w:fill="auto" w:val="clear"/>
      <w:vertAlign w:val="baseline"/>
    </w:rPr>
  </w:style>
  <w:style w:type="character" w:styleId="WW8Num45z0" w:customStyle="1">
    <w:name w:val="WW8Num45z0"/>
    <w:qFormat/>
    <w:rsid w:val="00770df0"/>
    <w:rPr>
      <w:rFonts w:ascii="Cambria" w:hAnsi="Cambria" w:eastAsia="Cambria" w:cs="Cambria"/>
      <w:i w:val="false"/>
      <w:color w:val="000000"/>
      <w:position w:val="0"/>
      <w:sz w:val="20"/>
      <w:sz w:val="20"/>
      <w:szCs w:val="20"/>
      <w:shd w:fill="auto" w:val="clear"/>
      <w:vertAlign w:val="baseline"/>
    </w:rPr>
  </w:style>
  <w:style w:type="character" w:styleId="WW8Num46z0" w:customStyle="1">
    <w:name w:val="WW8Num46z0"/>
    <w:qFormat/>
    <w:rsid w:val="00770df0"/>
    <w:rPr>
      <w:rFonts w:ascii="Symbol" w:hAnsi="Symbol" w:cs="Symbol"/>
    </w:rPr>
  </w:style>
  <w:style w:type="character" w:styleId="WW8Num47z0" w:customStyle="1">
    <w:name w:val="WW8Num47z0"/>
    <w:qFormat/>
    <w:rsid w:val="00770df0"/>
    <w:rPr>
      <w:rFonts w:ascii="Cambria" w:hAnsi="Cambria" w:eastAsia="Cambria" w:cs="Cambria"/>
      <w:i w:val="false"/>
      <w:color w:val="000000"/>
      <w:position w:val="0"/>
      <w:sz w:val="20"/>
      <w:sz w:val="20"/>
      <w:szCs w:val="20"/>
      <w:shd w:fill="auto" w:val="clear"/>
      <w:vertAlign w:val="baseline"/>
    </w:rPr>
  </w:style>
  <w:style w:type="character" w:styleId="WW8Num47z1" w:customStyle="1">
    <w:name w:val="WW8Num47z1"/>
    <w:qFormat/>
    <w:rsid w:val="00770df0"/>
    <w:rPr>
      <w:i w:val="false"/>
      <w:color w:val="000000"/>
      <w:position w:val="0"/>
      <w:sz w:val="20"/>
      <w:sz w:val="20"/>
      <w:szCs w:val="20"/>
      <w:shd w:fill="auto" w:val="clear"/>
      <w:vertAlign w:val="baseline"/>
    </w:rPr>
  </w:style>
  <w:style w:type="character" w:styleId="WW8Num47z2" w:customStyle="1">
    <w:name w:val="WW8Num47z2"/>
    <w:qFormat/>
    <w:rsid w:val="00770df0"/>
    <w:rPr>
      <w:rFonts w:ascii="Cambria" w:hAnsi="Cambria" w:eastAsia="Cambria" w:cs="Cambria"/>
      <w:i w:val="false"/>
      <w:color w:val="000000"/>
      <w:position w:val="0"/>
      <w:sz w:val="18"/>
      <w:sz w:val="18"/>
      <w:szCs w:val="18"/>
      <w:shd w:fill="auto" w:val="clear"/>
      <w:vertAlign w:val="baseline"/>
    </w:rPr>
  </w:style>
  <w:style w:type="character" w:styleId="WW8Num49z0" w:customStyle="1">
    <w:name w:val="WW8Num49z0"/>
    <w:qFormat/>
    <w:rsid w:val="00770df0"/>
    <w:rPr>
      <w:rFonts w:ascii="Symbol" w:hAnsi="Symbol" w:cs="Symbol"/>
    </w:rPr>
  </w:style>
  <w:style w:type="character" w:styleId="WW8Num50z1" w:customStyle="1">
    <w:name w:val="WW8Num50z1"/>
    <w:qFormat/>
    <w:rsid w:val="00770df0"/>
    <w:rPr/>
  </w:style>
  <w:style w:type="character" w:styleId="WW8Num54z0" w:customStyle="1">
    <w:name w:val="WW8Num54z0"/>
    <w:qFormat/>
    <w:rsid w:val="00770df0"/>
    <w:rPr>
      <w:rFonts w:ascii="Symbol" w:hAnsi="Symbol" w:cs="Symbol"/>
    </w:rPr>
  </w:style>
  <w:style w:type="character" w:styleId="WW8Num55z0" w:customStyle="1">
    <w:name w:val="WW8Num55z0"/>
    <w:qFormat/>
    <w:rsid w:val="00770df0"/>
    <w:rPr>
      <w:rFonts w:ascii="Cambria" w:hAnsi="Cambria" w:eastAsia="Cambria" w:cs="Cambria"/>
      <w:i w:val="false"/>
      <w:color w:val="000000"/>
      <w:position w:val="0"/>
      <w:sz w:val="22"/>
      <w:sz w:val="22"/>
      <w:szCs w:val="22"/>
      <w:shd w:fill="auto" w:val="clear"/>
      <w:vertAlign w:val="baseline"/>
    </w:rPr>
  </w:style>
  <w:style w:type="character" w:styleId="WW8Num57z1" w:customStyle="1">
    <w:name w:val="WW8Num57z1"/>
    <w:qFormat/>
    <w:rsid w:val="00770df0"/>
    <w:rPr/>
  </w:style>
  <w:style w:type="character" w:styleId="WW8Num58z0" w:customStyle="1">
    <w:name w:val="WW8Num58z0"/>
    <w:qFormat/>
    <w:rsid w:val="00770df0"/>
    <w:rPr/>
  </w:style>
  <w:style w:type="character" w:styleId="WW8Num63z0" w:customStyle="1">
    <w:name w:val="WW8Num63z0"/>
    <w:qFormat/>
    <w:rsid w:val="00770df0"/>
    <w:rPr>
      <w:b w:val="false"/>
    </w:rPr>
  </w:style>
  <w:style w:type="character" w:styleId="WW8Num64z0" w:customStyle="1">
    <w:name w:val="WW8Num64z0"/>
    <w:qFormat/>
    <w:rsid w:val="00770df0"/>
    <w:rPr>
      <w:rFonts w:ascii="Cambria" w:hAnsi="Cambria" w:eastAsia="Cambria" w:cs="Cambria"/>
      <w:i w:val="false"/>
      <w:color w:val="000000"/>
      <w:position w:val="0"/>
      <w:sz w:val="22"/>
      <w:sz w:val="22"/>
      <w:szCs w:val="22"/>
      <w:shd w:fill="auto" w:val="clear"/>
      <w:vertAlign w:val="baseline"/>
    </w:rPr>
  </w:style>
  <w:style w:type="character" w:styleId="WW8Num65z0" w:customStyle="1">
    <w:name w:val="WW8Num65z0"/>
    <w:qFormat/>
    <w:rsid w:val="00770df0"/>
    <w:rPr>
      <w:rFonts w:ascii="Cambria" w:hAnsi="Cambria" w:eastAsia="Cambria" w:cs="Cambria"/>
      <w:i w:val="false"/>
      <w:color w:val="000000"/>
      <w:position w:val="0"/>
      <w:sz w:val="22"/>
      <w:sz w:val="22"/>
      <w:szCs w:val="22"/>
      <w:shd w:fill="auto" w:val="clear"/>
      <w:vertAlign w:val="baseline"/>
    </w:rPr>
  </w:style>
  <w:style w:type="character" w:styleId="WW8Num66z0" w:customStyle="1">
    <w:name w:val="WW8Num66z0"/>
    <w:qFormat/>
    <w:rsid w:val="00770df0"/>
    <w:rPr>
      <w:rFonts w:ascii="Cambria" w:hAnsi="Cambria" w:eastAsia="Cambria" w:cs="Cambria"/>
      <w:i w:val="false"/>
      <w:color w:val="000000"/>
      <w:position w:val="0"/>
      <w:sz w:val="22"/>
      <w:sz w:val="22"/>
      <w:szCs w:val="22"/>
      <w:shd w:fill="auto" w:val="clear"/>
      <w:vertAlign w:val="baseline"/>
    </w:rPr>
  </w:style>
  <w:style w:type="character" w:styleId="WW8Num67z0" w:customStyle="1">
    <w:name w:val="WW8Num67z0"/>
    <w:qFormat/>
    <w:rsid w:val="00770df0"/>
    <w:rPr>
      <w:rFonts w:ascii="Symbol" w:hAnsi="Symbol" w:cs="Symbol"/>
    </w:rPr>
  </w:style>
  <w:style w:type="character" w:styleId="WW8Num67z1" w:customStyle="1">
    <w:name w:val="WW8Num67z1"/>
    <w:qFormat/>
    <w:rsid w:val="00770df0"/>
    <w:rPr>
      <w:rFonts w:ascii="Courier New" w:hAnsi="Courier New" w:cs="Courier New"/>
    </w:rPr>
  </w:style>
  <w:style w:type="character" w:styleId="WW8Num67z2" w:customStyle="1">
    <w:name w:val="WW8Num67z2"/>
    <w:qFormat/>
    <w:rsid w:val="00770df0"/>
    <w:rPr>
      <w:rFonts w:ascii="Wingdings" w:hAnsi="Wingdings" w:cs="Wingdings"/>
    </w:rPr>
  </w:style>
  <w:style w:type="character" w:styleId="WW8Num68z0" w:customStyle="1">
    <w:name w:val="WW8Num68z0"/>
    <w:qFormat/>
    <w:rsid w:val="00770df0"/>
    <w:rPr>
      <w:rFonts w:ascii="Symbol" w:hAnsi="Symbol" w:cs="Symbol"/>
    </w:rPr>
  </w:style>
  <w:style w:type="character" w:styleId="WW8Num68z1" w:customStyle="1">
    <w:name w:val="WW8Num68z1"/>
    <w:qFormat/>
    <w:rsid w:val="00770df0"/>
    <w:rPr>
      <w:rFonts w:ascii="Courier New" w:hAnsi="Courier New" w:cs="Courier New"/>
    </w:rPr>
  </w:style>
  <w:style w:type="character" w:styleId="WW8Num68z2" w:customStyle="1">
    <w:name w:val="WW8Num68z2"/>
    <w:qFormat/>
    <w:rsid w:val="00770df0"/>
    <w:rPr>
      <w:rFonts w:ascii="Wingdings" w:hAnsi="Wingdings" w:cs="Wingdings"/>
    </w:rPr>
  </w:style>
  <w:style w:type="character" w:styleId="WW8Num69z0" w:customStyle="1">
    <w:name w:val="WW8Num69z0"/>
    <w:qFormat/>
    <w:rsid w:val="00770df0"/>
    <w:rPr>
      <w:rFonts w:ascii="Symbol" w:hAnsi="Symbol" w:cs="Symbol"/>
    </w:rPr>
  </w:style>
  <w:style w:type="character" w:styleId="WW8Num69z1" w:customStyle="1">
    <w:name w:val="WW8Num69z1"/>
    <w:qFormat/>
    <w:rsid w:val="00770df0"/>
    <w:rPr>
      <w:rFonts w:ascii="Courier New" w:hAnsi="Courier New" w:cs="Courier New"/>
    </w:rPr>
  </w:style>
  <w:style w:type="character" w:styleId="WW8Num69z2" w:customStyle="1">
    <w:name w:val="WW8Num69z2"/>
    <w:qFormat/>
    <w:rsid w:val="00770df0"/>
    <w:rPr>
      <w:rFonts w:ascii="Wingdings" w:hAnsi="Wingdings" w:cs="Wingdings"/>
    </w:rPr>
  </w:style>
  <w:style w:type="character" w:styleId="WW8Num70z0" w:customStyle="1">
    <w:name w:val="WW8Num70z0"/>
    <w:qFormat/>
    <w:rsid w:val="00770df0"/>
    <w:rPr>
      <w:rFonts w:ascii="Symbol" w:hAnsi="Symbol" w:cs="Symbol"/>
    </w:rPr>
  </w:style>
  <w:style w:type="character" w:styleId="WW8Num70z1" w:customStyle="1">
    <w:name w:val="WW8Num70z1"/>
    <w:qFormat/>
    <w:rsid w:val="00770df0"/>
    <w:rPr/>
  </w:style>
  <w:style w:type="character" w:styleId="WW8Num71z0" w:customStyle="1">
    <w:name w:val="WW8Num71z0"/>
    <w:qFormat/>
    <w:rsid w:val="00770df0"/>
    <w:rPr>
      <w:rFonts w:ascii="Symbol" w:hAnsi="Symbol" w:cs="Symbol"/>
    </w:rPr>
  </w:style>
  <w:style w:type="character" w:styleId="WW8Num71z1" w:customStyle="1">
    <w:name w:val="WW8Num71z1"/>
    <w:qFormat/>
    <w:rsid w:val="00770df0"/>
    <w:rPr>
      <w:rFonts w:ascii="Courier New" w:hAnsi="Courier New" w:cs="Courier New"/>
    </w:rPr>
  </w:style>
  <w:style w:type="character" w:styleId="WW8Num71z2" w:customStyle="1">
    <w:name w:val="WW8Num71z2"/>
    <w:qFormat/>
    <w:rsid w:val="00770df0"/>
    <w:rPr>
      <w:rFonts w:ascii="Wingdings" w:hAnsi="Wingdings" w:cs="Wingdings"/>
    </w:rPr>
  </w:style>
  <w:style w:type="character" w:styleId="WW8Num74z0" w:customStyle="1">
    <w:name w:val="WW8Num74z0"/>
    <w:qFormat/>
    <w:rsid w:val="00770df0"/>
    <w:rPr>
      <w:rFonts w:ascii="Symbol" w:hAnsi="Symbol" w:cs="Symbol"/>
    </w:rPr>
  </w:style>
  <w:style w:type="character" w:styleId="WW8Num74z1" w:customStyle="1">
    <w:name w:val="WW8Num74z1"/>
    <w:qFormat/>
    <w:rsid w:val="00770df0"/>
    <w:rPr>
      <w:rFonts w:ascii="Courier New" w:hAnsi="Courier New" w:cs="Courier New"/>
    </w:rPr>
  </w:style>
  <w:style w:type="character" w:styleId="WW8Num74z2" w:customStyle="1">
    <w:name w:val="WW8Num74z2"/>
    <w:qFormat/>
    <w:rsid w:val="00770df0"/>
    <w:rPr>
      <w:rFonts w:ascii="Wingdings" w:hAnsi="Wingdings" w:cs="Wingdings"/>
    </w:rPr>
  </w:style>
  <w:style w:type="character" w:styleId="WW8Num75z0" w:customStyle="1">
    <w:name w:val="WW8Num75z0"/>
    <w:qFormat/>
    <w:rsid w:val="00770df0"/>
    <w:rPr>
      <w:rFonts w:ascii="Symbol" w:hAnsi="Symbol" w:cs="Symbol"/>
    </w:rPr>
  </w:style>
  <w:style w:type="character" w:styleId="WW8Num75z1" w:customStyle="1">
    <w:name w:val="WW8Num75z1"/>
    <w:qFormat/>
    <w:rsid w:val="00770df0"/>
    <w:rPr>
      <w:rFonts w:ascii="Courier New" w:hAnsi="Courier New" w:cs="Courier New"/>
    </w:rPr>
  </w:style>
  <w:style w:type="character" w:styleId="WW8Num75z2" w:customStyle="1">
    <w:name w:val="WW8Num75z2"/>
    <w:qFormat/>
    <w:rsid w:val="00770df0"/>
    <w:rPr>
      <w:rFonts w:ascii="Wingdings" w:hAnsi="Wingdings" w:cs="Wingdings"/>
    </w:rPr>
  </w:style>
  <w:style w:type="character" w:styleId="WW8Num77z0" w:customStyle="1">
    <w:name w:val="WW8Num77z0"/>
    <w:qFormat/>
    <w:rsid w:val="00770df0"/>
    <w:rPr>
      <w:rFonts w:ascii="Symbol" w:hAnsi="Symbol" w:cs="Symbol"/>
    </w:rPr>
  </w:style>
  <w:style w:type="character" w:styleId="WW8Num77z1" w:customStyle="1">
    <w:name w:val="WW8Num77z1"/>
    <w:qFormat/>
    <w:rsid w:val="00770df0"/>
    <w:rPr>
      <w:rFonts w:ascii="Courier New" w:hAnsi="Courier New" w:cs="Courier New"/>
    </w:rPr>
  </w:style>
  <w:style w:type="character" w:styleId="WW8Num77z2" w:customStyle="1">
    <w:name w:val="WW8Num77z2"/>
    <w:qFormat/>
    <w:rsid w:val="00770df0"/>
    <w:rPr>
      <w:rFonts w:ascii="Wingdings" w:hAnsi="Wingdings" w:cs="Wingdings"/>
    </w:rPr>
  </w:style>
  <w:style w:type="character" w:styleId="WW8Num78z0" w:customStyle="1">
    <w:name w:val="WW8Num78z0"/>
    <w:qFormat/>
    <w:rsid w:val="00770df0"/>
    <w:rPr>
      <w:rFonts w:ascii="Symbol" w:hAnsi="Symbol" w:cs="Symbol"/>
    </w:rPr>
  </w:style>
  <w:style w:type="character" w:styleId="WW8Num78z1" w:customStyle="1">
    <w:name w:val="WW8Num78z1"/>
    <w:qFormat/>
    <w:rsid w:val="00770df0"/>
    <w:rPr>
      <w:rFonts w:ascii="Courier New" w:hAnsi="Courier New" w:cs="Courier New"/>
    </w:rPr>
  </w:style>
  <w:style w:type="character" w:styleId="WW8Num78z2" w:customStyle="1">
    <w:name w:val="WW8Num78z2"/>
    <w:qFormat/>
    <w:rsid w:val="00770df0"/>
    <w:rPr>
      <w:rFonts w:ascii="Wingdings" w:hAnsi="Wingdings" w:cs="Wingdings"/>
    </w:rPr>
  </w:style>
  <w:style w:type="character" w:styleId="WW8Num23z0" w:customStyle="1">
    <w:name w:val="WW8Num23z0"/>
    <w:qFormat/>
    <w:rsid w:val="00770df0"/>
    <w:rPr>
      <w:rFonts w:ascii="Symbol" w:hAnsi="Symbol" w:cs="Symbol"/>
    </w:rPr>
  </w:style>
  <w:style w:type="character" w:styleId="WW8Num24z1" w:customStyle="1">
    <w:name w:val="WW8Num24z1"/>
    <w:qFormat/>
    <w:rsid w:val="00770df0"/>
    <w:rPr/>
  </w:style>
  <w:style w:type="character" w:styleId="WW8Num27z0" w:customStyle="1">
    <w:name w:val="WW8Num27z0"/>
    <w:qFormat/>
    <w:rsid w:val="00770df0"/>
    <w:rPr>
      <w:rFonts w:ascii="Cambria" w:hAnsi="Cambria" w:eastAsia="Cambria" w:cs="Cambria"/>
      <w:i w:val="false"/>
      <w:color w:val="000000"/>
      <w:position w:val="0"/>
      <w:sz w:val="20"/>
      <w:sz w:val="20"/>
      <w:szCs w:val="20"/>
      <w:shd w:fill="auto" w:val="clear"/>
      <w:vertAlign w:val="baseline"/>
    </w:rPr>
  </w:style>
  <w:style w:type="character" w:styleId="WW8Num27z2" w:customStyle="1">
    <w:name w:val="WW8Num27z2"/>
    <w:qFormat/>
    <w:rsid w:val="00770df0"/>
    <w:rPr>
      <w:rFonts w:ascii="Cambria" w:hAnsi="Cambria" w:eastAsia="Cambria" w:cs="Cambria"/>
      <w:i w:val="false"/>
      <w:color w:val="000000"/>
      <w:position w:val="0"/>
      <w:sz w:val="20"/>
      <w:sz w:val="20"/>
      <w:szCs w:val="20"/>
      <w:shd w:fill="auto" w:val="clear"/>
      <w:vertAlign w:val="baseline"/>
    </w:rPr>
  </w:style>
  <w:style w:type="character" w:styleId="WW8Num28z1" w:customStyle="1">
    <w:name w:val="WW8Num28z1"/>
    <w:qFormat/>
    <w:rsid w:val="00770df0"/>
    <w:rPr/>
  </w:style>
  <w:style w:type="character" w:styleId="WW8Num30z0" w:customStyle="1">
    <w:name w:val="WW8Num30z0"/>
    <w:qFormat/>
    <w:rsid w:val="00770df0"/>
    <w:rPr/>
  </w:style>
  <w:style w:type="character" w:styleId="WW8Num31z3" w:customStyle="1">
    <w:name w:val="WW8Num31z3"/>
    <w:qFormat/>
    <w:rsid w:val="00770df0"/>
    <w:rPr>
      <w:color w:val="000000"/>
    </w:rPr>
  </w:style>
  <w:style w:type="character" w:styleId="WW8Num32z0" w:customStyle="1">
    <w:name w:val="WW8Num32z0"/>
    <w:qFormat/>
    <w:rsid w:val="00770df0"/>
    <w:rPr>
      <w:rFonts w:ascii="Symbol" w:hAnsi="Symbol" w:cs="Symbol"/>
    </w:rPr>
  </w:style>
  <w:style w:type="character" w:styleId="WW8Num34z2" w:customStyle="1">
    <w:name w:val="WW8Num34z2"/>
    <w:qFormat/>
    <w:rsid w:val="00770df0"/>
    <w:rPr>
      <w:i w:val="false"/>
      <w:color w:val="000000"/>
      <w:position w:val="0"/>
      <w:sz w:val="18"/>
      <w:sz w:val="18"/>
      <w:szCs w:val="18"/>
      <w:shd w:fill="auto" w:val="clear"/>
      <w:vertAlign w:val="baseline"/>
    </w:rPr>
  </w:style>
  <w:style w:type="character" w:styleId="WW8Num34z3" w:customStyle="1">
    <w:name w:val="WW8Num34z3"/>
    <w:qFormat/>
    <w:rsid w:val="00770df0"/>
    <w:rPr>
      <w:rFonts w:ascii="Cambria" w:hAnsi="Cambria" w:eastAsia="Cambria" w:cs="Cambria"/>
      <w:i w:val="false"/>
      <w:color w:val="000000"/>
      <w:position w:val="0"/>
      <w:sz w:val="18"/>
      <w:sz w:val="18"/>
      <w:szCs w:val="18"/>
      <w:shd w:fill="auto" w:val="clear"/>
      <w:vertAlign w:val="baseline"/>
    </w:rPr>
  </w:style>
  <w:style w:type="character" w:styleId="WW8Num36z1" w:customStyle="1">
    <w:name w:val="WW8Num36z1"/>
    <w:qFormat/>
    <w:rsid w:val="00770df0"/>
    <w:rPr>
      <w:i w:val="false"/>
      <w:color w:val="000000"/>
      <w:position w:val="0"/>
      <w:sz w:val="20"/>
      <w:sz w:val="20"/>
      <w:szCs w:val="20"/>
      <w:shd w:fill="auto" w:val="clear"/>
      <w:vertAlign w:val="baseline"/>
    </w:rPr>
  </w:style>
  <w:style w:type="character" w:styleId="WW8Num36z2" w:customStyle="1">
    <w:name w:val="WW8Num36z2"/>
    <w:qFormat/>
    <w:rsid w:val="00770df0"/>
    <w:rPr>
      <w:rFonts w:ascii="Cambria" w:hAnsi="Cambria" w:eastAsia="Cambria" w:cs="Cambria"/>
      <w:i w:val="false"/>
      <w:color w:val="000000"/>
      <w:position w:val="0"/>
      <w:sz w:val="20"/>
      <w:sz w:val="20"/>
      <w:szCs w:val="20"/>
      <w:shd w:fill="auto" w:val="clear"/>
      <w:vertAlign w:val="baseline"/>
    </w:rPr>
  </w:style>
  <w:style w:type="character" w:styleId="WW8Num39z1" w:customStyle="1">
    <w:name w:val="WW8Num39z1"/>
    <w:qFormat/>
    <w:rsid w:val="00770df0"/>
    <w:rPr/>
  </w:style>
  <w:style w:type="character" w:styleId="WW8Num39z2" w:customStyle="1">
    <w:name w:val="WW8Num39z2"/>
    <w:qFormat/>
    <w:rsid w:val="00770df0"/>
    <w:rPr>
      <w:rFonts w:ascii="Wingdings" w:hAnsi="Wingdings" w:cs="Wingdings"/>
    </w:rPr>
  </w:style>
  <w:style w:type="character" w:styleId="WW8Num39z4" w:customStyle="1">
    <w:name w:val="WW8Num39z4"/>
    <w:qFormat/>
    <w:rsid w:val="00770df0"/>
    <w:rPr>
      <w:rFonts w:ascii="Courier New" w:hAnsi="Courier New" w:cs="Courier New"/>
    </w:rPr>
  </w:style>
  <w:style w:type="character" w:styleId="WW8Num42z0" w:customStyle="1">
    <w:name w:val="WW8Num42z0"/>
    <w:qFormat/>
    <w:rsid w:val="00770df0"/>
    <w:rPr>
      <w:rFonts w:ascii="Symbol" w:hAnsi="Symbol" w:cs="Symbol"/>
    </w:rPr>
  </w:style>
  <w:style w:type="character" w:styleId="WW8Num48z0" w:customStyle="1">
    <w:name w:val="WW8Num48z0"/>
    <w:qFormat/>
    <w:rsid w:val="00770df0"/>
    <w:rPr>
      <w:rFonts w:ascii="Cambria" w:hAnsi="Cambria" w:eastAsia="Cambria" w:cs="Cambria"/>
      <w:i w:val="false"/>
      <w:color w:val="000000"/>
      <w:position w:val="0"/>
      <w:sz w:val="20"/>
      <w:sz w:val="20"/>
      <w:szCs w:val="20"/>
      <w:shd w:fill="auto" w:val="clear"/>
      <w:vertAlign w:val="baseline"/>
    </w:rPr>
  </w:style>
  <w:style w:type="character" w:styleId="WW8Num48z1" w:customStyle="1">
    <w:name w:val="WW8Num48z1"/>
    <w:qFormat/>
    <w:rsid w:val="00770df0"/>
    <w:rPr>
      <w:i w:val="false"/>
      <w:color w:val="000000"/>
      <w:position w:val="0"/>
      <w:sz w:val="20"/>
      <w:sz w:val="20"/>
      <w:szCs w:val="20"/>
      <w:shd w:fill="auto" w:val="clear"/>
      <w:vertAlign w:val="baseline"/>
    </w:rPr>
  </w:style>
  <w:style w:type="character" w:styleId="WW8Num48z2" w:customStyle="1">
    <w:name w:val="WW8Num48z2"/>
    <w:qFormat/>
    <w:rsid w:val="00770df0"/>
    <w:rPr>
      <w:rFonts w:ascii="Cambria" w:hAnsi="Cambria" w:eastAsia="Cambria" w:cs="Cambria"/>
      <w:i w:val="false"/>
      <w:color w:val="000000"/>
      <w:position w:val="0"/>
      <w:sz w:val="18"/>
      <w:sz w:val="18"/>
      <w:szCs w:val="18"/>
      <w:shd w:fill="auto" w:val="clear"/>
      <w:vertAlign w:val="baseline"/>
    </w:rPr>
  </w:style>
  <w:style w:type="character" w:styleId="WW8Num50z0" w:customStyle="1">
    <w:name w:val="WW8Num50z0"/>
    <w:qFormat/>
    <w:rsid w:val="00770df0"/>
    <w:rPr>
      <w:rFonts w:ascii="Symbol" w:hAnsi="Symbol" w:cs="Symbol"/>
    </w:rPr>
  </w:style>
  <w:style w:type="character" w:styleId="WW8Num51z0" w:customStyle="1">
    <w:name w:val="WW8Num51z0"/>
    <w:qFormat/>
    <w:rsid w:val="00770df0"/>
    <w:rPr>
      <w:rFonts w:ascii="Cambria" w:hAnsi="Cambria" w:eastAsia="Cambria" w:cs="Cambria"/>
      <w:i w:val="false"/>
      <w:color w:val="000000"/>
      <w:position w:val="0"/>
      <w:sz w:val="20"/>
      <w:sz w:val="20"/>
      <w:szCs w:val="20"/>
      <w:shd w:fill="auto" w:val="clear"/>
      <w:vertAlign w:val="baseline"/>
    </w:rPr>
  </w:style>
  <w:style w:type="character" w:styleId="WW8Num52z1" w:customStyle="1">
    <w:name w:val="WW8Num52z1"/>
    <w:qFormat/>
    <w:rsid w:val="00770df0"/>
    <w:rPr/>
  </w:style>
  <w:style w:type="character" w:styleId="WW8Num1z0" w:customStyle="1">
    <w:name w:val="WW8Num1z0"/>
    <w:qFormat/>
    <w:rsid w:val="00770df0"/>
    <w:rPr>
      <w:rFonts w:cs="Times New Roman"/>
    </w:rPr>
  </w:style>
  <w:style w:type="character" w:styleId="WW8Num1z1" w:customStyle="1">
    <w:name w:val="WW8Num1z1"/>
    <w:qFormat/>
    <w:rsid w:val="00770df0"/>
    <w:rPr>
      <w:rFonts w:cs="Times New Roman"/>
      <w:i w:val="false"/>
      <w:iCs w:val="false"/>
    </w:rPr>
  </w:style>
  <w:style w:type="character" w:styleId="WW8Num3z1" w:customStyle="1">
    <w:name w:val="WW8Num3z1"/>
    <w:qFormat/>
    <w:rsid w:val="00770df0"/>
    <w:rPr>
      <w:rFonts w:ascii="Cambria" w:hAnsi="Cambria" w:eastAsia="Times New Roman" w:cs="Arial"/>
      <w:b w:val="false"/>
    </w:rPr>
  </w:style>
  <w:style w:type="character" w:styleId="WW8Num3z2" w:customStyle="1">
    <w:name w:val="WW8Num3z2"/>
    <w:qFormat/>
    <w:rsid w:val="00770df0"/>
    <w:rPr>
      <w:rFonts w:ascii="Cambria" w:hAnsi="Cambria" w:eastAsia="Times New Roman" w:cs="Arial"/>
    </w:rPr>
  </w:style>
  <w:style w:type="character" w:styleId="WW8Num4z0" w:customStyle="1">
    <w:name w:val="WW8Num4z0"/>
    <w:qFormat/>
    <w:rsid w:val="00770df0"/>
    <w:rPr>
      <w:rFonts w:ascii="Verdana" w:hAnsi="Verdana" w:cs="Verdana"/>
      <w:b w:val="false"/>
      <w:i w:val="false"/>
      <w:color w:val="000000"/>
      <w:sz w:val="16"/>
    </w:rPr>
  </w:style>
  <w:style w:type="character" w:styleId="WW8Num6z1" w:customStyle="1">
    <w:name w:val="WW8Num6z1"/>
    <w:qFormat/>
    <w:rsid w:val="00770df0"/>
    <w:rPr>
      <w:rFonts w:cs="Times New Roman"/>
      <w:i w:val="false"/>
      <w:iCs w:val="false"/>
    </w:rPr>
  </w:style>
  <w:style w:type="character" w:styleId="WW8Num7z0" w:customStyle="1">
    <w:name w:val="WW8Num7z0"/>
    <w:qFormat/>
    <w:rsid w:val="00770df0"/>
    <w:rPr>
      <w:rFonts w:cs="Times New Roman"/>
    </w:rPr>
  </w:style>
  <w:style w:type="character" w:styleId="WW8Num8z0" w:customStyle="1">
    <w:name w:val="WW8Num8z0"/>
    <w:qFormat/>
    <w:rsid w:val="00770df0"/>
    <w:rPr>
      <w:rFonts w:cs="Times New Roman"/>
      <w:i w:val="false"/>
      <w:iCs w:val="false"/>
    </w:rPr>
  </w:style>
  <w:style w:type="character" w:styleId="WW8Num8z1" w:customStyle="1">
    <w:name w:val="WW8Num8z1"/>
    <w:qFormat/>
    <w:rsid w:val="00770df0"/>
    <w:rPr>
      <w:rFonts w:cs="Times New Roman"/>
    </w:rPr>
  </w:style>
  <w:style w:type="character" w:styleId="WW8Num9z0" w:customStyle="1">
    <w:name w:val="WW8Num9z0"/>
    <w:qFormat/>
    <w:rsid w:val="00770df0"/>
    <w:rPr>
      <w:rFonts w:ascii="Verdana" w:hAnsi="Verdana" w:cs="Verdana"/>
      <w:b/>
    </w:rPr>
  </w:style>
  <w:style w:type="character" w:styleId="WW8Num11z0" w:customStyle="1">
    <w:name w:val="WW8Num11z0"/>
    <w:qFormat/>
    <w:rsid w:val="00770df0"/>
    <w:rPr/>
  </w:style>
  <w:style w:type="character" w:styleId="WW8Num12z0" w:customStyle="1">
    <w:name w:val="WW8Num12z0"/>
    <w:qFormat/>
    <w:rsid w:val="00770df0"/>
    <w:rPr>
      <w:rFonts w:ascii="Cambria" w:hAnsi="Cambria" w:eastAsia="Cambria" w:cs="Cambria"/>
      <w:i w:val="false"/>
      <w:color w:val="000000"/>
      <w:position w:val="0"/>
      <w:sz w:val="20"/>
      <w:sz w:val="20"/>
      <w:szCs w:val="20"/>
      <w:shd w:fill="auto" w:val="clear"/>
      <w:vertAlign w:val="baseline"/>
    </w:rPr>
  </w:style>
  <w:style w:type="character" w:styleId="WW8Num12z1" w:customStyle="1">
    <w:name w:val="WW8Num12z1"/>
    <w:qFormat/>
    <w:rsid w:val="00770df0"/>
    <w:rPr>
      <w:i w:val="false"/>
      <w:color w:val="000000"/>
      <w:position w:val="0"/>
      <w:sz w:val="20"/>
      <w:sz w:val="20"/>
      <w:szCs w:val="20"/>
      <w:shd w:fill="auto" w:val="clear"/>
      <w:vertAlign w:val="baseline"/>
    </w:rPr>
  </w:style>
  <w:style w:type="character" w:styleId="WW8Num13z1" w:customStyle="1">
    <w:name w:val="WW8Num13z1"/>
    <w:qFormat/>
    <w:rsid w:val="00770df0"/>
    <w:rPr>
      <w:rFonts w:ascii="Courier New" w:hAnsi="Courier New" w:cs="Courier New"/>
    </w:rPr>
  </w:style>
  <w:style w:type="character" w:styleId="WW8Num13z2" w:customStyle="1">
    <w:name w:val="WW8Num13z2"/>
    <w:qFormat/>
    <w:rsid w:val="00770df0"/>
    <w:rPr>
      <w:rFonts w:ascii="Wingdings" w:hAnsi="Wingdings" w:cs="Wingdings"/>
    </w:rPr>
  </w:style>
  <w:style w:type="character" w:styleId="WW8Num15z1" w:customStyle="1">
    <w:name w:val="WW8Num15z1"/>
    <w:qFormat/>
    <w:rsid w:val="00770df0"/>
    <w:rPr>
      <w:rFonts w:ascii="Courier New" w:hAnsi="Courier New" w:cs="Courier New"/>
    </w:rPr>
  </w:style>
  <w:style w:type="character" w:styleId="WW8Num15z2" w:customStyle="1">
    <w:name w:val="WW8Num15z2"/>
    <w:qFormat/>
    <w:rsid w:val="00770df0"/>
    <w:rPr>
      <w:rFonts w:ascii="Wingdings" w:hAnsi="Wingdings" w:cs="Wingdings"/>
    </w:rPr>
  </w:style>
  <w:style w:type="character" w:styleId="WW8Num16z0" w:customStyle="1">
    <w:name w:val="WW8Num16z0"/>
    <w:qFormat/>
    <w:rsid w:val="00770df0"/>
    <w:rPr>
      <w:rFonts w:ascii="Symbol" w:hAnsi="Symbol" w:cs="Symbol"/>
    </w:rPr>
  </w:style>
  <w:style w:type="character" w:styleId="WW8Num16z1" w:customStyle="1">
    <w:name w:val="WW8Num16z1"/>
    <w:qFormat/>
    <w:rsid w:val="00770df0"/>
    <w:rPr>
      <w:rFonts w:ascii="Courier New" w:hAnsi="Courier New" w:cs="Courier New"/>
    </w:rPr>
  </w:style>
  <w:style w:type="character" w:styleId="WW8Num16z2" w:customStyle="1">
    <w:name w:val="WW8Num16z2"/>
    <w:qFormat/>
    <w:rsid w:val="00770df0"/>
    <w:rPr>
      <w:rFonts w:ascii="Wingdings" w:hAnsi="Wingdings" w:cs="Wingdings"/>
    </w:rPr>
  </w:style>
  <w:style w:type="character" w:styleId="WW8Num18z1" w:customStyle="1">
    <w:name w:val="WW8Num18z1"/>
    <w:qFormat/>
    <w:rsid w:val="00770df0"/>
    <w:rPr/>
  </w:style>
  <w:style w:type="character" w:styleId="WW8Num19z1" w:customStyle="1">
    <w:name w:val="WW8Num19z1"/>
    <w:qFormat/>
    <w:rsid w:val="00770df0"/>
    <w:rPr/>
  </w:style>
  <w:style w:type="character" w:styleId="WW8Num20z1" w:customStyle="1">
    <w:name w:val="WW8Num20z1"/>
    <w:qFormat/>
    <w:rsid w:val="00770df0"/>
    <w:rPr>
      <w:rFonts w:ascii="Segoe UI Symbol" w:hAnsi="Segoe UI Symbol" w:eastAsia="Segoe UI Symbol" w:cs="Segoe UI Symbol"/>
      <w:i w:val="false"/>
      <w:color w:val="000000"/>
      <w:position w:val="0"/>
      <w:sz w:val="20"/>
      <w:sz w:val="20"/>
      <w:szCs w:val="20"/>
      <w:shd w:fill="auto" w:val="clear"/>
      <w:vertAlign w:val="baseline"/>
    </w:rPr>
  </w:style>
  <w:style w:type="character" w:styleId="WW8Num20z2" w:customStyle="1">
    <w:name w:val="WW8Num20z2"/>
    <w:qFormat/>
    <w:rsid w:val="00770df0"/>
    <w:rPr>
      <w:rFonts w:ascii="Symbol" w:hAnsi="Symbol" w:cs="Symbol"/>
      <w:i w:val="false"/>
      <w:color w:val="000000"/>
      <w:position w:val="0"/>
      <w:sz w:val="20"/>
      <w:sz w:val="20"/>
      <w:szCs w:val="20"/>
      <w:shd w:fill="auto" w:val="clear"/>
      <w:vertAlign w:val="baseline"/>
    </w:rPr>
  </w:style>
  <w:style w:type="character" w:styleId="WW8Num21z2" w:customStyle="1">
    <w:name w:val="WW8Num21z2"/>
    <w:qFormat/>
    <w:rsid w:val="00770df0"/>
    <w:rPr/>
  </w:style>
  <w:style w:type="character" w:styleId="WW8Num25z1" w:customStyle="1">
    <w:name w:val="WW8Num25z1"/>
    <w:qFormat/>
    <w:rsid w:val="00770df0"/>
    <w:rPr>
      <w:rFonts w:ascii="Courier New" w:hAnsi="Courier New" w:cs="Courier New"/>
    </w:rPr>
  </w:style>
  <w:style w:type="character" w:styleId="WW8Num25z2" w:customStyle="1">
    <w:name w:val="WW8Num25z2"/>
    <w:qFormat/>
    <w:rsid w:val="00770df0"/>
    <w:rPr>
      <w:rFonts w:ascii="Wingdings" w:hAnsi="Wingdings" w:cs="Wingdings"/>
    </w:rPr>
  </w:style>
  <w:style w:type="character" w:styleId="WW8Num31z1" w:customStyle="1">
    <w:name w:val="WW8Num31z1"/>
    <w:qFormat/>
    <w:rsid w:val="00770df0"/>
    <w:rPr/>
  </w:style>
  <w:style w:type="character" w:styleId="WW8Num34z1" w:customStyle="1">
    <w:name w:val="WW8Num34z1"/>
    <w:qFormat/>
    <w:rsid w:val="00770df0"/>
    <w:rPr>
      <w:rFonts w:ascii="Courier New" w:hAnsi="Courier New" w:cs="Courier New"/>
    </w:rPr>
  </w:style>
  <w:style w:type="character" w:styleId="WW8Num37z1" w:customStyle="1">
    <w:name w:val="WW8Num37z1"/>
    <w:qFormat/>
    <w:rsid w:val="00770df0"/>
    <w:rPr>
      <w:rFonts w:ascii="Courier New" w:hAnsi="Courier New" w:cs="Courier New"/>
    </w:rPr>
  </w:style>
  <w:style w:type="character" w:styleId="WW8Num37z2" w:customStyle="1">
    <w:name w:val="WW8Num37z2"/>
    <w:qFormat/>
    <w:rsid w:val="00770df0"/>
    <w:rPr>
      <w:rFonts w:ascii="Wingdings" w:hAnsi="Wingdings" w:cs="Wingdings"/>
    </w:rPr>
  </w:style>
  <w:style w:type="character" w:styleId="WW8Num41z1" w:customStyle="1">
    <w:name w:val="WW8Num41z1"/>
    <w:qFormat/>
    <w:rsid w:val="00770df0"/>
    <w:rPr/>
  </w:style>
  <w:style w:type="character" w:styleId="WW8Num43z1" w:customStyle="1">
    <w:name w:val="WW8Num43z1"/>
    <w:qFormat/>
    <w:rsid w:val="00770df0"/>
    <w:rPr>
      <w:rFonts w:ascii="Courier New" w:hAnsi="Courier New" w:cs="Courier New"/>
    </w:rPr>
  </w:style>
  <w:style w:type="character" w:styleId="WW8Num43z2" w:customStyle="1">
    <w:name w:val="WW8Num43z2"/>
    <w:qFormat/>
    <w:rsid w:val="00770df0"/>
    <w:rPr>
      <w:rFonts w:ascii="Wingdings" w:hAnsi="Wingdings" w:cs="Wingdings"/>
    </w:rPr>
  </w:style>
  <w:style w:type="character" w:styleId="WW8Num43z3" w:customStyle="1">
    <w:name w:val="WW8Num43z3"/>
    <w:qFormat/>
    <w:rsid w:val="00770df0"/>
    <w:rPr>
      <w:rFonts w:ascii="Symbol" w:hAnsi="Symbol" w:cs="Symbol"/>
    </w:rPr>
  </w:style>
  <w:style w:type="character" w:styleId="WW8Num44z3" w:customStyle="1">
    <w:name w:val="WW8Num44z3"/>
    <w:qFormat/>
    <w:rsid w:val="00770df0"/>
    <w:rPr>
      <w:color w:val="000000"/>
    </w:rPr>
  </w:style>
  <w:style w:type="character" w:styleId="WW8Num45z1" w:customStyle="1">
    <w:name w:val="WW8Num45z1"/>
    <w:qFormat/>
    <w:rsid w:val="00770df0"/>
    <w:rPr>
      <w:rFonts w:ascii="Courier New" w:hAnsi="Courier New" w:cs="Courier New"/>
    </w:rPr>
  </w:style>
  <w:style w:type="character" w:styleId="WW8Num45z2" w:customStyle="1">
    <w:name w:val="WW8Num45z2"/>
    <w:qFormat/>
    <w:rsid w:val="00770df0"/>
    <w:rPr>
      <w:rFonts w:ascii="Wingdings" w:hAnsi="Wingdings" w:cs="Wingdings"/>
    </w:rPr>
  </w:style>
  <w:style w:type="character" w:styleId="WW8Num47z3" w:customStyle="1">
    <w:name w:val="WW8Num47z3"/>
    <w:qFormat/>
    <w:rsid w:val="00770df0"/>
    <w:rPr>
      <w:rFonts w:ascii="Cambria" w:hAnsi="Cambria" w:eastAsia="Cambria" w:cs="Cambria"/>
      <w:i w:val="false"/>
      <w:color w:val="000000"/>
      <w:position w:val="0"/>
      <w:sz w:val="18"/>
      <w:sz w:val="18"/>
      <w:szCs w:val="18"/>
      <w:shd w:fill="auto" w:val="clear"/>
      <w:vertAlign w:val="baseline"/>
    </w:rPr>
  </w:style>
  <w:style w:type="character" w:styleId="WW8Num49z1" w:customStyle="1">
    <w:name w:val="WW8Num49z1"/>
    <w:qFormat/>
    <w:rsid w:val="00770df0"/>
    <w:rPr>
      <w:rFonts w:ascii="Courier New" w:hAnsi="Courier New" w:cs="Courier New"/>
    </w:rPr>
  </w:style>
  <w:style w:type="character" w:styleId="WW8Num49z2" w:customStyle="1">
    <w:name w:val="WW8Num49z2"/>
    <w:qFormat/>
    <w:rsid w:val="00770df0"/>
    <w:rPr>
      <w:rFonts w:ascii="Wingdings" w:hAnsi="Wingdings" w:cs="Wingdings"/>
    </w:rPr>
  </w:style>
  <w:style w:type="character" w:styleId="WW8Num49z3" w:customStyle="1">
    <w:name w:val="WW8Num49z3"/>
    <w:qFormat/>
    <w:rsid w:val="00770df0"/>
    <w:rPr>
      <w:rFonts w:ascii="Symbol" w:hAnsi="Symbol" w:cs="Symbol"/>
    </w:rPr>
  </w:style>
  <w:style w:type="character" w:styleId="WW8Num51z1" w:customStyle="1">
    <w:name w:val="WW8Num51z1"/>
    <w:qFormat/>
    <w:rsid w:val="00770df0"/>
    <w:rPr>
      <w:i w:val="false"/>
      <w:color w:val="000000"/>
      <w:position w:val="0"/>
      <w:sz w:val="20"/>
      <w:sz w:val="20"/>
      <w:szCs w:val="20"/>
      <w:shd w:fill="auto" w:val="clear"/>
      <w:vertAlign w:val="baseline"/>
    </w:rPr>
  </w:style>
  <w:style w:type="character" w:styleId="WW8Num51z2" w:customStyle="1">
    <w:name w:val="WW8Num51z2"/>
    <w:qFormat/>
    <w:rsid w:val="00770df0"/>
    <w:rPr>
      <w:rFonts w:ascii="Cambria" w:hAnsi="Cambria" w:eastAsia="Cambria" w:cs="Cambria"/>
      <w:i w:val="false"/>
      <w:color w:val="000000"/>
      <w:position w:val="0"/>
      <w:sz w:val="20"/>
      <w:sz w:val="20"/>
      <w:szCs w:val="20"/>
      <w:shd w:fill="auto" w:val="clear"/>
      <w:vertAlign w:val="baseline"/>
    </w:rPr>
  </w:style>
  <w:style w:type="character" w:styleId="WW8Num52z0" w:customStyle="1">
    <w:name w:val="WW8Num52z0"/>
    <w:qFormat/>
    <w:rsid w:val="00770df0"/>
    <w:rPr>
      <w:rFonts w:ascii="Symbol" w:hAnsi="Symbol" w:cs="Symbol"/>
    </w:rPr>
  </w:style>
  <w:style w:type="character" w:styleId="WW8Num52z2" w:customStyle="1">
    <w:name w:val="WW8Num52z2"/>
    <w:qFormat/>
    <w:rsid w:val="00770df0"/>
    <w:rPr>
      <w:rFonts w:ascii="Wingdings" w:hAnsi="Wingdings" w:cs="Wingdings"/>
    </w:rPr>
  </w:style>
  <w:style w:type="character" w:styleId="WW8Num53z0" w:customStyle="1">
    <w:name w:val="WW8Num53z0"/>
    <w:qFormat/>
    <w:rsid w:val="00770df0"/>
    <w:rPr>
      <w:rFonts w:ascii="Symbol" w:hAnsi="Symbol" w:cs="Symbol"/>
    </w:rPr>
  </w:style>
  <w:style w:type="character" w:styleId="WW8Num54z1" w:customStyle="1">
    <w:name w:val="WW8Num54z1"/>
    <w:qFormat/>
    <w:rsid w:val="00770df0"/>
    <w:rPr/>
  </w:style>
  <w:style w:type="character" w:styleId="WW8Num54z2" w:customStyle="1">
    <w:name w:val="WW8Num54z2"/>
    <w:qFormat/>
    <w:rsid w:val="00770df0"/>
    <w:rPr>
      <w:rFonts w:ascii="Wingdings" w:hAnsi="Wingdings" w:cs="Wingdings"/>
    </w:rPr>
  </w:style>
  <w:style w:type="character" w:styleId="WW8Num54z4" w:customStyle="1">
    <w:name w:val="WW8Num54z4"/>
    <w:qFormat/>
    <w:rsid w:val="00770df0"/>
    <w:rPr>
      <w:rFonts w:ascii="Courier New" w:hAnsi="Courier New" w:cs="Courier New"/>
    </w:rPr>
  </w:style>
  <w:style w:type="character" w:styleId="WW8Num56z0" w:customStyle="1">
    <w:name w:val="WW8Num56z0"/>
    <w:qFormat/>
    <w:rsid w:val="00770df0"/>
    <w:rPr>
      <w:rFonts w:ascii="Symbol" w:hAnsi="Symbol" w:cs="Symbol"/>
    </w:rPr>
  </w:style>
  <w:style w:type="character" w:styleId="WW8Num56z1" w:customStyle="1">
    <w:name w:val="WW8Num56z1"/>
    <w:qFormat/>
    <w:rsid w:val="00770df0"/>
    <w:rPr>
      <w:rFonts w:ascii="Courier New" w:hAnsi="Courier New" w:cs="Courier New"/>
    </w:rPr>
  </w:style>
  <w:style w:type="character" w:styleId="WW8Num56z2" w:customStyle="1">
    <w:name w:val="WW8Num56z2"/>
    <w:qFormat/>
    <w:rsid w:val="00770df0"/>
    <w:rPr>
      <w:rFonts w:ascii="Wingdings" w:hAnsi="Wingdings" w:cs="Wingdings"/>
    </w:rPr>
  </w:style>
  <w:style w:type="character" w:styleId="WW8Num57z0" w:customStyle="1">
    <w:name w:val="WW8Num57z0"/>
    <w:qFormat/>
    <w:rsid w:val="00770df0"/>
    <w:rPr>
      <w:rFonts w:ascii="Symbol" w:hAnsi="Symbol" w:cs="Symbol"/>
    </w:rPr>
  </w:style>
  <w:style w:type="character" w:styleId="WW8Num57z2" w:customStyle="1">
    <w:name w:val="WW8Num57z2"/>
    <w:qFormat/>
    <w:rsid w:val="00770df0"/>
    <w:rPr>
      <w:rFonts w:ascii="Wingdings" w:hAnsi="Wingdings" w:cs="Wingdings"/>
    </w:rPr>
  </w:style>
  <w:style w:type="character" w:styleId="WW8Num59z0" w:customStyle="1">
    <w:name w:val="WW8Num59z0"/>
    <w:qFormat/>
    <w:rsid w:val="00770df0"/>
    <w:rPr>
      <w:rFonts w:ascii="Symbol" w:hAnsi="Symbol" w:cs="Symbol"/>
    </w:rPr>
  </w:style>
  <w:style w:type="character" w:styleId="WW8Num59z1" w:customStyle="1">
    <w:name w:val="WW8Num59z1"/>
    <w:qFormat/>
    <w:rsid w:val="00770df0"/>
    <w:rPr>
      <w:rFonts w:ascii="Courier New" w:hAnsi="Courier New" w:cs="Courier New"/>
    </w:rPr>
  </w:style>
  <w:style w:type="character" w:styleId="WW8Num59z2" w:customStyle="1">
    <w:name w:val="WW8Num59z2"/>
    <w:qFormat/>
    <w:rsid w:val="00770df0"/>
    <w:rPr>
      <w:rFonts w:ascii="Wingdings" w:hAnsi="Wingdings" w:cs="Wingdings"/>
    </w:rPr>
  </w:style>
  <w:style w:type="character" w:styleId="WW8Num60z0" w:customStyle="1">
    <w:name w:val="WW8Num60z0"/>
    <w:qFormat/>
    <w:rsid w:val="00770df0"/>
    <w:rPr>
      <w:rFonts w:ascii="Cambria" w:hAnsi="Cambria" w:eastAsia="Cambria" w:cs="Cambria"/>
      <w:i w:val="false"/>
      <w:color w:val="000000"/>
      <w:position w:val="0"/>
      <w:sz w:val="20"/>
      <w:sz w:val="20"/>
      <w:szCs w:val="20"/>
      <w:shd w:fill="auto" w:val="clear"/>
      <w:vertAlign w:val="baseline"/>
    </w:rPr>
  </w:style>
  <w:style w:type="character" w:styleId="WW8Num61z0" w:customStyle="1">
    <w:name w:val="WW8Num61z0"/>
    <w:qFormat/>
    <w:rsid w:val="00770df0"/>
    <w:rPr>
      <w:color w:val="000000"/>
      <w:sz w:val="18"/>
      <w:szCs w:val="18"/>
      <w:lang w:val="pl-PL"/>
    </w:rPr>
  </w:style>
  <w:style w:type="character" w:styleId="WW8Num61z1" w:customStyle="1">
    <w:name w:val="WW8Num61z1"/>
    <w:qFormat/>
    <w:rsid w:val="00770df0"/>
    <w:rPr>
      <w:rFonts w:ascii="Courier New" w:hAnsi="Courier New" w:cs="Courier New"/>
    </w:rPr>
  </w:style>
  <w:style w:type="character" w:styleId="WW8Num61z2" w:customStyle="1">
    <w:name w:val="WW8Num61z2"/>
    <w:qFormat/>
    <w:rsid w:val="00770df0"/>
    <w:rPr>
      <w:rFonts w:ascii="Wingdings" w:hAnsi="Wingdings" w:cs="Wingdings"/>
    </w:rPr>
  </w:style>
  <w:style w:type="character" w:styleId="WW8Num61z3" w:customStyle="1">
    <w:name w:val="WW8Num61z3"/>
    <w:qFormat/>
    <w:rsid w:val="00770df0"/>
    <w:rPr>
      <w:rFonts w:ascii="Symbol" w:hAnsi="Symbol" w:cs="Symbol"/>
    </w:rPr>
  </w:style>
  <w:style w:type="character" w:styleId="WW8Num62z0" w:customStyle="1">
    <w:name w:val="WW8Num62z0"/>
    <w:qFormat/>
    <w:rsid w:val="00770df0"/>
    <w:rPr>
      <w:rFonts w:ascii="Cambria" w:hAnsi="Cambria" w:eastAsia="Cambria" w:cs="Cambria"/>
      <w:i w:val="false"/>
      <w:color w:val="000000"/>
      <w:position w:val="0"/>
      <w:sz w:val="20"/>
      <w:sz w:val="20"/>
      <w:szCs w:val="20"/>
      <w:shd w:fill="auto" w:val="clear"/>
      <w:vertAlign w:val="baseline"/>
    </w:rPr>
  </w:style>
  <w:style w:type="character" w:styleId="WW8Num63z1" w:customStyle="1">
    <w:name w:val="WW8Num63z1"/>
    <w:qFormat/>
    <w:rsid w:val="00770df0"/>
    <w:rPr>
      <w:rFonts w:ascii="Courier New" w:hAnsi="Courier New" w:cs="Courier New"/>
    </w:rPr>
  </w:style>
  <w:style w:type="character" w:styleId="WW8Num63z2" w:customStyle="1">
    <w:name w:val="WW8Num63z2"/>
    <w:qFormat/>
    <w:rsid w:val="00770df0"/>
    <w:rPr>
      <w:rFonts w:ascii="Wingdings" w:hAnsi="Wingdings" w:cs="Wingdings"/>
    </w:rPr>
  </w:style>
  <w:style w:type="character" w:styleId="WW8Num64z1" w:customStyle="1">
    <w:name w:val="WW8Num64z1"/>
    <w:qFormat/>
    <w:rsid w:val="00770df0"/>
    <w:rPr>
      <w:i w:val="false"/>
      <w:color w:val="000000"/>
      <w:position w:val="0"/>
      <w:sz w:val="20"/>
      <w:sz w:val="20"/>
      <w:szCs w:val="20"/>
      <w:shd w:fill="auto" w:val="clear"/>
      <w:vertAlign w:val="baseline"/>
    </w:rPr>
  </w:style>
  <w:style w:type="character" w:styleId="WW8Num64z2" w:customStyle="1">
    <w:name w:val="WW8Num64z2"/>
    <w:qFormat/>
    <w:rsid w:val="00770df0"/>
    <w:rPr>
      <w:rFonts w:ascii="Cambria" w:hAnsi="Cambria" w:eastAsia="Cambria" w:cs="Cambria"/>
      <w:i w:val="false"/>
      <w:color w:val="000000"/>
      <w:position w:val="0"/>
      <w:sz w:val="18"/>
      <w:sz w:val="18"/>
      <w:szCs w:val="18"/>
      <w:shd w:fill="auto" w:val="clear"/>
      <w:vertAlign w:val="baseline"/>
    </w:rPr>
  </w:style>
  <w:style w:type="character" w:styleId="WW8NumSt2z0" w:customStyle="1">
    <w:name w:val="WW8NumSt2z0"/>
    <w:qFormat/>
    <w:rsid w:val="00770df0"/>
    <w:rPr>
      <w:color w:val="000000"/>
      <w:sz w:val="20"/>
      <w:szCs w:val="18"/>
      <w:lang w:val="pl-PL"/>
    </w:rPr>
  </w:style>
  <w:style w:type="character" w:styleId="WW8NumSt3z0" w:customStyle="1">
    <w:name w:val="WW8NumSt3z0"/>
    <w:qFormat/>
    <w:rsid w:val="00770df0"/>
    <w:rPr>
      <w:rFonts w:ascii="Cambria Math" w:hAnsi="Cambria Math" w:eastAsia="Times New Roman" w:cs="Arial"/>
      <w:b w:val="false"/>
      <w:i w:val="false"/>
      <w:color w:val="000000"/>
      <w:sz w:val="20"/>
      <w:szCs w:val="20"/>
    </w:rPr>
  </w:style>
  <w:style w:type="character" w:styleId="Domylnaczcionkaakapitu1" w:customStyle="1">
    <w:name w:val="Domyślna czcionka akapitu1"/>
    <w:qFormat/>
    <w:rsid w:val="00770df0"/>
    <w:rPr/>
  </w:style>
  <w:style w:type="character" w:styleId="Pagenumber">
    <w:name w:val="page number"/>
    <w:basedOn w:val="Domylnaczcionkaakapitu1"/>
    <w:qFormat/>
    <w:rsid w:val="00770df0"/>
    <w:rPr/>
  </w:style>
  <w:style w:type="character" w:styleId="Czeinternetowe">
    <w:name w:val="Łącze internetowe"/>
    <w:rsid w:val="000144a2"/>
    <w:rPr>
      <w:color w:val="0000FF"/>
      <w:u w:val="single"/>
    </w:rPr>
  </w:style>
  <w:style w:type="character" w:styleId="StopkaZnak" w:customStyle="1">
    <w:name w:val="Stopka Znak"/>
    <w:qFormat/>
    <w:rsid w:val="00770df0"/>
    <w:rPr>
      <w:sz w:val="24"/>
      <w:szCs w:val="24"/>
    </w:rPr>
  </w:style>
  <w:style w:type="character" w:styleId="Nagwek1Znak" w:customStyle="1">
    <w:name w:val="Nagłówek 1 Znak"/>
    <w:qFormat/>
    <w:rsid w:val="00770df0"/>
    <w:rPr>
      <w:rFonts w:ascii="Cambria" w:hAnsi="Cambria" w:cs="Cambria"/>
      <w:b/>
      <w:bCs/>
      <w:color w:val="365F91"/>
      <w:sz w:val="28"/>
      <w:szCs w:val="28"/>
    </w:rPr>
  </w:style>
  <w:style w:type="character" w:styleId="Nagwek4Znak" w:customStyle="1">
    <w:name w:val="Nagłówek 4 Znak"/>
    <w:qFormat/>
    <w:rsid w:val="00770df0"/>
    <w:rPr>
      <w:rFonts w:ascii="Times New (W1)" w:hAnsi="Times New (W1)" w:cs="Times New (W1)"/>
      <w:b/>
      <w:bCs/>
      <w:sz w:val="28"/>
      <w:szCs w:val="28"/>
    </w:rPr>
  </w:style>
  <w:style w:type="character" w:styleId="Nagwek6Znak" w:customStyle="1">
    <w:name w:val="Nagłówek 6 Znak"/>
    <w:qFormat/>
    <w:rsid w:val="00770df0"/>
    <w:rPr>
      <w:rFonts w:ascii="Calibri" w:hAnsi="Calibri" w:cs="Calibri"/>
      <w:b/>
      <w:bCs/>
      <w:sz w:val="22"/>
      <w:szCs w:val="22"/>
    </w:rPr>
  </w:style>
  <w:style w:type="character" w:styleId="Nagwek7Znak" w:customStyle="1">
    <w:name w:val="Nagłówek 7 Znak"/>
    <w:qFormat/>
    <w:rsid w:val="00770df0"/>
    <w:rPr>
      <w:rFonts w:ascii="Calibri" w:hAnsi="Calibri" w:cs="Calibri"/>
      <w:sz w:val="24"/>
      <w:szCs w:val="24"/>
    </w:rPr>
  </w:style>
  <w:style w:type="character" w:styleId="NagwekZnak1" w:customStyle="1">
    <w:name w:val="Nagłówek Znak1"/>
    <w:qFormat/>
    <w:rsid w:val="00770df0"/>
    <w:rPr>
      <w:sz w:val="24"/>
      <w:szCs w:val="24"/>
    </w:rPr>
  </w:style>
  <w:style w:type="character" w:styleId="TytuZnak" w:customStyle="1">
    <w:name w:val="Tytuł Znak"/>
    <w:qFormat/>
    <w:rsid w:val="00770df0"/>
    <w:rPr>
      <w:rFonts w:ascii="Garamond" w:hAnsi="Garamond" w:cs="Garamond"/>
      <w:b/>
      <w:bCs/>
      <w:sz w:val="24"/>
      <w:szCs w:val="24"/>
    </w:rPr>
  </w:style>
  <w:style w:type="character" w:styleId="TekstpodstawowyZnak" w:customStyle="1">
    <w:name w:val="Tekst podstawowy Znak"/>
    <w:qFormat/>
    <w:rsid w:val="00770df0"/>
    <w:rPr>
      <w:rFonts w:ascii="Verdana" w:hAnsi="Verdana" w:eastAsia="Batang" w:cs="Verdana"/>
      <w:smallCaps/>
      <w:sz w:val="32"/>
      <w:szCs w:val="32"/>
    </w:rPr>
  </w:style>
  <w:style w:type="character" w:styleId="Tekstpodstawowy3Znak" w:customStyle="1">
    <w:name w:val="Tekst podstawowy 3 Znak"/>
    <w:qFormat/>
    <w:rsid w:val="00770df0"/>
    <w:rPr>
      <w:rFonts w:ascii="Times New (W1)" w:hAnsi="Times New (W1)" w:cs="Times New (W1)"/>
      <w:sz w:val="16"/>
      <w:szCs w:val="16"/>
    </w:rPr>
  </w:style>
  <w:style w:type="character" w:styleId="FontStyle46" w:customStyle="1">
    <w:name w:val="Font Style46"/>
    <w:qFormat/>
    <w:rsid w:val="00770df0"/>
    <w:rPr>
      <w:rFonts w:ascii="Times New Roman" w:hAnsi="Times New Roman" w:cs="Times New Roman"/>
      <w:sz w:val="22"/>
      <w:szCs w:val="22"/>
    </w:rPr>
  </w:style>
  <w:style w:type="character" w:styleId="Odwoaniedokomentarza1" w:customStyle="1">
    <w:name w:val="Odwołanie do komentarza1"/>
    <w:qFormat/>
    <w:rsid w:val="00770df0"/>
    <w:rPr>
      <w:sz w:val="16"/>
      <w:szCs w:val="16"/>
    </w:rPr>
  </w:style>
  <w:style w:type="character" w:styleId="TekstkomentarzaZnak" w:customStyle="1">
    <w:name w:val="Tekst komentarza Znak"/>
    <w:basedOn w:val="Domylnaczcionkaakapitu1"/>
    <w:qFormat/>
    <w:rsid w:val="00770df0"/>
    <w:rPr/>
  </w:style>
  <w:style w:type="character" w:styleId="TematkomentarzaZnak" w:customStyle="1">
    <w:name w:val="Temat komentarza Znak"/>
    <w:qFormat/>
    <w:rsid w:val="00770df0"/>
    <w:rPr>
      <w:b/>
      <w:bCs/>
    </w:rPr>
  </w:style>
  <w:style w:type="character" w:styleId="Nagwek3Znak" w:customStyle="1">
    <w:name w:val="Nagłówek 3 Znak"/>
    <w:qFormat/>
    <w:rsid w:val="00770df0"/>
    <w:rPr>
      <w:rFonts w:ascii="Cambria" w:hAnsi="Cambria" w:eastAsia="Times New Roman" w:cs="Times New Roman"/>
      <w:b/>
      <w:bCs/>
      <w:sz w:val="26"/>
      <w:szCs w:val="26"/>
    </w:rPr>
  </w:style>
  <w:style w:type="character" w:styleId="Tekstpodstawowy2Znak" w:customStyle="1">
    <w:name w:val="Tekst podstawowy 2 Znak"/>
    <w:qFormat/>
    <w:rsid w:val="00770df0"/>
    <w:rPr>
      <w:sz w:val="24"/>
      <w:szCs w:val="24"/>
    </w:rPr>
  </w:style>
  <w:style w:type="character" w:styleId="Tekstpodstawowywcity3Znak" w:customStyle="1">
    <w:name w:val="Tekst podstawowy wcięty 3 Znak"/>
    <w:qFormat/>
    <w:rsid w:val="00770df0"/>
    <w:rPr>
      <w:sz w:val="16"/>
      <w:szCs w:val="16"/>
    </w:rPr>
  </w:style>
  <w:style w:type="character" w:styleId="Nagwek2Znak" w:customStyle="1">
    <w:name w:val="Nagłówek 2 Znak"/>
    <w:qFormat/>
    <w:rsid w:val="00770df0"/>
    <w:rPr>
      <w:rFonts w:ascii="Calibri" w:hAnsi="Calibri" w:eastAsia="Calibri" w:cs="Calibri"/>
      <w:b/>
      <w:sz w:val="24"/>
    </w:rPr>
  </w:style>
  <w:style w:type="character" w:styleId="Nagwek5Znak" w:customStyle="1">
    <w:name w:val="Nagłówek 5 Znak"/>
    <w:qFormat/>
    <w:rsid w:val="00770df0"/>
    <w:rPr>
      <w:sz w:val="24"/>
      <w:u w:val="single"/>
    </w:rPr>
  </w:style>
  <w:style w:type="character" w:styleId="Nagwek8Znak" w:customStyle="1">
    <w:name w:val="Nagłówek 8 Znak"/>
    <w:qFormat/>
    <w:rsid w:val="00770df0"/>
    <w:rPr>
      <w:rFonts w:ascii="Verdana" w:hAnsi="Verdana" w:cs="Verdana"/>
      <w:b/>
      <w:i/>
    </w:rPr>
  </w:style>
  <w:style w:type="character" w:styleId="Nagwek9Znak" w:customStyle="1">
    <w:name w:val="Nagłówek 9 Znak"/>
    <w:qFormat/>
    <w:rsid w:val="00770df0"/>
    <w:rPr>
      <w:sz w:val="32"/>
    </w:rPr>
  </w:style>
  <w:style w:type="character" w:styleId="TekstdymkaZnak" w:customStyle="1">
    <w:name w:val="Tekst dymka Znak"/>
    <w:qFormat/>
    <w:rsid w:val="00770df0"/>
    <w:rPr>
      <w:rFonts w:ascii="Tahoma" w:hAnsi="Tahoma" w:cs="Tahoma"/>
      <w:sz w:val="16"/>
      <w:szCs w:val="16"/>
    </w:rPr>
  </w:style>
  <w:style w:type="character" w:styleId="TekstpodstawowywcityZnak" w:customStyle="1">
    <w:name w:val="Tekst podstawowy wcięty Znak"/>
    <w:qFormat/>
    <w:rsid w:val="00770df0"/>
    <w:rPr>
      <w:sz w:val="28"/>
    </w:rPr>
  </w:style>
  <w:style w:type="character" w:styleId="Tekstpodstawowywcity2Znak" w:customStyle="1">
    <w:name w:val="Tekst podstawowy wcięty 2 Znak"/>
    <w:qFormat/>
    <w:rsid w:val="00770df0"/>
    <w:rPr>
      <w:sz w:val="24"/>
    </w:rPr>
  </w:style>
  <w:style w:type="character" w:styleId="PodtytuZnak" w:customStyle="1">
    <w:name w:val="Podtytuł Znak"/>
    <w:qFormat/>
    <w:rsid w:val="00770df0"/>
    <w:rPr>
      <w:b/>
      <w:sz w:val="26"/>
    </w:rPr>
  </w:style>
  <w:style w:type="character" w:styleId="FollowedHyperlink">
    <w:name w:val="FollowedHyperlink"/>
    <w:qFormat/>
    <w:rsid w:val="00770df0"/>
    <w:rPr>
      <w:color w:val="800080"/>
      <w:u w:val="single"/>
    </w:rPr>
  </w:style>
  <w:style w:type="character" w:styleId="Nagwek2ZnakZnakZnakZnakZnakZnakZnakZnakZnakZnakZnakZnakZnakZnakZnakZnakZnakZnakZnakZnakZnakZnakZnak" w:customStyle="1">
    <w:name w:val="Nagłówek 2 Znak Znak Znak Znak Znak Znak Znak Znak Znak Znak Znak Znak Znak Znak Znak Znak Znak Znak Znak Znak Znak Znak Znak"/>
    <w:qFormat/>
    <w:rsid w:val="00770df0"/>
    <w:rPr>
      <w:rFonts w:ascii="Arial" w:hAnsi="Arial" w:cs="Arial"/>
      <w:b/>
      <w:bCs/>
      <w:i/>
      <w:iCs/>
      <w:sz w:val="28"/>
      <w:szCs w:val="28"/>
      <w:lang w:val="pl-PL" w:bidi="ar-SA"/>
    </w:rPr>
  </w:style>
  <w:style w:type="character" w:styleId="Nagwek3ZnakZnakZnakZnakZnakZnakZnakZnakZnakZnakZnakZnakZnakZnakZnakZnakZnakZnakZnakZnakZnak" w:customStyle="1">
    <w:name w:val="Nagłówek 3 Znak Znak Znak Znak Znak Znak Znak Znak Znak Znak Znak Znak Znak Znak Znak Znak Znak Znak Znak Znak Znak"/>
    <w:qFormat/>
    <w:rsid w:val="00770df0"/>
    <w:rPr>
      <w:rFonts w:ascii="Arial" w:hAnsi="Arial" w:cs="Arial"/>
      <w:b/>
      <w:bCs/>
      <w:sz w:val="26"/>
      <w:szCs w:val="26"/>
      <w:lang w:val="pl-PL" w:bidi="ar-SA"/>
    </w:rPr>
  </w:style>
  <w:style w:type="character" w:styleId="TekstprzypisudolnegoZnak" w:customStyle="1">
    <w:name w:val="Tekst przypisu dolnego Znak"/>
    <w:qFormat/>
    <w:rsid w:val="00770df0"/>
    <w:rPr/>
  </w:style>
  <w:style w:type="character" w:styleId="Znakiprzypiswdolnych" w:customStyle="1">
    <w:name w:val="Znaki przypisów dolnych"/>
    <w:qFormat/>
    <w:rsid w:val="00770df0"/>
    <w:rPr>
      <w:vertAlign w:val="superscript"/>
    </w:rPr>
  </w:style>
  <w:style w:type="character" w:styleId="FontStyle12" w:customStyle="1">
    <w:name w:val="Font Style12"/>
    <w:qFormat/>
    <w:rsid w:val="00770df0"/>
    <w:rPr>
      <w:rFonts w:ascii="Times New Roman" w:hAnsi="Times New Roman" w:cs="Times New Roman"/>
      <w:b/>
      <w:bCs/>
      <w:sz w:val="26"/>
      <w:szCs w:val="26"/>
    </w:rPr>
  </w:style>
  <w:style w:type="character" w:styleId="FontStyle23" w:customStyle="1">
    <w:name w:val="Font Style23"/>
    <w:qFormat/>
    <w:rsid w:val="00770df0"/>
    <w:rPr>
      <w:rFonts w:ascii="Times New Roman" w:hAnsi="Times New Roman" w:cs="Times New Roman"/>
      <w:sz w:val="22"/>
      <w:szCs w:val="22"/>
    </w:rPr>
  </w:style>
  <w:style w:type="character" w:styleId="FontStyle27" w:customStyle="1">
    <w:name w:val="Font Style27"/>
    <w:qFormat/>
    <w:rsid w:val="00770df0"/>
    <w:rPr>
      <w:rFonts w:ascii="Times New Roman" w:hAnsi="Times New Roman" w:cs="Times New Roman"/>
      <w:b/>
      <w:bCs/>
      <w:sz w:val="22"/>
      <w:szCs w:val="22"/>
    </w:rPr>
  </w:style>
  <w:style w:type="character" w:styleId="FontStyle21" w:customStyle="1">
    <w:name w:val="Font Style21"/>
    <w:qFormat/>
    <w:rsid w:val="00770df0"/>
    <w:rPr>
      <w:rFonts w:ascii="Bookman Old Style" w:hAnsi="Bookman Old Style" w:cs="Bookman Old Style"/>
      <w:b/>
      <w:bCs/>
      <w:sz w:val="16"/>
      <w:szCs w:val="16"/>
    </w:rPr>
  </w:style>
  <w:style w:type="character" w:styleId="ZwykytekstZnak" w:customStyle="1">
    <w:name w:val="Zwykły tekst Znak"/>
    <w:qFormat/>
    <w:rsid w:val="00770df0"/>
    <w:rPr>
      <w:rFonts w:ascii="Garamond" w:hAnsi="Garamond" w:eastAsia="Calibri" w:cs="Garamond"/>
      <w:sz w:val="24"/>
      <w:szCs w:val="21"/>
    </w:rPr>
  </w:style>
  <w:style w:type="character" w:styleId="FontStyle32" w:customStyle="1">
    <w:name w:val="Font Style32"/>
    <w:qFormat/>
    <w:rsid w:val="00770df0"/>
    <w:rPr>
      <w:rFonts w:ascii="Arial Unicode MS" w:hAnsi="Arial Unicode MS" w:eastAsia="Arial Unicode MS" w:cs="Arial Unicode MS"/>
      <w:sz w:val="14"/>
      <w:szCs w:val="14"/>
    </w:rPr>
  </w:style>
  <w:style w:type="character" w:styleId="FontStyle30" w:customStyle="1">
    <w:name w:val="Font Style30"/>
    <w:qFormat/>
    <w:rsid w:val="00770df0"/>
    <w:rPr>
      <w:rFonts w:ascii="Arial Unicode MS" w:hAnsi="Arial Unicode MS" w:eastAsia="Arial Unicode MS" w:cs="Arial Unicode MS"/>
      <w:b/>
      <w:bCs/>
      <w:sz w:val="14"/>
      <w:szCs w:val="14"/>
    </w:rPr>
  </w:style>
  <w:style w:type="character" w:styleId="Bbcsize1" w:customStyle="1">
    <w:name w:val="bbc_size1"/>
    <w:basedOn w:val="Domylnaczcionkaakapitu1"/>
    <w:qFormat/>
    <w:rsid w:val="00770df0"/>
    <w:rPr/>
  </w:style>
  <w:style w:type="character" w:styleId="FontStyle132" w:customStyle="1">
    <w:name w:val="Font Style132"/>
    <w:qFormat/>
    <w:rsid w:val="00770df0"/>
    <w:rPr>
      <w:rFonts w:ascii="Arial" w:hAnsi="Arial" w:cs="Arial"/>
      <w:b/>
      <w:bCs/>
      <w:sz w:val="26"/>
      <w:szCs w:val="26"/>
    </w:rPr>
  </w:style>
  <w:style w:type="character" w:styleId="Luchili" w:customStyle="1">
    <w:name w:val="luc_hili"/>
    <w:basedOn w:val="Domylnaczcionkaakapitu1"/>
    <w:qFormat/>
    <w:rsid w:val="00770df0"/>
    <w:rPr/>
  </w:style>
  <w:style w:type="character" w:styleId="Strong">
    <w:name w:val="Strong"/>
    <w:uiPriority w:val="22"/>
    <w:qFormat/>
    <w:rsid w:val="00770df0"/>
    <w:rPr>
      <w:b/>
      <w:bCs/>
    </w:rPr>
  </w:style>
  <w:style w:type="character" w:styleId="Teksttreci" w:customStyle="1">
    <w:name w:val="Tekst treści_"/>
    <w:qFormat/>
    <w:rsid w:val="00770df0"/>
    <w:rPr>
      <w:sz w:val="21"/>
      <w:szCs w:val="21"/>
      <w:shd w:fill="FFFFFF" w:val="clear"/>
    </w:rPr>
  </w:style>
  <w:style w:type="character" w:styleId="FontStyle40" w:customStyle="1">
    <w:name w:val="Font Style40"/>
    <w:qFormat/>
    <w:rsid w:val="00770df0"/>
    <w:rPr>
      <w:rFonts w:ascii="Franklin Gothic Book" w:hAnsi="Franklin Gothic Book" w:cs="Franklin Gothic Book"/>
      <w:b/>
      <w:sz w:val="36"/>
    </w:rPr>
  </w:style>
  <w:style w:type="character" w:styleId="Nierozpoznanawzmianka1" w:customStyle="1">
    <w:name w:val="Nierozpoznana wzmianka1"/>
    <w:qFormat/>
    <w:rsid w:val="00770df0"/>
    <w:rPr>
      <w:color w:val="808080"/>
      <w:shd w:fill="E6E6E6" w:val="clear"/>
    </w:rPr>
  </w:style>
  <w:style w:type="character" w:styleId="FontStyle18" w:customStyle="1">
    <w:name w:val="Font Style18"/>
    <w:qFormat/>
    <w:rsid w:val="00770df0"/>
    <w:rPr>
      <w:rFonts w:ascii="Times New Roman" w:hAnsi="Times New Roman" w:cs="Times New Roman"/>
      <w:sz w:val="24"/>
      <w:szCs w:val="24"/>
    </w:rPr>
  </w:style>
  <w:style w:type="character" w:styleId="FontStyle11" w:customStyle="1">
    <w:name w:val="Font Style11"/>
    <w:qFormat/>
    <w:rsid w:val="00770df0"/>
    <w:rPr>
      <w:rFonts w:ascii="Times New Roman" w:hAnsi="Times New Roman" w:cs="Times New Roman"/>
      <w:b/>
      <w:bCs/>
      <w:sz w:val="24"/>
      <w:szCs w:val="24"/>
    </w:rPr>
  </w:style>
  <w:style w:type="character" w:styleId="Teksttreci3" w:customStyle="1">
    <w:name w:val="Tekst treści (3)_"/>
    <w:qFormat/>
    <w:rsid w:val="00770df0"/>
    <w:rPr>
      <w:rFonts w:ascii="Arial Unicode MS" w:hAnsi="Arial Unicode MS" w:eastAsia="Arial Unicode MS" w:cs="Arial Unicode MS"/>
      <w:sz w:val="22"/>
      <w:szCs w:val="22"/>
      <w:shd w:fill="FFFFFF" w:val="clear"/>
    </w:rPr>
  </w:style>
  <w:style w:type="character" w:styleId="TeksttreciExact" w:customStyle="1">
    <w:name w:val="Tekst treści Exact"/>
    <w:qFormat/>
    <w:rsid w:val="00770df0"/>
    <w:rPr>
      <w:rFonts w:ascii="Arial Unicode MS" w:hAnsi="Arial Unicode MS" w:eastAsia="Arial Unicode MS" w:cs="Arial Unicode MS"/>
      <w:b w:val="false"/>
      <w:bCs w:val="false"/>
      <w:i w:val="false"/>
      <w:iCs w:val="false"/>
      <w:caps w:val="false"/>
      <w:smallCaps w:val="false"/>
      <w:strike w:val="false"/>
      <w:dstrike w:val="false"/>
      <w:spacing w:val="-2"/>
      <w:sz w:val="20"/>
      <w:szCs w:val="20"/>
      <w:u w:val="none"/>
    </w:rPr>
  </w:style>
  <w:style w:type="character" w:styleId="TeksttreciOdstpy0ptExact" w:customStyle="1">
    <w:name w:val="Tekst treści + Odstępy 0 pt Exact"/>
    <w:qFormat/>
    <w:rsid w:val="00770df0"/>
    <w:rPr>
      <w:rFonts w:ascii="Arial Unicode MS" w:hAnsi="Arial Unicode MS" w:eastAsia="Arial Unicode MS" w:cs="Arial Unicode MS"/>
      <w:i w:val="false"/>
      <w:iCs w:val="false"/>
      <w:caps w:val="false"/>
      <w:smallCaps w:val="false"/>
      <w:color w:val="000000"/>
      <w:spacing w:val="2"/>
      <w:w w:val="100"/>
      <w:position w:val="0"/>
      <w:sz w:val="20"/>
      <w:sz w:val="20"/>
      <w:szCs w:val="20"/>
      <w:shd w:fill="FFFFFF" w:val="clear"/>
      <w:vertAlign w:val="baseline"/>
      <w:lang w:val="pl-PL" w:bidi="pl-PL"/>
    </w:rPr>
  </w:style>
  <w:style w:type="character" w:styleId="Teksttreci95ptOdstpy0ptExact" w:customStyle="1">
    <w:name w:val="Tekst treści + 9;5 pt;Odstępy 0 pt Exact"/>
    <w:qFormat/>
    <w:rsid w:val="00770df0"/>
    <w:rPr>
      <w:rFonts w:ascii="Arial Unicode MS" w:hAnsi="Arial Unicode MS" w:eastAsia="Arial Unicode MS" w:cs="Arial Unicode MS"/>
      <w:i w:val="false"/>
      <w:iCs w:val="false"/>
      <w:caps w:val="false"/>
      <w:smallCaps w:val="false"/>
      <w:color w:val="000000"/>
      <w:spacing w:val="-1"/>
      <w:w w:val="100"/>
      <w:position w:val="0"/>
      <w:sz w:val="19"/>
      <w:sz w:val="19"/>
      <w:szCs w:val="19"/>
      <w:shd w:fill="FFFFFF" w:val="clear"/>
      <w:vertAlign w:val="baseline"/>
      <w:lang w:val="pl-PL" w:bidi="pl-PL"/>
    </w:rPr>
  </w:style>
  <w:style w:type="character" w:styleId="Teksttreci10" w:customStyle="1">
    <w:name w:val="Tekst treści (10)_"/>
    <w:qFormat/>
    <w:rsid w:val="00770df0"/>
    <w:rPr>
      <w:rFonts w:ascii="Calibri" w:hAnsi="Calibri" w:eastAsia="Calibri" w:cs="Calibri"/>
      <w:shd w:fill="FFFFFF" w:val="clear"/>
    </w:rPr>
  </w:style>
  <w:style w:type="character" w:styleId="Nagwek71" w:customStyle="1">
    <w:name w:val="Nagłówek #7_"/>
    <w:qFormat/>
    <w:rsid w:val="00770df0"/>
    <w:rPr>
      <w:rFonts w:ascii="Arial Unicode MS" w:hAnsi="Arial Unicode MS" w:eastAsia="Arial Unicode MS" w:cs="Arial Unicode MS"/>
      <w:sz w:val="22"/>
      <w:szCs w:val="22"/>
      <w:shd w:fill="FFFFFF" w:val="clear"/>
    </w:rPr>
  </w:style>
  <w:style w:type="character" w:styleId="Nagwek11" w:customStyle="1">
    <w:name w:val="Nagłówek #11_"/>
    <w:qFormat/>
    <w:rsid w:val="00770df0"/>
    <w:rPr>
      <w:rFonts w:ascii="Arial Unicode MS" w:hAnsi="Arial Unicode MS" w:eastAsia="Arial Unicode MS" w:cs="Arial Unicode MS"/>
      <w:sz w:val="22"/>
      <w:szCs w:val="22"/>
      <w:shd w:fill="FFFFFF" w:val="clear"/>
    </w:rPr>
  </w:style>
  <w:style w:type="character" w:styleId="WW8Num19z4" w:customStyle="1">
    <w:name w:val="WW8Num19z4"/>
    <w:qFormat/>
    <w:rsid w:val="00770df0"/>
    <w:rPr/>
  </w:style>
  <w:style w:type="character" w:styleId="NagwekZnak" w:customStyle="1">
    <w:name w:val="Nagłówek Znak"/>
    <w:qFormat/>
    <w:rsid w:val="00770df0"/>
    <w:rPr>
      <w:sz w:val="28"/>
      <w:lang w:val="pl-PL" w:bidi="ar-SA"/>
    </w:rPr>
  </w:style>
  <w:style w:type="character" w:styleId="Markedcontent" w:customStyle="1">
    <w:name w:val="markedcontent"/>
    <w:basedOn w:val="Domylnaczcionkaakapitu1"/>
    <w:qFormat/>
    <w:rsid w:val="00770df0"/>
    <w:rPr/>
  </w:style>
  <w:style w:type="character" w:styleId="AkapitzlistZnak" w:customStyle="1">
    <w:name w:val="Akapit z listą Znak"/>
    <w:qFormat/>
    <w:rsid w:val="00770df0"/>
    <w:rPr>
      <w:rFonts w:ascii="Calibri" w:hAnsi="Calibri" w:cs="Calibri"/>
      <w:sz w:val="22"/>
      <w:szCs w:val="22"/>
    </w:rPr>
  </w:style>
  <w:style w:type="character" w:styleId="Annotationreference">
    <w:name w:val="annotation reference"/>
    <w:basedOn w:val="WW8Num2z0"/>
    <w:uiPriority w:val="99"/>
    <w:semiHidden/>
    <w:unhideWhenUsed/>
    <w:qFormat/>
    <w:rsid w:val="00853d5c"/>
    <w:rPr>
      <w:rFonts w:ascii="Cambria" w:hAnsi="Cambria" w:eastAsia="Cambria" w:cs="Cambria"/>
      <w:i w:val="false"/>
      <w:color w:val="000000"/>
      <w:position w:val="0"/>
      <w:sz w:val="16"/>
      <w:sz w:val="16"/>
      <w:szCs w:val="16"/>
      <w:shd w:fill="auto" w:val="clear"/>
      <w:vertAlign w:val="baseline"/>
    </w:rPr>
  </w:style>
  <w:style w:type="character" w:styleId="TekstkomentarzaZnak1" w:customStyle="1">
    <w:name w:val="Tekst komentarza Znak1"/>
    <w:basedOn w:val="WW8Num2z0"/>
    <w:link w:val="Tekstkomentarza"/>
    <w:uiPriority w:val="99"/>
    <w:semiHidden/>
    <w:qFormat/>
    <w:rsid w:val="00853d5c"/>
    <w:rPr>
      <w:rFonts w:ascii="Cambria" w:hAnsi="Cambria" w:eastAsia="Cambria" w:cs="Cambria"/>
      <w:i w:val="false"/>
      <w:color w:val="000000"/>
      <w:position w:val="0"/>
      <w:sz w:val="20"/>
      <w:sz w:val="20"/>
      <w:szCs w:val="20"/>
      <w:shd w:fill="auto" w:val="clear"/>
      <w:vertAlign w:val="baseline"/>
      <w:lang w:eastAsia="zh-CN"/>
    </w:rPr>
  </w:style>
  <w:style w:type="character" w:styleId="ListLabel1" w:customStyle="1">
    <w:name w:val="ListLabel 1"/>
    <w:qFormat/>
    <w:rPr>
      <w:rFonts w:eastAsia="Cambria" w:cs="Cambria"/>
      <w:b/>
      <w:bCs/>
      <w:i w:val="false"/>
      <w:strike w:val="false"/>
      <w:dstrike w:val="false"/>
      <w:color w:val="000000"/>
      <w:position w:val="0"/>
      <w:sz w:val="20"/>
      <w:sz w:val="20"/>
      <w:szCs w:val="20"/>
      <w:u w:val="none" w:color="000000"/>
      <w:vertAlign w:val="baseline"/>
    </w:rPr>
  </w:style>
  <w:style w:type="character" w:styleId="ListLabel2" w:customStyle="1">
    <w:name w:val="ListLabel 2"/>
    <w:qFormat/>
    <w:rPr>
      <w:b/>
      <w:bCs/>
      <w:i w:val="false"/>
      <w:strike w:val="false"/>
      <w:dstrike w:val="false"/>
      <w:color w:val="000000"/>
      <w:position w:val="0"/>
      <w:sz w:val="22"/>
      <w:sz w:val="22"/>
      <w:szCs w:val="20"/>
      <w:u w:val="none" w:color="000000"/>
      <w:vertAlign w:val="baseline"/>
    </w:rPr>
  </w:style>
  <w:style w:type="character" w:styleId="ListLabel3" w:customStyle="1">
    <w:name w:val="ListLabel 3"/>
    <w:qFormat/>
    <w:rPr>
      <w:rFonts w:eastAsia="Cambria" w:cs="Cambria"/>
      <w:b/>
      <w:bCs/>
      <w:i w:val="false"/>
      <w:strike w:val="false"/>
      <w:dstrike w:val="false"/>
      <w:color w:val="000000"/>
      <w:position w:val="0"/>
      <w:sz w:val="20"/>
      <w:sz w:val="20"/>
      <w:szCs w:val="20"/>
      <w:u w:val="none" w:color="000000"/>
      <w:vertAlign w:val="baseline"/>
    </w:rPr>
  </w:style>
  <w:style w:type="character" w:styleId="ListLabel4" w:customStyle="1">
    <w:name w:val="ListLabel 4"/>
    <w:qFormat/>
    <w:rPr>
      <w:rFonts w:eastAsia="Cambria" w:cs="Cambria"/>
      <w:b/>
      <w:bCs/>
      <w:i w:val="false"/>
      <w:strike w:val="false"/>
      <w:dstrike w:val="false"/>
      <w:color w:val="000000"/>
      <w:position w:val="0"/>
      <w:sz w:val="20"/>
      <w:sz w:val="20"/>
      <w:szCs w:val="20"/>
      <w:u w:val="none" w:color="000000"/>
      <w:vertAlign w:val="baseline"/>
    </w:rPr>
  </w:style>
  <w:style w:type="character" w:styleId="ListLabel5" w:customStyle="1">
    <w:name w:val="ListLabel 5"/>
    <w:qFormat/>
    <w:rPr>
      <w:rFonts w:eastAsia="Cambria" w:cs="Cambria"/>
      <w:b/>
      <w:bCs/>
      <w:i w:val="false"/>
      <w:strike w:val="false"/>
      <w:dstrike w:val="false"/>
      <w:color w:val="000000"/>
      <w:position w:val="0"/>
      <w:sz w:val="20"/>
      <w:sz w:val="20"/>
      <w:szCs w:val="20"/>
      <w:u w:val="none" w:color="000000"/>
      <w:vertAlign w:val="baseline"/>
    </w:rPr>
  </w:style>
  <w:style w:type="character" w:styleId="ListLabel6" w:customStyle="1">
    <w:name w:val="ListLabel 6"/>
    <w:qFormat/>
    <w:rPr>
      <w:rFonts w:eastAsia="Cambria" w:cs="Cambria"/>
      <w:b/>
      <w:bCs/>
      <w:i w:val="false"/>
      <w:strike w:val="false"/>
      <w:dstrike w:val="false"/>
      <w:color w:val="000000"/>
      <w:position w:val="0"/>
      <w:sz w:val="20"/>
      <w:sz w:val="20"/>
      <w:szCs w:val="20"/>
      <w:u w:val="none" w:color="000000"/>
      <w:vertAlign w:val="baseline"/>
    </w:rPr>
  </w:style>
  <w:style w:type="character" w:styleId="ListLabel7" w:customStyle="1">
    <w:name w:val="ListLabel 7"/>
    <w:qFormat/>
    <w:rPr>
      <w:rFonts w:eastAsia="Cambria" w:cs="Cambria"/>
      <w:b/>
      <w:bCs/>
      <w:i w:val="false"/>
      <w:strike w:val="false"/>
      <w:dstrike w:val="false"/>
      <w:color w:val="000000"/>
      <w:position w:val="0"/>
      <w:sz w:val="20"/>
      <w:sz w:val="20"/>
      <w:szCs w:val="20"/>
      <w:u w:val="none" w:color="000000"/>
      <w:vertAlign w:val="baseline"/>
    </w:rPr>
  </w:style>
  <w:style w:type="character" w:styleId="ListLabel8" w:customStyle="1">
    <w:name w:val="ListLabel 8"/>
    <w:qFormat/>
    <w:rPr>
      <w:rFonts w:eastAsia="Cambria" w:cs="Cambria"/>
      <w:b/>
      <w:bCs/>
      <w:i w:val="false"/>
      <w:strike w:val="false"/>
      <w:dstrike w:val="false"/>
      <w:color w:val="000000"/>
      <w:position w:val="0"/>
      <w:sz w:val="20"/>
      <w:sz w:val="20"/>
      <w:szCs w:val="20"/>
      <w:u w:val="none" w:color="000000"/>
      <w:vertAlign w:val="baseline"/>
    </w:rPr>
  </w:style>
  <w:style w:type="character" w:styleId="ListLabel9" w:customStyle="1">
    <w:name w:val="ListLabel 9"/>
    <w:qFormat/>
    <w:rPr>
      <w:rFonts w:eastAsia="Cambria" w:cs="Cambria"/>
      <w:b/>
      <w:bCs/>
      <w:i w:val="false"/>
      <w:strike w:val="false"/>
      <w:dstrike w:val="false"/>
      <w:color w:val="000000"/>
      <w:position w:val="0"/>
      <w:sz w:val="20"/>
      <w:sz w:val="20"/>
      <w:szCs w:val="20"/>
      <w:u w:val="none" w:color="000000"/>
      <w:vertAlign w:val="baseline"/>
    </w:rPr>
  </w:style>
  <w:style w:type="character" w:styleId="ListLabel10" w:customStyle="1">
    <w:name w:val="ListLabel 10"/>
    <w:qFormat/>
    <w:rPr>
      <w:rFonts w:cs="Symbol"/>
      <w:sz w:val="22"/>
    </w:rPr>
  </w:style>
  <w:style w:type="character" w:styleId="ListLabel11" w:customStyle="1">
    <w:name w:val="ListLabel 11"/>
    <w:qFormat/>
    <w:rPr>
      <w:rFonts w:cs="Symbol"/>
      <w:b/>
      <w:sz w:val="22"/>
    </w:rPr>
  </w:style>
  <w:style w:type="character" w:styleId="ListLabel12" w:customStyle="1">
    <w:name w:val="ListLabel 12"/>
    <w:qFormat/>
    <w:rPr>
      <w:rFonts w:cs="Symbol"/>
      <w:b/>
      <w:sz w:val="22"/>
    </w:rPr>
  </w:style>
  <w:style w:type="character" w:styleId="ListLabel13" w:customStyle="1">
    <w:name w:val="ListLabel 13"/>
    <w:qFormat/>
    <w:rPr>
      <w:rFonts w:cs="Symbol"/>
      <w:sz w:val="22"/>
    </w:rPr>
  </w:style>
  <w:style w:type="character" w:styleId="ListLabel14" w:customStyle="1">
    <w:name w:val="ListLabel 14"/>
    <w:qFormat/>
    <w:rPr>
      <w:rFonts w:eastAsia="Cambria" w:cs="Cambria"/>
      <w:b/>
      <w:bCs/>
      <w:i w:val="false"/>
      <w:strike w:val="false"/>
      <w:dstrike w:val="false"/>
      <w:color w:val="000000"/>
      <w:position w:val="0"/>
      <w:sz w:val="20"/>
      <w:sz w:val="20"/>
      <w:szCs w:val="20"/>
      <w:u w:val="none" w:color="000000"/>
      <w:vertAlign w:val="baseline"/>
    </w:rPr>
  </w:style>
  <w:style w:type="character" w:styleId="ListLabel15" w:customStyle="1">
    <w:name w:val="ListLabel 15"/>
    <w:qFormat/>
    <w:rPr>
      <w:b/>
      <w:bCs/>
      <w:i w:val="false"/>
      <w:strike w:val="false"/>
      <w:dstrike w:val="false"/>
      <w:color w:val="000000"/>
      <w:position w:val="0"/>
      <w:sz w:val="22"/>
      <w:sz w:val="22"/>
      <w:szCs w:val="20"/>
      <w:u w:val="none" w:color="000000"/>
      <w:vertAlign w:val="baseline"/>
    </w:rPr>
  </w:style>
  <w:style w:type="character" w:styleId="ListLabel16" w:customStyle="1">
    <w:name w:val="ListLabel 1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7" w:customStyle="1">
    <w:name w:val="ListLabel 1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8" w:customStyle="1">
    <w:name w:val="ListLabel 1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9" w:customStyle="1">
    <w:name w:val="ListLabel 1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0" w:customStyle="1">
    <w:name w:val="ListLabel 2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1" w:customStyle="1">
    <w:name w:val="ListLabel 2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2" w:customStyle="1">
    <w:name w:val="ListLabel 2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 w:customStyle="1">
    <w:name w:val="ListLabel 23"/>
    <w:qFormat/>
    <w:rPr>
      <w:rFonts w:cs="Symbol"/>
    </w:rPr>
  </w:style>
  <w:style w:type="character" w:styleId="ListLabel24" w:customStyle="1">
    <w:name w:val="ListLabel 24"/>
    <w:qFormat/>
    <w:rPr>
      <w:color w:val="000000"/>
      <w:sz w:val="22"/>
    </w:rPr>
  </w:style>
  <w:style w:type="character" w:styleId="ListLabel25" w:customStyle="1">
    <w:name w:val="ListLabel 25"/>
    <w:qFormat/>
    <w:rPr>
      <w:rFonts w:cs="Symbol"/>
      <w:sz w:val="22"/>
    </w:rPr>
  </w:style>
  <w:style w:type="character" w:styleId="ListLabel26" w:customStyle="1">
    <w:name w:val="ListLabel 26"/>
    <w:qFormat/>
    <w:rPr>
      <w:rFonts w:eastAsia="Cambria" w:cs="Cambria"/>
      <w:b/>
      <w:bCs/>
      <w:i w:val="false"/>
      <w:strike w:val="false"/>
      <w:dstrike w:val="false"/>
      <w:color w:val="000000"/>
      <w:position w:val="0"/>
      <w:sz w:val="20"/>
      <w:sz w:val="20"/>
      <w:szCs w:val="20"/>
      <w:u w:val="none" w:color="000000"/>
      <w:vertAlign w:val="baseline"/>
    </w:rPr>
  </w:style>
  <w:style w:type="character" w:styleId="ListLabel27" w:customStyle="1">
    <w:name w:val="ListLabel 27"/>
    <w:qFormat/>
    <w:rPr>
      <w:rFonts w:eastAsia="Cambria" w:cs="Cambria"/>
      <w:b/>
      <w:bCs/>
      <w:i w:val="false"/>
      <w:strike w:val="false"/>
      <w:dstrike w:val="false"/>
      <w:color w:val="000000"/>
      <w:position w:val="0"/>
      <w:sz w:val="20"/>
      <w:sz w:val="20"/>
      <w:szCs w:val="20"/>
      <w:u w:val="none" w:color="000000"/>
      <w:vertAlign w:val="baseline"/>
    </w:rPr>
  </w:style>
  <w:style w:type="character" w:styleId="ListLabel28" w:customStyle="1">
    <w:name w:val="ListLabel 28"/>
    <w:qFormat/>
    <w:rPr>
      <w:b w:val="false"/>
      <w:i w:val="false"/>
      <w:strike w:val="false"/>
      <w:dstrike w:val="false"/>
      <w:color w:val="000000"/>
      <w:position w:val="0"/>
      <w:sz w:val="22"/>
      <w:sz w:val="22"/>
      <w:szCs w:val="18"/>
      <w:u w:val="none" w:color="000000"/>
      <w:vertAlign w:val="baseline"/>
    </w:rPr>
  </w:style>
  <w:style w:type="character" w:styleId="ListLabel29" w:customStyle="1">
    <w:name w:val="ListLabel 29"/>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0" w:customStyle="1">
    <w:name w:val="ListLabel 30"/>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1" w:customStyle="1">
    <w:name w:val="ListLabel 31"/>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2" w:customStyle="1">
    <w:name w:val="ListLabel 32"/>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3" w:customStyle="1">
    <w:name w:val="ListLabel 33"/>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4" w:customStyle="1">
    <w:name w:val="ListLabel 34"/>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5" w:customStyle="1">
    <w:name w:val="ListLabel 35"/>
    <w:qFormat/>
    <w:rPr>
      <w:rFonts w:cs="Symbol"/>
      <w:sz w:val="22"/>
    </w:rPr>
  </w:style>
  <w:style w:type="character" w:styleId="ListLabel36" w:customStyle="1">
    <w:name w:val="ListLabel 36"/>
    <w:qFormat/>
    <w:rPr>
      <w:rFonts w:eastAsia="Cambria" w:cs="Cambria"/>
      <w:b/>
      <w:bCs/>
      <w:i w:val="false"/>
      <w:strike w:val="false"/>
      <w:dstrike w:val="false"/>
      <w:color w:val="000000"/>
      <w:position w:val="0"/>
      <w:sz w:val="20"/>
      <w:sz w:val="20"/>
      <w:szCs w:val="20"/>
      <w:u w:val="none" w:color="000000"/>
      <w:vertAlign w:val="baseline"/>
    </w:rPr>
  </w:style>
  <w:style w:type="character" w:styleId="ListLabel37" w:customStyle="1">
    <w:name w:val="ListLabel 37"/>
    <w:qFormat/>
    <w:rPr>
      <w:b/>
      <w:bCs/>
      <w:i w:val="false"/>
      <w:strike w:val="false"/>
      <w:dstrike w:val="false"/>
      <w:color w:val="000000"/>
      <w:position w:val="0"/>
      <w:sz w:val="22"/>
      <w:sz w:val="22"/>
      <w:szCs w:val="20"/>
      <w:u w:val="none" w:color="000000"/>
      <w:vertAlign w:val="baseline"/>
    </w:rPr>
  </w:style>
  <w:style w:type="character" w:styleId="ListLabel38" w:customStyle="1">
    <w:name w:val="ListLabel 38"/>
    <w:qFormat/>
    <w:rPr>
      <w:rFonts w:eastAsia="Cambria" w:cs="Cambria"/>
      <w:b w:val="false"/>
      <w:i w:val="false"/>
      <w:strike w:val="false"/>
      <w:dstrike w:val="false"/>
      <w:color w:val="000000"/>
      <w:position w:val="0"/>
      <w:sz w:val="22"/>
      <w:sz w:val="22"/>
      <w:szCs w:val="20"/>
      <w:u w:val="none" w:color="000000"/>
      <w:vertAlign w:val="baseline"/>
    </w:rPr>
  </w:style>
  <w:style w:type="character" w:styleId="ListLabel39" w:customStyle="1">
    <w:name w:val="ListLabel 3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40" w:customStyle="1">
    <w:name w:val="ListLabel 4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41" w:customStyle="1">
    <w:name w:val="ListLabel 4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42" w:customStyle="1">
    <w:name w:val="ListLabel 4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43" w:customStyle="1">
    <w:name w:val="ListLabel 4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44" w:customStyle="1">
    <w:name w:val="ListLabel 4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45" w:customStyle="1">
    <w:name w:val="ListLabel 45"/>
    <w:qFormat/>
    <w:rPr>
      <w:rFonts w:cs="Symbol"/>
      <w:b/>
      <w:sz w:val="22"/>
    </w:rPr>
  </w:style>
  <w:style w:type="character" w:styleId="ListLabel46" w:customStyle="1">
    <w:name w:val="ListLabel 46"/>
    <w:qFormat/>
    <w:rPr>
      <w:rFonts w:cs="Symbol"/>
    </w:rPr>
  </w:style>
  <w:style w:type="character" w:styleId="ListLabel47" w:customStyle="1">
    <w:name w:val="ListLabel 47"/>
    <w:qFormat/>
    <w:rPr>
      <w:rFonts w:cs="Wingdings"/>
    </w:rPr>
  </w:style>
  <w:style w:type="character" w:styleId="ListLabel48" w:customStyle="1">
    <w:name w:val="ListLabel 48"/>
    <w:qFormat/>
    <w:rPr>
      <w:rFonts w:cs="Symbol"/>
    </w:rPr>
  </w:style>
  <w:style w:type="character" w:styleId="ListLabel49" w:customStyle="1">
    <w:name w:val="ListLabel 49"/>
    <w:qFormat/>
    <w:rPr>
      <w:rFonts w:cs="Courier New"/>
    </w:rPr>
  </w:style>
  <w:style w:type="character" w:styleId="ListLabel50" w:customStyle="1">
    <w:name w:val="ListLabel 50"/>
    <w:qFormat/>
    <w:rPr>
      <w:rFonts w:cs="Wingdings"/>
    </w:rPr>
  </w:style>
  <w:style w:type="character" w:styleId="ListLabel51" w:customStyle="1">
    <w:name w:val="ListLabel 51"/>
    <w:qFormat/>
    <w:rPr>
      <w:rFonts w:cs="Symbol"/>
    </w:rPr>
  </w:style>
  <w:style w:type="character" w:styleId="ListLabel52" w:customStyle="1">
    <w:name w:val="ListLabel 52"/>
    <w:qFormat/>
    <w:rPr>
      <w:rFonts w:cs="Courier New"/>
    </w:rPr>
  </w:style>
  <w:style w:type="character" w:styleId="ListLabel53" w:customStyle="1">
    <w:name w:val="ListLabel 53"/>
    <w:qFormat/>
    <w:rPr>
      <w:rFonts w:cs="Wingdings"/>
    </w:rPr>
  </w:style>
  <w:style w:type="character" w:styleId="ListLabel54" w:customStyle="1">
    <w:name w:val="ListLabel 54"/>
    <w:qFormat/>
    <w:rPr>
      <w:rFonts w:cs="Symbol"/>
      <w:sz w:val="22"/>
    </w:rPr>
  </w:style>
  <w:style w:type="character" w:styleId="ListLabel55" w:customStyle="1">
    <w:name w:val="ListLabel 5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56" w:customStyle="1">
    <w:name w:val="ListLabel 5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57" w:customStyle="1">
    <w:name w:val="ListLabel 5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58" w:customStyle="1">
    <w:name w:val="ListLabel 58"/>
    <w:qFormat/>
    <w:rPr>
      <w:rFonts w:eastAsia="Cambria" w:cs="Cambria"/>
      <w:b w:val="false"/>
      <w:i w:val="false"/>
      <w:strike w:val="false"/>
      <w:dstrike w:val="false"/>
      <w:color w:val="000000"/>
      <w:position w:val="0"/>
      <w:sz w:val="22"/>
      <w:sz w:val="22"/>
      <w:szCs w:val="20"/>
      <w:u w:val="none" w:color="000000"/>
      <w:vertAlign w:val="baseline"/>
    </w:rPr>
  </w:style>
  <w:style w:type="character" w:styleId="ListLabel59" w:customStyle="1">
    <w:name w:val="ListLabel 5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60" w:customStyle="1">
    <w:name w:val="ListLabel 6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61" w:customStyle="1">
    <w:name w:val="ListLabel 6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62" w:customStyle="1">
    <w:name w:val="ListLabel 6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63" w:customStyle="1">
    <w:name w:val="ListLabel 6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64" w:customStyle="1">
    <w:name w:val="ListLabel 64"/>
    <w:qFormat/>
    <w:rPr>
      <w:rFonts w:eastAsia="Cambria" w:cs="Cambria"/>
      <w:b/>
      <w:bCs/>
      <w:i w:val="false"/>
      <w:strike w:val="false"/>
      <w:dstrike w:val="false"/>
      <w:color w:val="000000"/>
      <w:position w:val="0"/>
      <w:sz w:val="22"/>
      <w:sz w:val="22"/>
      <w:szCs w:val="22"/>
      <w:u w:val="none" w:color="000000"/>
      <w:vertAlign w:val="baseline"/>
    </w:rPr>
  </w:style>
  <w:style w:type="character" w:styleId="ListLabel65" w:customStyle="1">
    <w:name w:val="ListLabel 65"/>
    <w:qFormat/>
    <w:rPr>
      <w:rFonts w:eastAsia="Cambria" w:cs="Cambria"/>
      <w:b/>
      <w:bCs/>
      <w:i w:val="false"/>
      <w:strike w:val="false"/>
      <w:dstrike w:val="false"/>
      <w:color w:val="000000"/>
      <w:position w:val="0"/>
      <w:sz w:val="22"/>
      <w:sz w:val="22"/>
      <w:szCs w:val="22"/>
      <w:u w:val="none" w:color="000000"/>
      <w:vertAlign w:val="baseline"/>
    </w:rPr>
  </w:style>
  <w:style w:type="character" w:styleId="ListLabel66" w:customStyle="1">
    <w:name w:val="ListLabel 66"/>
    <w:qFormat/>
    <w:rPr>
      <w:rFonts w:eastAsia="Cambria" w:cs="Cambria"/>
      <w:b/>
      <w:bCs/>
      <w:i w:val="false"/>
      <w:strike w:val="false"/>
      <w:dstrike w:val="false"/>
      <w:color w:val="000000"/>
      <w:position w:val="0"/>
      <w:sz w:val="22"/>
      <w:sz w:val="22"/>
      <w:szCs w:val="22"/>
      <w:u w:val="none" w:color="000000"/>
      <w:vertAlign w:val="baseline"/>
    </w:rPr>
  </w:style>
  <w:style w:type="character" w:styleId="ListLabel67" w:customStyle="1">
    <w:name w:val="ListLabel 67"/>
    <w:qFormat/>
    <w:rPr>
      <w:rFonts w:eastAsia="Cambria" w:cs="Cambria"/>
      <w:b/>
      <w:bCs/>
      <w:i w:val="false"/>
      <w:strike w:val="false"/>
      <w:dstrike w:val="false"/>
      <w:color w:val="000000"/>
      <w:position w:val="0"/>
      <w:sz w:val="22"/>
      <w:sz w:val="22"/>
      <w:szCs w:val="22"/>
      <w:u w:val="none" w:color="000000"/>
      <w:vertAlign w:val="baseline"/>
    </w:rPr>
  </w:style>
  <w:style w:type="character" w:styleId="ListLabel68" w:customStyle="1">
    <w:name w:val="ListLabel 68"/>
    <w:qFormat/>
    <w:rPr>
      <w:rFonts w:eastAsia="Cambria" w:cs="Cambria"/>
      <w:b/>
      <w:bCs/>
      <w:i w:val="false"/>
      <w:strike w:val="false"/>
      <w:dstrike w:val="false"/>
      <w:color w:val="000000"/>
      <w:position w:val="0"/>
      <w:sz w:val="22"/>
      <w:sz w:val="22"/>
      <w:szCs w:val="22"/>
      <w:u w:val="none" w:color="000000"/>
      <w:vertAlign w:val="baseline"/>
    </w:rPr>
  </w:style>
  <w:style w:type="character" w:styleId="ListLabel69" w:customStyle="1">
    <w:name w:val="ListLabel 69"/>
    <w:qFormat/>
    <w:rPr>
      <w:rFonts w:eastAsia="Cambria" w:cs="Cambria"/>
      <w:b/>
      <w:bCs/>
      <w:i w:val="false"/>
      <w:strike w:val="false"/>
      <w:dstrike w:val="false"/>
      <w:color w:val="000000"/>
      <w:position w:val="0"/>
      <w:sz w:val="22"/>
      <w:sz w:val="22"/>
      <w:szCs w:val="22"/>
      <w:u w:val="none" w:color="000000"/>
      <w:vertAlign w:val="baseline"/>
    </w:rPr>
  </w:style>
  <w:style w:type="character" w:styleId="ListLabel70" w:customStyle="1">
    <w:name w:val="ListLabel 70"/>
    <w:qFormat/>
    <w:rPr>
      <w:rFonts w:eastAsia="Cambria" w:cs="Cambria"/>
      <w:b/>
      <w:bCs/>
      <w:i w:val="false"/>
      <w:strike w:val="false"/>
      <w:dstrike w:val="false"/>
      <w:color w:val="000000"/>
      <w:position w:val="0"/>
      <w:sz w:val="22"/>
      <w:sz w:val="22"/>
      <w:szCs w:val="22"/>
      <w:u w:val="none" w:color="000000"/>
      <w:vertAlign w:val="baseline"/>
    </w:rPr>
  </w:style>
  <w:style w:type="character" w:styleId="ListLabel71" w:customStyle="1">
    <w:name w:val="ListLabel 71"/>
    <w:qFormat/>
    <w:rPr>
      <w:rFonts w:eastAsia="Cambria" w:cs="Cambria"/>
      <w:b/>
      <w:bCs/>
      <w:i w:val="false"/>
      <w:strike w:val="false"/>
      <w:dstrike w:val="false"/>
      <w:color w:val="000000"/>
      <w:position w:val="0"/>
      <w:sz w:val="22"/>
      <w:sz w:val="22"/>
      <w:szCs w:val="22"/>
      <w:u w:val="none" w:color="000000"/>
      <w:vertAlign w:val="baseline"/>
    </w:rPr>
  </w:style>
  <w:style w:type="character" w:styleId="ListLabel72" w:customStyle="1">
    <w:name w:val="ListLabel 72"/>
    <w:qFormat/>
    <w:rPr>
      <w:rFonts w:eastAsia="Cambria" w:cs="Cambria"/>
      <w:b/>
      <w:bCs/>
      <w:i w:val="false"/>
      <w:strike w:val="false"/>
      <w:dstrike w:val="false"/>
      <w:color w:val="000000"/>
      <w:position w:val="0"/>
      <w:sz w:val="22"/>
      <w:sz w:val="22"/>
      <w:szCs w:val="22"/>
      <w:u w:val="none" w:color="000000"/>
      <w:vertAlign w:val="baseline"/>
    </w:rPr>
  </w:style>
  <w:style w:type="character" w:styleId="ListLabel73" w:customStyle="1">
    <w:name w:val="ListLabel 73"/>
    <w:qFormat/>
    <w:rPr>
      <w:b w:val="false"/>
    </w:rPr>
  </w:style>
  <w:style w:type="character" w:styleId="ListLabel74" w:customStyle="1">
    <w:name w:val="ListLabel 74"/>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75" w:customStyle="1">
    <w:name w:val="ListLabel 75"/>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76" w:customStyle="1">
    <w:name w:val="ListLabel 76"/>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77" w:customStyle="1">
    <w:name w:val="ListLabel 77"/>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78" w:customStyle="1">
    <w:name w:val="ListLabel 78"/>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79" w:customStyle="1">
    <w:name w:val="ListLabel 79"/>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0" w:customStyle="1">
    <w:name w:val="ListLabel 80"/>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1" w:customStyle="1">
    <w:name w:val="ListLabel 81"/>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2" w:customStyle="1">
    <w:name w:val="ListLabel 82"/>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3" w:customStyle="1">
    <w:name w:val="ListLabel 83"/>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4" w:customStyle="1">
    <w:name w:val="ListLabel 84"/>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5" w:customStyle="1">
    <w:name w:val="ListLabel 85"/>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6" w:customStyle="1">
    <w:name w:val="ListLabel 86"/>
    <w:qFormat/>
    <w:rPr>
      <w:rFonts w:eastAsia="Cambria" w:cs="Cambria"/>
      <w:b/>
      <w:i w:val="false"/>
      <w:strike w:val="false"/>
      <w:dstrike w:val="false"/>
      <w:color w:val="000000"/>
      <w:position w:val="0"/>
      <w:sz w:val="22"/>
      <w:sz w:val="22"/>
      <w:szCs w:val="22"/>
      <w:u w:val="none" w:color="000000"/>
      <w:vertAlign w:val="baseline"/>
    </w:rPr>
  </w:style>
  <w:style w:type="character" w:styleId="ListLabel87" w:customStyle="1">
    <w:name w:val="ListLabel 87"/>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8" w:customStyle="1">
    <w:name w:val="ListLabel 88"/>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89" w:customStyle="1">
    <w:name w:val="ListLabel 89"/>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90" w:customStyle="1">
    <w:name w:val="ListLabel 90"/>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91" w:customStyle="1">
    <w:name w:val="ListLabel 91"/>
    <w:qFormat/>
    <w:rPr>
      <w:rFonts w:eastAsia="Cambria" w:cs="Cambria"/>
      <w:b w:val="false"/>
      <w:i w:val="false"/>
      <w:strike w:val="false"/>
      <w:dstrike w:val="false"/>
      <w:color w:val="000000"/>
      <w:position w:val="0"/>
      <w:sz w:val="22"/>
      <w:sz w:val="22"/>
      <w:szCs w:val="22"/>
      <w:u w:val="none" w:color="000000"/>
      <w:vertAlign w:val="baseline"/>
    </w:rPr>
  </w:style>
  <w:style w:type="character" w:styleId="ListLabel92" w:customStyle="1">
    <w:name w:val="ListLabel 92"/>
    <w:qFormat/>
    <w:rPr>
      <w:rFonts w:eastAsia="Cambria" w:cs="Cambria"/>
      <w:b/>
      <w:bCs/>
      <w:i w:val="false"/>
      <w:strike w:val="false"/>
      <w:dstrike w:val="false"/>
      <w:color w:val="000000"/>
      <w:position w:val="0"/>
      <w:sz w:val="22"/>
      <w:sz w:val="22"/>
      <w:szCs w:val="22"/>
      <w:u w:val="none" w:color="000000"/>
      <w:vertAlign w:val="baseline"/>
    </w:rPr>
  </w:style>
  <w:style w:type="character" w:styleId="ListLabel93" w:customStyle="1">
    <w:name w:val="ListLabel 93"/>
    <w:qFormat/>
    <w:rPr>
      <w:rFonts w:eastAsia="Cambria" w:cs="Cambria"/>
      <w:b/>
      <w:bCs/>
      <w:i w:val="false"/>
      <w:strike w:val="false"/>
      <w:dstrike w:val="false"/>
      <w:color w:val="000000"/>
      <w:position w:val="0"/>
      <w:sz w:val="22"/>
      <w:sz w:val="22"/>
      <w:szCs w:val="22"/>
      <w:u w:val="none" w:color="000000"/>
      <w:vertAlign w:val="baseline"/>
    </w:rPr>
  </w:style>
  <w:style w:type="character" w:styleId="ListLabel94" w:customStyle="1">
    <w:name w:val="ListLabel 94"/>
    <w:qFormat/>
    <w:rPr>
      <w:rFonts w:eastAsia="Cambria" w:cs="Cambria"/>
      <w:b/>
      <w:bCs/>
      <w:i w:val="false"/>
      <w:strike w:val="false"/>
      <w:dstrike w:val="false"/>
      <w:color w:val="000000"/>
      <w:position w:val="0"/>
      <w:sz w:val="22"/>
      <w:sz w:val="22"/>
      <w:szCs w:val="22"/>
      <w:u w:val="none" w:color="000000"/>
      <w:vertAlign w:val="baseline"/>
    </w:rPr>
  </w:style>
  <w:style w:type="character" w:styleId="ListLabel95" w:customStyle="1">
    <w:name w:val="ListLabel 95"/>
    <w:qFormat/>
    <w:rPr>
      <w:rFonts w:eastAsia="Cambria" w:cs="Cambria"/>
      <w:b/>
      <w:bCs/>
      <w:i w:val="false"/>
      <w:strike w:val="false"/>
      <w:dstrike w:val="false"/>
      <w:color w:val="000000"/>
      <w:position w:val="0"/>
      <w:sz w:val="22"/>
      <w:sz w:val="22"/>
      <w:szCs w:val="22"/>
      <w:u w:val="none" w:color="000000"/>
      <w:vertAlign w:val="baseline"/>
    </w:rPr>
  </w:style>
  <w:style w:type="character" w:styleId="ListLabel96" w:customStyle="1">
    <w:name w:val="ListLabel 96"/>
    <w:qFormat/>
    <w:rPr>
      <w:rFonts w:eastAsia="Cambria" w:cs="Cambria"/>
      <w:b/>
      <w:bCs/>
      <w:i w:val="false"/>
      <w:strike w:val="false"/>
      <w:dstrike w:val="false"/>
      <w:color w:val="000000"/>
      <w:position w:val="0"/>
      <w:sz w:val="22"/>
      <w:sz w:val="22"/>
      <w:szCs w:val="22"/>
      <w:u w:val="none" w:color="000000"/>
      <w:vertAlign w:val="baseline"/>
    </w:rPr>
  </w:style>
  <w:style w:type="character" w:styleId="ListLabel97" w:customStyle="1">
    <w:name w:val="ListLabel 97"/>
    <w:qFormat/>
    <w:rPr>
      <w:rFonts w:eastAsia="Cambria" w:cs="Cambria"/>
      <w:b/>
      <w:bCs/>
      <w:i w:val="false"/>
      <w:strike w:val="false"/>
      <w:dstrike w:val="false"/>
      <w:color w:val="000000"/>
      <w:position w:val="0"/>
      <w:sz w:val="22"/>
      <w:sz w:val="22"/>
      <w:szCs w:val="22"/>
      <w:u w:val="none" w:color="000000"/>
      <w:vertAlign w:val="baseline"/>
    </w:rPr>
  </w:style>
  <w:style w:type="character" w:styleId="ListLabel98" w:customStyle="1">
    <w:name w:val="ListLabel 98"/>
    <w:qFormat/>
    <w:rPr>
      <w:rFonts w:eastAsia="Cambria" w:cs="Cambria"/>
      <w:b/>
      <w:bCs/>
      <w:i w:val="false"/>
      <w:strike w:val="false"/>
      <w:dstrike w:val="false"/>
      <w:color w:val="000000"/>
      <w:position w:val="0"/>
      <w:sz w:val="22"/>
      <w:sz w:val="22"/>
      <w:szCs w:val="22"/>
      <w:u w:val="none" w:color="000000"/>
      <w:vertAlign w:val="baseline"/>
    </w:rPr>
  </w:style>
  <w:style w:type="character" w:styleId="ListLabel99" w:customStyle="1">
    <w:name w:val="ListLabel 99"/>
    <w:qFormat/>
    <w:rPr>
      <w:rFonts w:eastAsia="Cambria" w:cs="Cambria"/>
      <w:b/>
      <w:bCs/>
      <w:i w:val="false"/>
      <w:strike w:val="false"/>
      <w:dstrike w:val="false"/>
      <w:color w:val="000000"/>
      <w:position w:val="0"/>
      <w:sz w:val="22"/>
      <w:sz w:val="22"/>
      <w:szCs w:val="22"/>
      <w:u w:val="none" w:color="000000"/>
      <w:vertAlign w:val="baseline"/>
    </w:rPr>
  </w:style>
  <w:style w:type="character" w:styleId="ListLabel100" w:customStyle="1">
    <w:name w:val="ListLabel 100"/>
    <w:qFormat/>
    <w:rPr>
      <w:rFonts w:eastAsia="Cambria" w:cs="Cambria"/>
      <w:b/>
      <w:bCs/>
      <w:i w:val="false"/>
      <w:strike w:val="false"/>
      <w:dstrike w:val="false"/>
      <w:color w:val="000000"/>
      <w:position w:val="0"/>
      <w:sz w:val="22"/>
      <w:sz w:val="22"/>
      <w:szCs w:val="22"/>
      <w:u w:val="none" w:color="000000"/>
      <w:vertAlign w:val="baseline"/>
    </w:rPr>
  </w:style>
  <w:style w:type="character" w:styleId="ListLabel101" w:customStyle="1">
    <w:name w:val="ListLabel 101"/>
    <w:qFormat/>
    <w:rPr>
      <w:rFonts w:cs="Symbol"/>
      <w:b/>
      <w:sz w:val="22"/>
    </w:rPr>
  </w:style>
  <w:style w:type="character" w:styleId="ListLabel102" w:customStyle="1">
    <w:name w:val="ListLabel 102"/>
    <w:qFormat/>
    <w:rPr>
      <w:rFonts w:cs="Symbol"/>
      <w:sz w:val="22"/>
    </w:rPr>
  </w:style>
  <w:style w:type="character" w:styleId="ListLabel103" w:customStyle="1">
    <w:name w:val="ListLabel 103"/>
    <w:qFormat/>
    <w:rPr>
      <w:rFonts w:cs="Symbol"/>
      <w:sz w:val="22"/>
    </w:rPr>
  </w:style>
  <w:style w:type="character" w:styleId="ListLabel104" w:customStyle="1">
    <w:name w:val="ListLabel 104"/>
    <w:qFormat/>
    <w:rPr>
      <w:rFonts w:cs="Symbol"/>
      <w:sz w:val="22"/>
    </w:rPr>
  </w:style>
  <w:style w:type="character" w:styleId="ListLabel105" w:customStyle="1">
    <w:name w:val="ListLabel 105"/>
    <w:qFormat/>
    <w:rPr>
      <w:rFonts w:cs="Symbol"/>
      <w:b/>
      <w:sz w:val="22"/>
    </w:rPr>
  </w:style>
  <w:style w:type="character" w:styleId="ListLabel106" w:customStyle="1">
    <w:name w:val="ListLabel 106"/>
    <w:qFormat/>
    <w:rPr>
      <w:rFonts w:cs="Symbol"/>
      <w:b/>
      <w:sz w:val="22"/>
    </w:rPr>
  </w:style>
  <w:style w:type="character" w:styleId="ListLabel107" w:customStyle="1">
    <w:name w:val="ListLabel 107"/>
    <w:qFormat/>
    <w:rPr>
      <w:rFonts w:cs="Symbol"/>
      <w:b/>
      <w:sz w:val="22"/>
    </w:rPr>
  </w:style>
  <w:style w:type="character" w:styleId="ListLabel108" w:customStyle="1">
    <w:name w:val="ListLabel 108"/>
    <w:qFormat/>
    <w:rPr>
      <w:rFonts w:cs="Symbol"/>
      <w:sz w:val="22"/>
    </w:rPr>
  </w:style>
  <w:style w:type="character" w:styleId="ListLabel109" w:customStyle="1">
    <w:name w:val="ListLabel 109"/>
    <w:qFormat/>
    <w:rPr>
      <w:rFonts w:cs="Symbol"/>
      <w:sz w:val="22"/>
    </w:rPr>
  </w:style>
  <w:style w:type="character" w:styleId="ListLabel110" w:customStyle="1">
    <w:name w:val="ListLabel 110"/>
    <w:qFormat/>
    <w:rPr>
      <w:rFonts w:cs="Courier New"/>
    </w:rPr>
  </w:style>
  <w:style w:type="character" w:styleId="ListLabel111" w:customStyle="1">
    <w:name w:val="ListLabel 111"/>
    <w:qFormat/>
    <w:rPr>
      <w:rFonts w:cs="Courier New"/>
    </w:rPr>
  </w:style>
  <w:style w:type="character" w:styleId="ListLabel112" w:customStyle="1">
    <w:name w:val="ListLabel 112"/>
    <w:qFormat/>
    <w:rPr>
      <w:rFonts w:cs="Courier New"/>
    </w:rPr>
  </w:style>
  <w:style w:type="character" w:styleId="ListLabel113" w:customStyle="1">
    <w:name w:val="ListLabel 113"/>
    <w:qFormat/>
    <w:rPr>
      <w:rFonts w:cs="Courier New"/>
    </w:rPr>
  </w:style>
  <w:style w:type="character" w:styleId="ListLabel114" w:customStyle="1">
    <w:name w:val="ListLabel 114"/>
    <w:qFormat/>
    <w:rPr>
      <w:rFonts w:cs="Courier New"/>
    </w:rPr>
  </w:style>
  <w:style w:type="character" w:styleId="ListLabel115" w:customStyle="1">
    <w:name w:val="ListLabel 115"/>
    <w:qFormat/>
    <w:rPr>
      <w:rFonts w:cs="Courier New"/>
    </w:rPr>
  </w:style>
  <w:style w:type="character" w:styleId="ListLabel116" w:customStyle="1">
    <w:name w:val="ListLabel 116"/>
    <w:qFormat/>
    <w:rPr>
      <w:rFonts w:ascii="Cambria" w:hAnsi="Cambria" w:cs="Cambria" w:asciiTheme="majorHAnsi" w:hAnsiTheme="majorHAnsi"/>
      <w:sz w:val="22"/>
      <w:szCs w:val="22"/>
    </w:rPr>
  </w:style>
  <w:style w:type="character" w:styleId="TekstprzypisukocowegoZnak" w:customStyle="1">
    <w:name w:val="Tekst przypisu końcowego Znak"/>
    <w:basedOn w:val="DefaultParagraphFont"/>
    <w:link w:val="Tekstprzypisukocowego"/>
    <w:uiPriority w:val="99"/>
    <w:semiHidden/>
    <w:qFormat/>
    <w:rsid w:val="007b2e51"/>
    <w:rPr>
      <w:lang w:eastAsia="zh-CN"/>
    </w:rPr>
  </w:style>
  <w:style w:type="character" w:styleId="Zakotwiczenieprzypisukocowego">
    <w:name w:val="Zakotwiczenie przypisu końcowego"/>
    <w:rPr>
      <w:vertAlign w:val="superscript"/>
    </w:rPr>
  </w:style>
  <w:style w:type="character" w:styleId="EndnoteCharacters">
    <w:name w:val="Endnote Characters"/>
    <w:basedOn w:val="DefaultParagraphFont"/>
    <w:uiPriority w:val="99"/>
    <w:semiHidden/>
    <w:unhideWhenUsed/>
    <w:qFormat/>
    <w:rsid w:val="007b2e51"/>
    <w:rPr>
      <w:vertAlign w:val="superscript"/>
    </w:rPr>
  </w:style>
  <w:style w:type="character" w:styleId="UnresolvedMention">
    <w:name w:val="Unresolved Mention"/>
    <w:basedOn w:val="DefaultParagraphFont"/>
    <w:uiPriority w:val="99"/>
    <w:semiHidden/>
    <w:unhideWhenUsed/>
    <w:qFormat/>
    <w:rsid w:val="00bb408f"/>
    <w:rPr>
      <w:color w:val="605E5C"/>
      <w:shd w:fill="E1DFDD" w:val="clear"/>
    </w:rPr>
  </w:style>
  <w:style w:type="character" w:styleId="Wyrnienie">
    <w:name w:val="Wyróżnienie"/>
    <w:basedOn w:val="DefaultParagraphFont"/>
    <w:uiPriority w:val="20"/>
    <w:qFormat/>
    <w:rsid w:val="00761761"/>
    <w:rPr>
      <w:i/>
      <w:iCs/>
    </w:rPr>
  </w:style>
  <w:style w:type="character" w:styleId="ListLabel117">
    <w:name w:val="ListLabel 117"/>
    <w:qFormat/>
    <w:rPr>
      <w:rFonts w:eastAsia="Cambria" w:cs="Cambria"/>
      <w:b/>
      <w:bCs/>
      <w:i w:val="false"/>
      <w:strike w:val="false"/>
      <w:dstrike w:val="false"/>
      <w:color w:val="000000"/>
      <w:position w:val="0"/>
      <w:sz w:val="20"/>
      <w:sz w:val="20"/>
      <w:szCs w:val="20"/>
      <w:u w:val="none" w:color="000000"/>
      <w:vertAlign w:val="baseline"/>
    </w:rPr>
  </w:style>
  <w:style w:type="character" w:styleId="ListLabel118">
    <w:name w:val="ListLabel 118"/>
    <w:qFormat/>
    <w:rPr>
      <w:b/>
      <w:bCs/>
      <w:i w:val="false"/>
      <w:strike w:val="false"/>
      <w:dstrike w:val="false"/>
      <w:color w:val="000000"/>
      <w:position w:val="0"/>
      <w:sz w:val="22"/>
      <w:sz w:val="22"/>
      <w:szCs w:val="20"/>
      <w:u w:val="none" w:color="000000"/>
      <w:vertAlign w:val="baseline"/>
    </w:rPr>
  </w:style>
  <w:style w:type="character" w:styleId="ListLabel119">
    <w:name w:val="ListLabel 119"/>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0">
    <w:name w:val="ListLabel 120"/>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1">
    <w:name w:val="ListLabel 121"/>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2">
    <w:name w:val="ListLabel 122"/>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3">
    <w:name w:val="ListLabel 123"/>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4">
    <w:name w:val="ListLabel 124"/>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5">
    <w:name w:val="ListLabel 125"/>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6">
    <w:name w:val="ListLabel 126"/>
    <w:qFormat/>
    <w:rPr>
      <w:rFonts w:cs="Symbol"/>
      <w:sz w:val="22"/>
    </w:rPr>
  </w:style>
  <w:style w:type="character" w:styleId="ListLabel127">
    <w:name w:val="ListLabel 127"/>
    <w:qFormat/>
    <w:rPr>
      <w:b w:val="false"/>
      <w:bCs/>
      <w:sz w:val="22"/>
    </w:rPr>
  </w:style>
  <w:style w:type="character" w:styleId="ListLabel128">
    <w:name w:val="ListLabel 128"/>
    <w:qFormat/>
    <w:rPr>
      <w:rFonts w:eastAsia="Cambria" w:cs="Cambria"/>
      <w:b/>
      <w:bCs/>
      <w:i w:val="false"/>
      <w:strike w:val="false"/>
      <w:dstrike w:val="false"/>
      <w:color w:val="000000"/>
      <w:position w:val="0"/>
      <w:sz w:val="20"/>
      <w:sz w:val="20"/>
      <w:szCs w:val="20"/>
      <w:u w:val="none" w:color="000000"/>
      <w:vertAlign w:val="baseline"/>
    </w:rPr>
  </w:style>
  <w:style w:type="character" w:styleId="ListLabel129">
    <w:name w:val="ListLabel 129"/>
    <w:qFormat/>
    <w:rPr>
      <w:b/>
      <w:bCs/>
      <w:i w:val="false"/>
      <w:strike w:val="false"/>
      <w:dstrike w:val="false"/>
      <w:color w:val="000000"/>
      <w:position w:val="0"/>
      <w:sz w:val="22"/>
      <w:sz w:val="22"/>
      <w:szCs w:val="20"/>
      <w:u w:val="none" w:color="000000"/>
      <w:vertAlign w:val="baseline"/>
    </w:rPr>
  </w:style>
  <w:style w:type="character" w:styleId="ListLabel130">
    <w:name w:val="ListLabel 13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31">
    <w:name w:val="ListLabel 13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32">
    <w:name w:val="ListLabel 13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33">
    <w:name w:val="ListLabel 13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34">
    <w:name w:val="ListLabel 13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35">
    <w:name w:val="ListLabel 13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36">
    <w:name w:val="ListLabel 13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37">
    <w:name w:val="ListLabel 137"/>
    <w:qFormat/>
    <w:rPr>
      <w:rFonts w:cs="Symbol"/>
    </w:rPr>
  </w:style>
  <w:style w:type="character" w:styleId="ListLabel138">
    <w:name w:val="ListLabel 138"/>
    <w:qFormat/>
    <w:rPr>
      <w:color w:val="000000"/>
      <w:sz w:val="22"/>
    </w:rPr>
  </w:style>
  <w:style w:type="character" w:styleId="ListLabel139">
    <w:name w:val="ListLabel 139"/>
    <w:qFormat/>
    <w:rPr>
      <w:rFonts w:cs="Symbol"/>
      <w:sz w:val="22"/>
    </w:rPr>
  </w:style>
  <w:style w:type="character" w:styleId="ListLabel140">
    <w:name w:val="ListLabel 140"/>
    <w:qFormat/>
    <w:rPr>
      <w:rFonts w:cs="Symbol"/>
      <w:sz w:val="22"/>
    </w:rPr>
  </w:style>
  <w:style w:type="character" w:styleId="ListLabel141">
    <w:name w:val="ListLabel 141"/>
    <w:qFormat/>
    <w:rPr>
      <w:rFonts w:eastAsia="Cambria" w:cs="Cambria"/>
      <w:b/>
      <w:bCs/>
      <w:i w:val="false"/>
      <w:strike w:val="false"/>
      <w:dstrike w:val="false"/>
      <w:color w:val="000000"/>
      <w:position w:val="0"/>
      <w:sz w:val="20"/>
      <w:sz w:val="20"/>
      <w:szCs w:val="20"/>
      <w:u w:val="none" w:color="000000"/>
      <w:vertAlign w:val="baseline"/>
    </w:rPr>
  </w:style>
  <w:style w:type="character" w:styleId="ListLabel142">
    <w:name w:val="ListLabel 142"/>
    <w:qFormat/>
    <w:rPr>
      <w:b/>
      <w:bCs/>
      <w:i w:val="false"/>
      <w:strike w:val="false"/>
      <w:dstrike w:val="false"/>
      <w:color w:val="000000"/>
      <w:position w:val="0"/>
      <w:sz w:val="22"/>
      <w:sz w:val="22"/>
      <w:szCs w:val="20"/>
      <w:u w:val="none" w:color="000000"/>
      <w:vertAlign w:val="baseline"/>
    </w:rPr>
  </w:style>
  <w:style w:type="character" w:styleId="ListLabel143">
    <w:name w:val="ListLabel 143"/>
    <w:qFormat/>
    <w:rPr>
      <w:rFonts w:eastAsia="Cambria" w:cs="Cambria"/>
      <w:b w:val="false"/>
      <w:i w:val="false"/>
      <w:strike w:val="false"/>
      <w:dstrike w:val="false"/>
      <w:color w:val="000000"/>
      <w:position w:val="0"/>
      <w:sz w:val="22"/>
      <w:sz w:val="22"/>
      <w:szCs w:val="20"/>
      <w:u w:val="none" w:color="000000"/>
      <w:vertAlign w:val="baseline"/>
    </w:rPr>
  </w:style>
  <w:style w:type="character" w:styleId="ListLabel144">
    <w:name w:val="ListLabel 14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45">
    <w:name w:val="ListLabel 14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46">
    <w:name w:val="ListLabel 14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47">
    <w:name w:val="ListLabel 14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48">
    <w:name w:val="ListLabel 14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49">
    <w:name w:val="ListLabel 14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50">
    <w:name w:val="ListLabel 150"/>
    <w:qFormat/>
    <w:rPr>
      <w:rFonts w:cs="Symbol"/>
      <w:b/>
      <w:sz w:val="22"/>
    </w:rPr>
  </w:style>
  <w:style w:type="character" w:styleId="ListLabel151">
    <w:name w:val="ListLabel 151"/>
    <w:qFormat/>
    <w:rPr>
      <w:rFonts w:cs="Symbol"/>
    </w:rPr>
  </w:style>
  <w:style w:type="character" w:styleId="ListLabel152">
    <w:name w:val="ListLabel 152"/>
    <w:qFormat/>
    <w:rPr>
      <w:b/>
      <w:bCs/>
      <w:sz w:val="22"/>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Symbol"/>
    </w:rPr>
  </w:style>
  <w:style w:type="character" w:styleId="ListLabel158">
    <w:name w:val="ListLabel 158"/>
    <w:qFormat/>
    <w:rPr>
      <w:rFonts w:cs="Courier New"/>
    </w:rPr>
  </w:style>
  <w:style w:type="character" w:styleId="ListLabel159">
    <w:name w:val="ListLabel 159"/>
    <w:qFormat/>
    <w:rPr>
      <w:rFonts w:cs="Wingdings"/>
    </w:rPr>
  </w:style>
  <w:style w:type="character" w:styleId="ListLabel160">
    <w:name w:val="ListLabel 160"/>
    <w:qFormat/>
    <w:rPr>
      <w:rFonts w:cs="Symbol"/>
      <w:sz w:val="22"/>
    </w:rPr>
  </w:style>
  <w:style w:type="character" w:styleId="ListLabel161">
    <w:name w:val="ListLabel 16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62">
    <w:name w:val="ListLabel 16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63">
    <w:name w:val="ListLabel 16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64">
    <w:name w:val="ListLabel 164"/>
    <w:qFormat/>
    <w:rPr>
      <w:rFonts w:eastAsia="Cambria" w:cs="Cambria"/>
      <w:b w:val="false"/>
      <w:i w:val="false"/>
      <w:strike w:val="false"/>
      <w:dstrike w:val="false"/>
      <w:color w:val="000000"/>
      <w:position w:val="0"/>
      <w:sz w:val="22"/>
      <w:sz w:val="22"/>
      <w:szCs w:val="20"/>
      <w:u w:val="none" w:color="000000"/>
      <w:vertAlign w:val="baseline"/>
    </w:rPr>
  </w:style>
  <w:style w:type="character" w:styleId="ListLabel165">
    <w:name w:val="ListLabel 16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66">
    <w:name w:val="ListLabel 16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67">
    <w:name w:val="ListLabel 16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68">
    <w:name w:val="ListLabel 16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69">
    <w:name w:val="ListLabel 16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170">
    <w:name w:val="ListLabel 170"/>
    <w:qFormat/>
    <w:rPr>
      <w:b w:val="false"/>
      <w:bCs/>
      <w:sz w:val="22"/>
    </w:rPr>
  </w:style>
  <w:style w:type="character" w:styleId="ListLabel171">
    <w:name w:val="ListLabel 171"/>
    <w:qFormat/>
    <w:rPr>
      <w:b/>
      <w:bCs/>
      <w:sz w:val="22"/>
    </w:rPr>
  </w:style>
  <w:style w:type="character" w:styleId="ListLabel172">
    <w:name w:val="ListLabel 172"/>
    <w:qFormat/>
    <w:rPr>
      <w:b/>
      <w:bCs/>
      <w:sz w:val="22"/>
    </w:rPr>
  </w:style>
  <w:style w:type="character" w:styleId="ListLabel173">
    <w:name w:val="ListLabel 173"/>
    <w:qFormat/>
    <w:rPr>
      <w:b w:val="false"/>
    </w:rPr>
  </w:style>
  <w:style w:type="character" w:styleId="ListLabel174">
    <w:name w:val="ListLabel 174"/>
    <w:qFormat/>
    <w:rPr>
      <w:rFonts w:cs="Symbol"/>
      <w:b/>
      <w:sz w:val="22"/>
    </w:rPr>
  </w:style>
  <w:style w:type="character" w:styleId="ListLabel175">
    <w:name w:val="ListLabel 175"/>
    <w:qFormat/>
    <w:rPr>
      <w:rFonts w:cs="Symbol"/>
      <w:sz w:val="22"/>
    </w:rPr>
  </w:style>
  <w:style w:type="character" w:styleId="ListLabel176">
    <w:name w:val="ListLabel 176"/>
    <w:qFormat/>
    <w:rPr>
      <w:rFonts w:cs="Symbol"/>
      <w:sz w:val="22"/>
    </w:rPr>
  </w:style>
  <w:style w:type="character" w:styleId="ListLabel177">
    <w:name w:val="ListLabel 177"/>
    <w:qFormat/>
    <w:rPr>
      <w:rFonts w:cs="Symbol"/>
      <w:b/>
      <w:sz w:val="22"/>
    </w:rPr>
  </w:style>
  <w:style w:type="character" w:styleId="ListLabel178">
    <w:name w:val="ListLabel 178"/>
    <w:qFormat/>
    <w:rPr>
      <w:rFonts w:cs="Symbol"/>
      <w:b w:val="false"/>
      <w:bCs w:val="false"/>
      <w:sz w:val="22"/>
    </w:rPr>
  </w:style>
  <w:style w:type="character" w:styleId="ListLabel179">
    <w:name w:val="ListLabel 179"/>
    <w:qFormat/>
    <w:rPr>
      <w:sz w:val="22"/>
      <w:szCs w:val="22"/>
    </w:rPr>
  </w:style>
  <w:style w:type="character" w:styleId="ListLabel180">
    <w:name w:val="ListLabel 180"/>
    <w:qFormat/>
    <w:rPr>
      <w:rFonts w:cs="Symbol"/>
      <w:sz w:val="22"/>
    </w:rPr>
  </w:style>
  <w:style w:type="character" w:styleId="ListLabel181">
    <w:name w:val="ListLabel 181"/>
    <w:qFormat/>
    <w:rPr>
      <w:rFonts w:cs="Symbol"/>
      <w:sz w:val="22"/>
      <w:szCs w:val="22"/>
    </w:rPr>
  </w:style>
  <w:style w:type="character" w:styleId="ListLabel182">
    <w:name w:val="ListLabel 182"/>
    <w:qFormat/>
    <w:rPr>
      <w:rFonts w:cs="Cambria"/>
      <w:sz w:val="22"/>
      <w:szCs w:val="22"/>
    </w:rPr>
  </w:style>
  <w:style w:type="character" w:styleId="ListLabel183">
    <w:name w:val="ListLabel 183"/>
    <w:qFormat/>
    <w:rPr>
      <w:rFonts w:cs="Cambria"/>
      <w:sz w:val="22"/>
      <w:szCs w:val="22"/>
    </w:rPr>
  </w:style>
  <w:style w:type="character" w:styleId="ListLabel184">
    <w:name w:val="ListLabel 184"/>
    <w:qFormat/>
    <w:rPr>
      <w:rFonts w:cs="Cambria"/>
      <w:sz w:val="22"/>
      <w:szCs w:val="22"/>
    </w:rPr>
  </w:style>
  <w:style w:type="character" w:styleId="ListLabel185">
    <w:name w:val="ListLabel 185"/>
    <w:qFormat/>
    <w:rPr>
      <w:rFonts w:cs="Cambria"/>
      <w:sz w:val="22"/>
      <w:szCs w:val="22"/>
    </w:rPr>
  </w:style>
  <w:style w:type="character" w:styleId="ListLabel186">
    <w:name w:val="ListLabel 186"/>
    <w:qFormat/>
    <w:rPr>
      <w:rFonts w:cs="Cambria"/>
      <w:sz w:val="22"/>
      <w:szCs w:val="22"/>
    </w:rPr>
  </w:style>
  <w:style w:type="character" w:styleId="ListLabel187">
    <w:name w:val="ListLabel 187"/>
    <w:qFormat/>
    <w:rPr>
      <w:rFonts w:cs="Cambria"/>
      <w:sz w:val="22"/>
      <w:szCs w:val="22"/>
    </w:rPr>
  </w:style>
  <w:style w:type="character" w:styleId="ListLabel188">
    <w:name w:val="ListLabel 188"/>
    <w:qFormat/>
    <w:rPr>
      <w:rFonts w:cs="Cambria"/>
      <w:color w:val="000000"/>
      <w:sz w:val="22"/>
      <w:szCs w:val="22"/>
    </w:rPr>
  </w:style>
  <w:style w:type="character" w:styleId="ListLabel189">
    <w:name w:val="ListLabel 189"/>
    <w:qFormat/>
    <w:rPr>
      <w:rFonts w:cs="Cambria"/>
      <w:color w:val="000000"/>
      <w:sz w:val="22"/>
      <w:szCs w:val="22"/>
    </w:rPr>
  </w:style>
  <w:style w:type="character" w:styleId="ListLabel190">
    <w:name w:val="ListLabel 190"/>
    <w:qFormat/>
    <w:rPr>
      <w:b w:val="false"/>
      <w:bCs w:val="false"/>
    </w:rPr>
  </w:style>
  <w:style w:type="character" w:styleId="ListLabel191">
    <w:name w:val="ListLabel 191"/>
    <w:qFormat/>
    <w:rPr>
      <w:rFonts w:eastAsia="Times New Roman" w:cs="Cambria"/>
      <w:bCs/>
      <w:color w:val="000000"/>
      <w:sz w:val="22"/>
      <w:szCs w:val="22"/>
    </w:rPr>
  </w:style>
  <w:style w:type="character" w:styleId="ListLabel192">
    <w:name w:val="ListLabel 192"/>
    <w:qFormat/>
    <w:rPr>
      <w:rFonts w:cs="Courier New"/>
    </w:rPr>
  </w:style>
  <w:style w:type="character" w:styleId="ListLabel193">
    <w:name w:val="ListLabel 193"/>
    <w:qFormat/>
    <w:rPr>
      <w:rFonts w:cs="Courier New"/>
    </w:rPr>
  </w:style>
  <w:style w:type="character" w:styleId="ListLabel194">
    <w:name w:val="ListLabel 194"/>
    <w:qFormat/>
    <w:rPr>
      <w:rFonts w:cs="Courier New"/>
    </w:rPr>
  </w:style>
  <w:style w:type="character" w:styleId="ListLabel195">
    <w:name w:val="ListLabel 195"/>
    <w:qFormat/>
    <w:rPr>
      <w:rFonts w:cs="Symbol"/>
      <w:b/>
      <w:bCs/>
      <w:sz w:val="22"/>
    </w:rPr>
  </w:style>
  <w:style w:type="character" w:styleId="ListLabel196">
    <w:name w:val="ListLabel 196"/>
    <w:qFormat/>
    <w:rPr>
      <w:sz w:val="22"/>
      <w:szCs w:val="22"/>
    </w:rPr>
  </w:style>
  <w:style w:type="character" w:styleId="ListLabel197">
    <w:name w:val="ListLabel 197"/>
    <w:qFormat/>
    <w:rPr>
      <w:rFonts w:eastAsia="Cambria" w:cs="Cambria"/>
      <w:b/>
      <w:bCs/>
      <w:i w:val="false"/>
      <w:strike w:val="false"/>
      <w:dstrike w:val="false"/>
      <w:color w:val="000000"/>
      <w:position w:val="0"/>
      <w:sz w:val="20"/>
      <w:sz w:val="20"/>
      <w:szCs w:val="20"/>
      <w:u w:val="none" w:color="000000"/>
      <w:vertAlign w:val="baseline"/>
    </w:rPr>
  </w:style>
  <w:style w:type="character" w:styleId="ListLabel198">
    <w:name w:val="ListLabel 198"/>
    <w:qFormat/>
    <w:rPr>
      <w:rFonts w:eastAsia="Cambria" w:cs="Cambria"/>
      <w:b/>
      <w:bCs/>
      <w:i w:val="false"/>
      <w:strike w:val="false"/>
      <w:dstrike w:val="false"/>
      <w:color w:val="000000"/>
      <w:position w:val="0"/>
      <w:sz w:val="20"/>
      <w:sz w:val="20"/>
      <w:szCs w:val="20"/>
      <w:u w:val="none" w:color="000000"/>
      <w:vertAlign w:val="baseline"/>
    </w:rPr>
  </w:style>
  <w:style w:type="character" w:styleId="ListLabel199">
    <w:name w:val="ListLabel 199"/>
    <w:qFormat/>
    <w:rPr>
      <w:rFonts w:cs="Cambria"/>
      <w:b w:val="false"/>
      <w:i w:val="false"/>
      <w:strike w:val="false"/>
      <w:dstrike w:val="false"/>
      <w:color w:val="000000"/>
      <w:position w:val="0"/>
      <w:sz w:val="18"/>
      <w:sz w:val="18"/>
      <w:szCs w:val="18"/>
      <w:u w:val="none" w:color="000000"/>
      <w:vertAlign w:val="baseline"/>
    </w:rPr>
  </w:style>
  <w:style w:type="character" w:styleId="ListLabel200">
    <w:name w:val="ListLabel 200"/>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01">
    <w:name w:val="ListLabel 201"/>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02">
    <w:name w:val="ListLabel 202"/>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03">
    <w:name w:val="ListLabel 203"/>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04">
    <w:name w:val="ListLabel 204"/>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05">
    <w:name w:val="ListLabel 205"/>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06">
    <w:name w:val="ListLabel 206"/>
    <w:qFormat/>
    <w:rPr>
      <w:rFonts w:cs="Cambria"/>
      <w:color w:val="000000"/>
      <w:sz w:val="22"/>
      <w:szCs w:val="22"/>
    </w:rPr>
  </w:style>
  <w:style w:type="character" w:styleId="ListLabel207">
    <w:name w:val="ListLabel 207"/>
    <w:qFormat/>
    <w:rPr>
      <w:rFonts w:cs="Cambria"/>
      <w:color w:val="000000"/>
      <w:sz w:val="22"/>
      <w:szCs w:val="22"/>
    </w:rPr>
  </w:style>
  <w:style w:type="character" w:styleId="ListLabel208">
    <w:name w:val="ListLabel 208"/>
    <w:qFormat/>
    <w:rPr>
      <w:rFonts w:eastAsia="Cambria" w:cs="Cambria"/>
      <w:b/>
      <w:bCs/>
      <w:i w:val="false"/>
      <w:strike w:val="false"/>
      <w:dstrike w:val="false"/>
      <w:color w:val="000000"/>
      <w:position w:val="0"/>
      <w:sz w:val="20"/>
      <w:sz w:val="20"/>
      <w:szCs w:val="20"/>
      <w:u w:val="none" w:color="000000"/>
      <w:vertAlign w:val="baseline"/>
    </w:rPr>
  </w:style>
  <w:style w:type="character" w:styleId="ListLabel209">
    <w:name w:val="ListLabel 209"/>
    <w:qFormat/>
    <w:rPr>
      <w:rFonts w:eastAsia="Cambria" w:cs="Cambria"/>
      <w:b/>
      <w:bCs/>
      <w:i w:val="false"/>
      <w:strike w:val="false"/>
      <w:dstrike w:val="false"/>
      <w:color w:val="000000"/>
      <w:position w:val="0"/>
      <w:sz w:val="20"/>
      <w:sz w:val="20"/>
      <w:szCs w:val="20"/>
      <w:u w:val="none" w:color="000000"/>
      <w:vertAlign w:val="baseline"/>
    </w:rPr>
  </w:style>
  <w:style w:type="character" w:styleId="ListLabel210">
    <w:name w:val="ListLabel 210"/>
    <w:qFormat/>
    <w:rPr>
      <w:rFonts w:cs="Cambria"/>
      <w:b w:val="false"/>
      <w:i w:val="false"/>
      <w:strike w:val="false"/>
      <w:dstrike w:val="false"/>
      <w:color w:val="000000"/>
      <w:position w:val="0"/>
      <w:sz w:val="18"/>
      <w:sz w:val="18"/>
      <w:szCs w:val="18"/>
      <w:u w:val="none" w:color="000000"/>
      <w:vertAlign w:val="baseline"/>
    </w:rPr>
  </w:style>
  <w:style w:type="character" w:styleId="ListLabel211">
    <w:name w:val="ListLabel 211"/>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12">
    <w:name w:val="ListLabel 212"/>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13">
    <w:name w:val="ListLabel 213"/>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14">
    <w:name w:val="ListLabel 214"/>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15">
    <w:name w:val="ListLabel 215"/>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16">
    <w:name w:val="ListLabel 216"/>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17">
    <w:name w:val="ListLabel 217"/>
    <w:qFormat/>
    <w:rPr>
      <w:highlight w:val="yellow"/>
    </w:rPr>
  </w:style>
  <w:style w:type="character" w:styleId="ListLabel218">
    <w:name w:val="ListLabel 218"/>
    <w:qFormat/>
    <w:rPr>
      <w:rFonts w:ascii="Cambria" w:hAnsi="Cambria" w:eastAsia="Times New Roman" w:cs="Cambria"/>
      <w:color w:val="000000"/>
      <w:sz w:val="22"/>
      <w:szCs w:val="22"/>
      <w:lang w:val="en-US"/>
    </w:rPr>
  </w:style>
  <w:style w:type="character" w:styleId="ListLabel219">
    <w:name w:val="ListLabel 219"/>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0">
    <w:name w:val="ListLabel 220"/>
    <w:qFormat/>
    <w:rPr>
      <w:rFonts w:ascii="Cambria" w:hAnsi="Cambria"/>
      <w:b/>
      <w:bCs/>
      <w:i w:val="false"/>
      <w:strike w:val="false"/>
      <w:dstrike w:val="false"/>
      <w:color w:val="000000"/>
      <w:position w:val="0"/>
      <w:sz w:val="22"/>
      <w:sz w:val="22"/>
      <w:szCs w:val="20"/>
      <w:u w:val="none" w:color="000000"/>
      <w:vertAlign w:val="baseline"/>
    </w:rPr>
  </w:style>
  <w:style w:type="character" w:styleId="ListLabel221">
    <w:name w:val="ListLabel 221"/>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2">
    <w:name w:val="ListLabel 222"/>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3">
    <w:name w:val="ListLabel 223"/>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4">
    <w:name w:val="ListLabel 224"/>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5">
    <w:name w:val="ListLabel 225"/>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6">
    <w:name w:val="ListLabel 226"/>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7">
    <w:name w:val="ListLabel 227"/>
    <w:qFormat/>
    <w:rPr>
      <w:rFonts w:eastAsia="Cambria" w:cs="Cambria"/>
      <w:b/>
      <w:bCs/>
      <w:i w:val="false"/>
      <w:strike w:val="false"/>
      <w:dstrike w:val="false"/>
      <w:color w:val="000000"/>
      <w:position w:val="0"/>
      <w:sz w:val="20"/>
      <w:sz w:val="20"/>
      <w:szCs w:val="20"/>
      <w:u w:val="none" w:color="000000"/>
      <w:vertAlign w:val="baseline"/>
    </w:rPr>
  </w:style>
  <w:style w:type="character" w:styleId="ListLabel228">
    <w:name w:val="ListLabel 228"/>
    <w:qFormat/>
    <w:rPr>
      <w:rFonts w:ascii="Cambria" w:hAnsi="Cambria" w:cs="Symbol"/>
      <w:sz w:val="22"/>
    </w:rPr>
  </w:style>
  <w:style w:type="character" w:styleId="ListLabel229">
    <w:name w:val="ListLabel 229"/>
    <w:qFormat/>
    <w:rPr>
      <w:rFonts w:ascii="Cambria" w:hAnsi="Cambria"/>
      <w:b w:val="false"/>
      <w:bCs/>
      <w:sz w:val="22"/>
    </w:rPr>
  </w:style>
  <w:style w:type="character" w:styleId="ListLabel230">
    <w:name w:val="ListLabel 230"/>
    <w:qFormat/>
    <w:rPr>
      <w:rFonts w:eastAsia="Cambria" w:cs="Cambria"/>
      <w:b/>
      <w:bCs/>
      <w:i w:val="false"/>
      <w:strike w:val="false"/>
      <w:dstrike w:val="false"/>
      <w:color w:val="000000"/>
      <w:position w:val="0"/>
      <w:sz w:val="20"/>
      <w:sz w:val="20"/>
      <w:szCs w:val="20"/>
      <w:u w:val="none" w:color="000000"/>
      <w:vertAlign w:val="baseline"/>
    </w:rPr>
  </w:style>
  <w:style w:type="character" w:styleId="ListLabel231">
    <w:name w:val="ListLabel 231"/>
    <w:qFormat/>
    <w:rPr>
      <w:rFonts w:ascii="Cambria" w:hAnsi="Cambria"/>
      <w:b/>
      <w:bCs/>
      <w:i w:val="false"/>
      <w:strike w:val="false"/>
      <w:dstrike w:val="false"/>
      <w:color w:val="000000"/>
      <w:position w:val="0"/>
      <w:sz w:val="22"/>
      <w:sz w:val="22"/>
      <w:szCs w:val="20"/>
      <w:u w:val="none" w:color="000000"/>
      <w:vertAlign w:val="baseline"/>
    </w:rPr>
  </w:style>
  <w:style w:type="character" w:styleId="ListLabel232">
    <w:name w:val="ListLabel 23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3">
    <w:name w:val="ListLabel 23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4">
    <w:name w:val="ListLabel 23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5">
    <w:name w:val="ListLabel 23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6">
    <w:name w:val="ListLabel 23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7">
    <w:name w:val="ListLabel 23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8">
    <w:name w:val="ListLabel 23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39">
    <w:name w:val="ListLabel 239"/>
    <w:qFormat/>
    <w:rPr>
      <w:rFonts w:ascii="Cambria" w:hAnsi="Cambria" w:cs="Symbol"/>
    </w:rPr>
  </w:style>
  <w:style w:type="character" w:styleId="ListLabel240">
    <w:name w:val="ListLabel 240"/>
    <w:qFormat/>
    <w:rPr>
      <w:rFonts w:ascii="Cambria" w:hAnsi="Cambria"/>
      <w:color w:val="000000"/>
      <w:sz w:val="22"/>
    </w:rPr>
  </w:style>
  <w:style w:type="character" w:styleId="ListLabel241">
    <w:name w:val="ListLabel 241"/>
    <w:qFormat/>
    <w:rPr>
      <w:rFonts w:ascii="Cambria" w:hAnsi="Cambria" w:cs="Symbol"/>
      <w:sz w:val="22"/>
    </w:rPr>
  </w:style>
  <w:style w:type="character" w:styleId="ListLabel242">
    <w:name w:val="ListLabel 242"/>
    <w:qFormat/>
    <w:rPr>
      <w:rFonts w:ascii="Cambria" w:hAnsi="Cambria" w:cs="Symbol"/>
      <w:sz w:val="22"/>
    </w:rPr>
  </w:style>
  <w:style w:type="character" w:styleId="ListLabel243">
    <w:name w:val="ListLabel 243"/>
    <w:qFormat/>
    <w:rPr>
      <w:rFonts w:eastAsia="Cambria" w:cs="Cambria"/>
      <w:b/>
      <w:bCs/>
      <w:i w:val="false"/>
      <w:strike w:val="false"/>
      <w:dstrike w:val="false"/>
      <w:color w:val="000000"/>
      <w:position w:val="0"/>
      <w:sz w:val="20"/>
      <w:sz w:val="20"/>
      <w:szCs w:val="20"/>
      <w:u w:val="none" w:color="000000"/>
      <w:vertAlign w:val="baseline"/>
    </w:rPr>
  </w:style>
  <w:style w:type="character" w:styleId="ListLabel244">
    <w:name w:val="ListLabel 244"/>
    <w:qFormat/>
    <w:rPr>
      <w:rFonts w:ascii="Cambria" w:hAnsi="Cambria"/>
      <w:b/>
      <w:bCs/>
      <w:i w:val="false"/>
      <w:strike w:val="false"/>
      <w:dstrike w:val="false"/>
      <w:color w:val="000000"/>
      <w:position w:val="0"/>
      <w:sz w:val="22"/>
      <w:sz w:val="22"/>
      <w:szCs w:val="20"/>
      <w:u w:val="none" w:color="000000"/>
      <w:vertAlign w:val="baseline"/>
    </w:rPr>
  </w:style>
  <w:style w:type="character" w:styleId="ListLabel245">
    <w:name w:val="ListLabel 245"/>
    <w:qFormat/>
    <w:rPr>
      <w:rFonts w:ascii="Cambria" w:hAnsi="Cambria" w:eastAsia="Cambria" w:cs="Cambria"/>
      <w:b w:val="false"/>
      <w:i w:val="false"/>
      <w:strike w:val="false"/>
      <w:dstrike w:val="false"/>
      <w:color w:val="000000"/>
      <w:position w:val="0"/>
      <w:sz w:val="22"/>
      <w:sz w:val="22"/>
      <w:szCs w:val="20"/>
      <w:u w:val="none" w:color="000000"/>
      <w:vertAlign w:val="baseline"/>
    </w:rPr>
  </w:style>
  <w:style w:type="character" w:styleId="ListLabel246">
    <w:name w:val="ListLabel 24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47">
    <w:name w:val="ListLabel 24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48">
    <w:name w:val="ListLabel 24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49">
    <w:name w:val="ListLabel 24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50">
    <w:name w:val="ListLabel 25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51">
    <w:name w:val="ListLabel 25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52">
    <w:name w:val="ListLabel 252"/>
    <w:qFormat/>
    <w:rPr>
      <w:rFonts w:ascii="Cambria" w:hAnsi="Cambria" w:cs="Symbol"/>
      <w:b/>
      <w:sz w:val="22"/>
    </w:rPr>
  </w:style>
  <w:style w:type="character" w:styleId="ListLabel253">
    <w:name w:val="ListLabel 253"/>
    <w:qFormat/>
    <w:rPr>
      <w:rFonts w:cs="Symbol"/>
    </w:rPr>
  </w:style>
  <w:style w:type="character" w:styleId="ListLabel254">
    <w:name w:val="ListLabel 254"/>
    <w:qFormat/>
    <w:rPr>
      <w:rFonts w:ascii="Cambria" w:hAnsi="Cambria"/>
      <w:b/>
      <w:bCs/>
      <w:sz w:val="22"/>
    </w:rPr>
  </w:style>
  <w:style w:type="character" w:styleId="ListLabel255">
    <w:name w:val="ListLabel 255"/>
    <w:qFormat/>
    <w:rPr>
      <w:rFonts w:cs="Wingdings"/>
    </w:rPr>
  </w:style>
  <w:style w:type="character" w:styleId="ListLabel256">
    <w:name w:val="ListLabel 256"/>
    <w:qFormat/>
    <w:rPr>
      <w:rFonts w:cs="Symbol"/>
    </w:rPr>
  </w:style>
  <w:style w:type="character" w:styleId="ListLabel257">
    <w:name w:val="ListLabel 257"/>
    <w:qFormat/>
    <w:rPr>
      <w:rFonts w:cs="Courier New"/>
    </w:rPr>
  </w:style>
  <w:style w:type="character" w:styleId="ListLabel258">
    <w:name w:val="ListLabel 258"/>
    <w:qFormat/>
    <w:rPr>
      <w:rFonts w:cs="Wingdings"/>
    </w:rPr>
  </w:style>
  <w:style w:type="character" w:styleId="ListLabel259">
    <w:name w:val="ListLabel 259"/>
    <w:qFormat/>
    <w:rPr>
      <w:rFonts w:cs="Symbol"/>
    </w:rPr>
  </w:style>
  <w:style w:type="character" w:styleId="ListLabel260">
    <w:name w:val="ListLabel 260"/>
    <w:qFormat/>
    <w:rPr>
      <w:rFonts w:cs="Courier New"/>
    </w:rPr>
  </w:style>
  <w:style w:type="character" w:styleId="ListLabel261">
    <w:name w:val="ListLabel 261"/>
    <w:qFormat/>
    <w:rPr>
      <w:rFonts w:cs="Wingdings"/>
    </w:rPr>
  </w:style>
  <w:style w:type="character" w:styleId="ListLabel262">
    <w:name w:val="ListLabel 262"/>
    <w:qFormat/>
    <w:rPr>
      <w:rFonts w:ascii="Cambria" w:hAnsi="Cambria" w:cs="Symbol"/>
      <w:sz w:val="22"/>
    </w:rPr>
  </w:style>
  <w:style w:type="character" w:styleId="ListLabel263">
    <w:name w:val="ListLabel 26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64">
    <w:name w:val="ListLabel 26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65">
    <w:name w:val="ListLabel 26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66">
    <w:name w:val="ListLabel 266"/>
    <w:qFormat/>
    <w:rPr>
      <w:rFonts w:ascii="Cambria" w:hAnsi="Cambria" w:eastAsia="Cambria" w:cs="Cambria"/>
      <w:b w:val="false"/>
      <w:i w:val="false"/>
      <w:strike w:val="false"/>
      <w:dstrike w:val="false"/>
      <w:color w:val="000000"/>
      <w:position w:val="0"/>
      <w:sz w:val="22"/>
      <w:sz w:val="22"/>
      <w:szCs w:val="20"/>
      <w:u w:val="none" w:color="000000"/>
      <w:vertAlign w:val="baseline"/>
    </w:rPr>
  </w:style>
  <w:style w:type="character" w:styleId="ListLabel267">
    <w:name w:val="ListLabel 26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68">
    <w:name w:val="ListLabel 26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69">
    <w:name w:val="ListLabel 26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70">
    <w:name w:val="ListLabel 27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71">
    <w:name w:val="ListLabel 27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272">
    <w:name w:val="ListLabel 272"/>
    <w:qFormat/>
    <w:rPr>
      <w:rFonts w:ascii="Cambria" w:hAnsi="Cambria"/>
      <w:b w:val="false"/>
      <w:bCs/>
      <w:sz w:val="22"/>
    </w:rPr>
  </w:style>
  <w:style w:type="character" w:styleId="ListLabel273">
    <w:name w:val="ListLabel 273"/>
    <w:qFormat/>
    <w:rPr>
      <w:rFonts w:ascii="Cambria" w:hAnsi="Cambria"/>
      <w:b/>
      <w:bCs/>
      <w:sz w:val="22"/>
    </w:rPr>
  </w:style>
  <w:style w:type="character" w:styleId="ListLabel274">
    <w:name w:val="ListLabel 274"/>
    <w:qFormat/>
    <w:rPr>
      <w:rFonts w:ascii="Cambria" w:hAnsi="Cambria"/>
      <w:b/>
      <w:bCs/>
      <w:sz w:val="22"/>
    </w:rPr>
  </w:style>
  <w:style w:type="character" w:styleId="ListLabel275">
    <w:name w:val="ListLabel 275"/>
    <w:qFormat/>
    <w:rPr>
      <w:b w:val="false"/>
    </w:rPr>
  </w:style>
  <w:style w:type="character" w:styleId="ListLabel276">
    <w:name w:val="ListLabel 276"/>
    <w:qFormat/>
    <w:rPr>
      <w:rFonts w:ascii="Cambria" w:hAnsi="Cambria" w:cs="Symbol"/>
      <w:b/>
      <w:sz w:val="22"/>
    </w:rPr>
  </w:style>
  <w:style w:type="character" w:styleId="ListLabel277">
    <w:name w:val="ListLabel 277"/>
    <w:qFormat/>
    <w:rPr>
      <w:rFonts w:ascii="Cambria" w:hAnsi="Cambria" w:cs="Symbol"/>
      <w:sz w:val="22"/>
    </w:rPr>
  </w:style>
  <w:style w:type="character" w:styleId="ListLabel278">
    <w:name w:val="ListLabel 278"/>
    <w:qFormat/>
    <w:rPr>
      <w:rFonts w:ascii="Cambria" w:hAnsi="Cambria" w:cs="Symbol"/>
      <w:sz w:val="22"/>
    </w:rPr>
  </w:style>
  <w:style w:type="character" w:styleId="ListLabel279">
    <w:name w:val="ListLabel 279"/>
    <w:qFormat/>
    <w:rPr>
      <w:rFonts w:ascii="Cambria" w:hAnsi="Cambria" w:cs="Symbol"/>
      <w:b/>
      <w:sz w:val="22"/>
    </w:rPr>
  </w:style>
  <w:style w:type="character" w:styleId="ListLabel280">
    <w:name w:val="ListLabel 280"/>
    <w:qFormat/>
    <w:rPr>
      <w:rFonts w:ascii="Cambria" w:hAnsi="Cambria" w:cs="Symbol"/>
      <w:b w:val="false"/>
      <w:bCs w:val="false"/>
      <w:sz w:val="22"/>
    </w:rPr>
  </w:style>
  <w:style w:type="character" w:styleId="ListLabel281">
    <w:name w:val="ListLabel 281"/>
    <w:qFormat/>
    <w:rPr>
      <w:rFonts w:ascii="Cambria" w:hAnsi="Cambria"/>
      <w:sz w:val="22"/>
      <w:szCs w:val="22"/>
    </w:rPr>
  </w:style>
  <w:style w:type="character" w:styleId="ListLabel282">
    <w:name w:val="ListLabel 282"/>
    <w:qFormat/>
    <w:rPr>
      <w:rFonts w:ascii="Cambria" w:hAnsi="Cambria" w:cs="Symbol"/>
      <w:sz w:val="22"/>
    </w:rPr>
  </w:style>
  <w:style w:type="character" w:styleId="ListLabel283">
    <w:name w:val="ListLabel 283"/>
    <w:qFormat/>
    <w:rPr>
      <w:rFonts w:cs="Cambria"/>
      <w:sz w:val="22"/>
      <w:szCs w:val="22"/>
    </w:rPr>
  </w:style>
  <w:style w:type="character" w:styleId="ListLabel284">
    <w:name w:val="ListLabel 284"/>
    <w:qFormat/>
    <w:rPr>
      <w:rFonts w:cs="Cambria"/>
      <w:sz w:val="22"/>
      <w:szCs w:val="22"/>
    </w:rPr>
  </w:style>
  <w:style w:type="character" w:styleId="ListLabel285">
    <w:name w:val="ListLabel 285"/>
    <w:qFormat/>
    <w:rPr>
      <w:rFonts w:cs="Cambria"/>
      <w:sz w:val="22"/>
      <w:szCs w:val="22"/>
    </w:rPr>
  </w:style>
  <w:style w:type="character" w:styleId="ListLabel286">
    <w:name w:val="ListLabel 286"/>
    <w:qFormat/>
    <w:rPr>
      <w:rFonts w:cs="Cambria"/>
      <w:sz w:val="22"/>
      <w:szCs w:val="22"/>
    </w:rPr>
  </w:style>
  <w:style w:type="character" w:styleId="ListLabel287">
    <w:name w:val="ListLabel 287"/>
    <w:qFormat/>
    <w:rPr>
      <w:rFonts w:cs="Cambria"/>
      <w:sz w:val="22"/>
      <w:szCs w:val="22"/>
    </w:rPr>
  </w:style>
  <w:style w:type="character" w:styleId="ListLabel288">
    <w:name w:val="ListLabel 288"/>
    <w:qFormat/>
    <w:rPr>
      <w:rFonts w:cs="Cambria"/>
      <w:sz w:val="22"/>
      <w:szCs w:val="22"/>
    </w:rPr>
  </w:style>
  <w:style w:type="character" w:styleId="ListLabel289">
    <w:name w:val="ListLabel 289"/>
    <w:qFormat/>
    <w:rPr>
      <w:rFonts w:cs="Cambria"/>
      <w:color w:val="000000"/>
      <w:sz w:val="22"/>
      <w:szCs w:val="22"/>
    </w:rPr>
  </w:style>
  <w:style w:type="character" w:styleId="ListLabel290">
    <w:name w:val="ListLabel 290"/>
    <w:qFormat/>
    <w:rPr>
      <w:rFonts w:cs="Cambria"/>
      <w:color w:val="000000"/>
      <w:sz w:val="22"/>
      <w:szCs w:val="22"/>
    </w:rPr>
  </w:style>
  <w:style w:type="character" w:styleId="ListLabel291">
    <w:name w:val="ListLabel 291"/>
    <w:qFormat/>
    <w:rPr>
      <w:b w:val="false"/>
      <w:bCs w:val="false"/>
    </w:rPr>
  </w:style>
  <w:style w:type="character" w:styleId="ListLabel292">
    <w:name w:val="ListLabel 292"/>
    <w:qFormat/>
    <w:rPr>
      <w:rFonts w:eastAsia="Times New Roman" w:cs="Cambria"/>
      <w:bCs/>
      <w:color w:val="000000"/>
      <w:sz w:val="22"/>
      <w:szCs w:val="22"/>
    </w:rPr>
  </w:style>
  <w:style w:type="character" w:styleId="ListLabel293">
    <w:name w:val="ListLabel 293"/>
    <w:qFormat/>
    <w:rPr>
      <w:rFonts w:eastAsia="Cambria" w:cs="Cambria"/>
      <w:b/>
      <w:bCs/>
      <w:i w:val="false"/>
      <w:strike w:val="false"/>
      <w:dstrike w:val="false"/>
      <w:color w:val="000000"/>
      <w:position w:val="0"/>
      <w:sz w:val="20"/>
      <w:sz w:val="20"/>
      <w:szCs w:val="20"/>
      <w:u w:val="none" w:color="000000"/>
      <w:vertAlign w:val="baseline"/>
    </w:rPr>
  </w:style>
  <w:style w:type="character" w:styleId="ListLabel294">
    <w:name w:val="ListLabel 294"/>
    <w:qFormat/>
    <w:rPr>
      <w:rFonts w:eastAsia="Cambria" w:cs="Cambria"/>
      <w:b/>
      <w:bCs/>
      <w:i w:val="false"/>
      <w:strike w:val="false"/>
      <w:dstrike w:val="false"/>
      <w:color w:val="000000"/>
      <w:position w:val="0"/>
      <w:sz w:val="20"/>
      <w:sz w:val="20"/>
      <w:szCs w:val="20"/>
      <w:u w:val="none" w:color="000000"/>
      <w:vertAlign w:val="baseline"/>
    </w:rPr>
  </w:style>
  <w:style w:type="character" w:styleId="ListLabel295">
    <w:name w:val="ListLabel 295"/>
    <w:qFormat/>
    <w:rPr>
      <w:rFonts w:cs="Cambria"/>
      <w:b w:val="false"/>
      <w:i w:val="false"/>
      <w:strike w:val="false"/>
      <w:dstrike w:val="false"/>
      <w:color w:val="000000"/>
      <w:position w:val="0"/>
      <w:sz w:val="18"/>
      <w:sz w:val="18"/>
      <w:szCs w:val="18"/>
      <w:u w:val="none" w:color="000000"/>
      <w:vertAlign w:val="baseline"/>
    </w:rPr>
  </w:style>
  <w:style w:type="character" w:styleId="ListLabel296">
    <w:name w:val="ListLabel 296"/>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97">
    <w:name w:val="ListLabel 297"/>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98">
    <w:name w:val="ListLabel 298"/>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299">
    <w:name w:val="ListLabel 299"/>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00">
    <w:name w:val="ListLabel 300"/>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01">
    <w:name w:val="ListLabel 301"/>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02">
    <w:name w:val="ListLabel 302"/>
    <w:qFormat/>
    <w:rPr>
      <w:rFonts w:cs="Cambria"/>
      <w:color w:val="000000"/>
      <w:sz w:val="22"/>
      <w:szCs w:val="22"/>
    </w:rPr>
  </w:style>
  <w:style w:type="character" w:styleId="ListLabel303">
    <w:name w:val="ListLabel 303"/>
    <w:qFormat/>
    <w:rPr>
      <w:rFonts w:cs="Cambria"/>
      <w:color w:val="000000"/>
      <w:sz w:val="22"/>
      <w:szCs w:val="22"/>
    </w:rPr>
  </w:style>
  <w:style w:type="character" w:styleId="ListLabel304">
    <w:name w:val="ListLabel 304"/>
    <w:qFormat/>
    <w:rPr>
      <w:highlight w:val="yellow"/>
    </w:rPr>
  </w:style>
  <w:style w:type="character" w:styleId="ListLabel305">
    <w:name w:val="ListLabel 305"/>
    <w:qFormat/>
    <w:rPr>
      <w:rFonts w:ascii="Cambria" w:hAnsi="Cambria" w:eastAsia="Times New Roman" w:cs="Cambria"/>
      <w:color w:val="000000"/>
      <w:sz w:val="22"/>
      <w:szCs w:val="22"/>
      <w:lang w:val="en-US"/>
    </w:rPr>
  </w:style>
  <w:style w:type="character" w:styleId="ListLabel306">
    <w:name w:val="ListLabel 306"/>
    <w:qFormat/>
    <w:rPr>
      <w:rFonts w:eastAsia="Cambria" w:cs="Cambria"/>
      <w:b/>
      <w:bCs/>
      <w:i w:val="false"/>
      <w:strike w:val="false"/>
      <w:dstrike w:val="false"/>
      <w:color w:val="000000"/>
      <w:position w:val="0"/>
      <w:sz w:val="20"/>
      <w:sz w:val="20"/>
      <w:szCs w:val="20"/>
      <w:u w:val="none" w:color="000000"/>
      <w:vertAlign w:val="baseline"/>
    </w:rPr>
  </w:style>
  <w:style w:type="character" w:styleId="ListLabel307">
    <w:name w:val="ListLabel 307"/>
    <w:qFormat/>
    <w:rPr>
      <w:rFonts w:ascii="Cambria" w:hAnsi="Cambria"/>
      <w:b/>
      <w:bCs/>
      <w:i w:val="false"/>
      <w:strike w:val="false"/>
      <w:dstrike w:val="false"/>
      <w:color w:val="000000"/>
      <w:position w:val="0"/>
      <w:sz w:val="22"/>
      <w:sz w:val="22"/>
      <w:szCs w:val="20"/>
      <w:u w:val="none" w:color="000000"/>
      <w:vertAlign w:val="baseline"/>
    </w:rPr>
  </w:style>
  <w:style w:type="character" w:styleId="ListLabel308">
    <w:name w:val="ListLabel 308"/>
    <w:qFormat/>
    <w:rPr>
      <w:rFonts w:eastAsia="Cambria" w:cs="Cambria"/>
      <w:b/>
      <w:bCs/>
      <w:i w:val="false"/>
      <w:strike w:val="false"/>
      <w:dstrike w:val="false"/>
      <w:color w:val="000000"/>
      <w:position w:val="0"/>
      <w:sz w:val="20"/>
      <w:sz w:val="20"/>
      <w:szCs w:val="20"/>
      <w:u w:val="none" w:color="000000"/>
      <w:vertAlign w:val="baseline"/>
    </w:rPr>
  </w:style>
  <w:style w:type="character" w:styleId="ListLabel309">
    <w:name w:val="ListLabel 309"/>
    <w:qFormat/>
    <w:rPr>
      <w:rFonts w:eastAsia="Cambria" w:cs="Cambria"/>
      <w:b/>
      <w:bCs/>
      <w:i w:val="false"/>
      <w:strike w:val="false"/>
      <w:dstrike w:val="false"/>
      <w:color w:val="000000"/>
      <w:position w:val="0"/>
      <w:sz w:val="20"/>
      <w:sz w:val="20"/>
      <w:szCs w:val="20"/>
      <w:u w:val="none" w:color="000000"/>
      <w:vertAlign w:val="baseline"/>
    </w:rPr>
  </w:style>
  <w:style w:type="character" w:styleId="ListLabel310">
    <w:name w:val="ListLabel 310"/>
    <w:qFormat/>
    <w:rPr>
      <w:rFonts w:eastAsia="Cambria" w:cs="Cambria"/>
      <w:b/>
      <w:bCs/>
      <w:i w:val="false"/>
      <w:strike w:val="false"/>
      <w:dstrike w:val="false"/>
      <w:color w:val="000000"/>
      <w:position w:val="0"/>
      <w:sz w:val="20"/>
      <w:sz w:val="20"/>
      <w:szCs w:val="20"/>
      <w:u w:val="none" w:color="000000"/>
      <w:vertAlign w:val="baseline"/>
    </w:rPr>
  </w:style>
  <w:style w:type="character" w:styleId="ListLabel311">
    <w:name w:val="ListLabel 311"/>
    <w:qFormat/>
    <w:rPr>
      <w:rFonts w:eastAsia="Cambria" w:cs="Cambria"/>
      <w:b/>
      <w:bCs/>
      <w:i w:val="false"/>
      <w:strike w:val="false"/>
      <w:dstrike w:val="false"/>
      <w:color w:val="000000"/>
      <w:position w:val="0"/>
      <w:sz w:val="20"/>
      <w:sz w:val="20"/>
      <w:szCs w:val="20"/>
      <w:u w:val="none" w:color="000000"/>
      <w:vertAlign w:val="baseline"/>
    </w:rPr>
  </w:style>
  <w:style w:type="character" w:styleId="ListLabel312">
    <w:name w:val="ListLabel 312"/>
    <w:qFormat/>
    <w:rPr>
      <w:rFonts w:eastAsia="Cambria" w:cs="Cambria"/>
      <w:b/>
      <w:bCs/>
      <w:i w:val="false"/>
      <w:strike w:val="false"/>
      <w:dstrike w:val="false"/>
      <w:color w:val="000000"/>
      <w:position w:val="0"/>
      <w:sz w:val="20"/>
      <w:sz w:val="20"/>
      <w:szCs w:val="20"/>
      <w:u w:val="none" w:color="000000"/>
      <w:vertAlign w:val="baseline"/>
    </w:rPr>
  </w:style>
  <w:style w:type="character" w:styleId="ListLabel313">
    <w:name w:val="ListLabel 313"/>
    <w:qFormat/>
    <w:rPr>
      <w:rFonts w:eastAsia="Cambria" w:cs="Cambria"/>
      <w:b/>
      <w:bCs/>
      <w:i w:val="false"/>
      <w:strike w:val="false"/>
      <w:dstrike w:val="false"/>
      <w:color w:val="000000"/>
      <w:position w:val="0"/>
      <w:sz w:val="20"/>
      <w:sz w:val="20"/>
      <w:szCs w:val="20"/>
      <w:u w:val="none" w:color="000000"/>
      <w:vertAlign w:val="baseline"/>
    </w:rPr>
  </w:style>
  <w:style w:type="character" w:styleId="ListLabel314">
    <w:name w:val="ListLabel 314"/>
    <w:qFormat/>
    <w:rPr>
      <w:rFonts w:eastAsia="Cambria" w:cs="Cambria"/>
      <w:b/>
      <w:bCs/>
      <w:i w:val="false"/>
      <w:strike w:val="false"/>
      <w:dstrike w:val="false"/>
      <w:color w:val="000000"/>
      <w:position w:val="0"/>
      <w:sz w:val="20"/>
      <w:sz w:val="20"/>
      <w:szCs w:val="20"/>
      <w:u w:val="none" w:color="000000"/>
      <w:vertAlign w:val="baseline"/>
    </w:rPr>
  </w:style>
  <w:style w:type="character" w:styleId="ListLabel315">
    <w:name w:val="ListLabel 315"/>
    <w:qFormat/>
    <w:rPr>
      <w:rFonts w:ascii="Cambria" w:hAnsi="Cambria" w:cs="Symbol"/>
      <w:sz w:val="22"/>
    </w:rPr>
  </w:style>
  <w:style w:type="character" w:styleId="ListLabel316">
    <w:name w:val="ListLabel 316"/>
    <w:qFormat/>
    <w:rPr>
      <w:rFonts w:ascii="Cambria" w:hAnsi="Cambria"/>
      <w:b w:val="false"/>
      <w:bCs/>
      <w:sz w:val="22"/>
    </w:rPr>
  </w:style>
  <w:style w:type="character" w:styleId="ListLabel317">
    <w:name w:val="ListLabel 317"/>
    <w:qFormat/>
    <w:rPr>
      <w:rFonts w:eastAsia="Cambria" w:cs="Cambria"/>
      <w:b/>
      <w:bCs/>
      <w:i w:val="false"/>
      <w:strike w:val="false"/>
      <w:dstrike w:val="false"/>
      <w:color w:val="000000"/>
      <w:position w:val="0"/>
      <w:sz w:val="20"/>
      <w:sz w:val="20"/>
      <w:szCs w:val="20"/>
      <w:u w:val="none" w:color="000000"/>
      <w:vertAlign w:val="baseline"/>
    </w:rPr>
  </w:style>
  <w:style w:type="character" w:styleId="ListLabel318">
    <w:name w:val="ListLabel 318"/>
    <w:qFormat/>
    <w:rPr>
      <w:rFonts w:ascii="Cambria" w:hAnsi="Cambria"/>
      <w:b/>
      <w:bCs/>
      <w:i w:val="false"/>
      <w:strike w:val="false"/>
      <w:dstrike w:val="false"/>
      <w:color w:val="000000"/>
      <w:position w:val="0"/>
      <w:sz w:val="22"/>
      <w:sz w:val="22"/>
      <w:szCs w:val="20"/>
      <w:u w:val="none" w:color="000000"/>
      <w:vertAlign w:val="baseline"/>
    </w:rPr>
  </w:style>
  <w:style w:type="character" w:styleId="ListLabel319">
    <w:name w:val="ListLabel 319"/>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20">
    <w:name w:val="ListLabel 32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21">
    <w:name w:val="ListLabel 32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22">
    <w:name w:val="ListLabel 32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23">
    <w:name w:val="ListLabel 32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24">
    <w:name w:val="ListLabel 32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25">
    <w:name w:val="ListLabel 32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26">
    <w:name w:val="ListLabel 326"/>
    <w:qFormat/>
    <w:rPr>
      <w:rFonts w:ascii="Cambria" w:hAnsi="Cambria" w:cs="Symbol"/>
    </w:rPr>
  </w:style>
  <w:style w:type="character" w:styleId="ListLabel327">
    <w:name w:val="ListLabel 327"/>
    <w:qFormat/>
    <w:rPr>
      <w:rFonts w:ascii="Cambria" w:hAnsi="Cambria"/>
      <w:color w:val="000000"/>
      <w:sz w:val="22"/>
    </w:rPr>
  </w:style>
  <w:style w:type="character" w:styleId="ListLabel328">
    <w:name w:val="ListLabel 328"/>
    <w:qFormat/>
    <w:rPr>
      <w:rFonts w:ascii="Cambria" w:hAnsi="Cambria" w:cs="Symbol"/>
      <w:sz w:val="22"/>
    </w:rPr>
  </w:style>
  <w:style w:type="character" w:styleId="ListLabel329">
    <w:name w:val="ListLabel 329"/>
    <w:qFormat/>
    <w:rPr>
      <w:rFonts w:ascii="Cambria" w:hAnsi="Cambria" w:cs="Symbol"/>
      <w:sz w:val="22"/>
    </w:rPr>
  </w:style>
  <w:style w:type="character" w:styleId="ListLabel330">
    <w:name w:val="ListLabel 330"/>
    <w:qFormat/>
    <w:rPr>
      <w:rFonts w:eastAsia="Cambria" w:cs="Cambria"/>
      <w:b/>
      <w:bCs/>
      <w:i w:val="false"/>
      <w:strike w:val="false"/>
      <w:dstrike w:val="false"/>
      <w:color w:val="000000"/>
      <w:position w:val="0"/>
      <w:sz w:val="20"/>
      <w:sz w:val="20"/>
      <w:szCs w:val="20"/>
      <w:u w:val="none" w:color="000000"/>
      <w:vertAlign w:val="baseline"/>
    </w:rPr>
  </w:style>
  <w:style w:type="character" w:styleId="ListLabel331">
    <w:name w:val="ListLabel 331"/>
    <w:qFormat/>
    <w:rPr>
      <w:rFonts w:ascii="Cambria" w:hAnsi="Cambria"/>
      <w:b/>
      <w:bCs/>
      <w:i w:val="false"/>
      <w:strike w:val="false"/>
      <w:dstrike w:val="false"/>
      <w:color w:val="000000"/>
      <w:position w:val="0"/>
      <w:sz w:val="22"/>
      <w:sz w:val="22"/>
      <w:szCs w:val="20"/>
      <w:u w:val="none" w:color="000000"/>
      <w:vertAlign w:val="baseline"/>
    </w:rPr>
  </w:style>
  <w:style w:type="character" w:styleId="ListLabel332">
    <w:name w:val="ListLabel 332"/>
    <w:qFormat/>
    <w:rPr>
      <w:rFonts w:ascii="Cambria" w:hAnsi="Cambria" w:eastAsia="Cambria" w:cs="Cambria"/>
      <w:b w:val="false"/>
      <w:i w:val="false"/>
      <w:strike w:val="false"/>
      <w:dstrike w:val="false"/>
      <w:color w:val="000000"/>
      <w:position w:val="0"/>
      <w:sz w:val="22"/>
      <w:sz w:val="22"/>
      <w:szCs w:val="20"/>
      <w:u w:val="none" w:color="000000"/>
      <w:vertAlign w:val="baseline"/>
    </w:rPr>
  </w:style>
  <w:style w:type="character" w:styleId="ListLabel333">
    <w:name w:val="ListLabel 333"/>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34">
    <w:name w:val="ListLabel 33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35">
    <w:name w:val="ListLabel 33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36">
    <w:name w:val="ListLabel 33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37">
    <w:name w:val="ListLabel 33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38">
    <w:name w:val="ListLabel 33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39">
    <w:name w:val="ListLabel 339"/>
    <w:qFormat/>
    <w:rPr>
      <w:rFonts w:ascii="Cambria" w:hAnsi="Cambria" w:cs="Symbol"/>
      <w:b/>
      <w:sz w:val="22"/>
    </w:rPr>
  </w:style>
  <w:style w:type="character" w:styleId="ListLabel340">
    <w:name w:val="ListLabel 340"/>
    <w:qFormat/>
    <w:rPr>
      <w:rFonts w:cs="Symbol"/>
    </w:rPr>
  </w:style>
  <w:style w:type="character" w:styleId="ListLabel341">
    <w:name w:val="ListLabel 341"/>
    <w:qFormat/>
    <w:rPr>
      <w:rFonts w:ascii="Cambria" w:hAnsi="Cambria"/>
      <w:b/>
      <w:bCs/>
      <w:sz w:val="22"/>
    </w:rPr>
  </w:style>
  <w:style w:type="character" w:styleId="ListLabel342">
    <w:name w:val="ListLabel 342"/>
    <w:qFormat/>
    <w:rPr>
      <w:rFonts w:cs="Wingdings"/>
    </w:rPr>
  </w:style>
  <w:style w:type="character" w:styleId="ListLabel343">
    <w:name w:val="ListLabel 343"/>
    <w:qFormat/>
    <w:rPr>
      <w:rFonts w:cs="Symbol"/>
    </w:rPr>
  </w:style>
  <w:style w:type="character" w:styleId="ListLabel344">
    <w:name w:val="ListLabel 344"/>
    <w:qFormat/>
    <w:rPr>
      <w:rFonts w:cs="Courier New"/>
    </w:rPr>
  </w:style>
  <w:style w:type="character" w:styleId="ListLabel345">
    <w:name w:val="ListLabel 345"/>
    <w:qFormat/>
    <w:rPr>
      <w:rFonts w:cs="Wingdings"/>
    </w:rPr>
  </w:style>
  <w:style w:type="character" w:styleId="ListLabel346">
    <w:name w:val="ListLabel 346"/>
    <w:qFormat/>
    <w:rPr>
      <w:rFonts w:cs="Symbol"/>
    </w:rPr>
  </w:style>
  <w:style w:type="character" w:styleId="ListLabel347">
    <w:name w:val="ListLabel 347"/>
    <w:qFormat/>
    <w:rPr>
      <w:rFonts w:cs="Courier New"/>
    </w:rPr>
  </w:style>
  <w:style w:type="character" w:styleId="ListLabel348">
    <w:name w:val="ListLabel 348"/>
    <w:qFormat/>
    <w:rPr>
      <w:rFonts w:cs="Wingdings"/>
    </w:rPr>
  </w:style>
  <w:style w:type="character" w:styleId="ListLabel349">
    <w:name w:val="ListLabel 349"/>
    <w:qFormat/>
    <w:rPr>
      <w:rFonts w:ascii="Cambria" w:hAnsi="Cambria" w:cs="Symbol"/>
      <w:sz w:val="22"/>
    </w:rPr>
  </w:style>
  <w:style w:type="character" w:styleId="ListLabel350">
    <w:name w:val="ListLabel 350"/>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1">
    <w:name w:val="ListLabel 351"/>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2">
    <w:name w:val="ListLabel 352"/>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3">
    <w:name w:val="ListLabel 353"/>
    <w:qFormat/>
    <w:rPr>
      <w:rFonts w:ascii="Cambria" w:hAnsi="Cambria" w:eastAsia="Cambria" w:cs="Cambria"/>
      <w:b w:val="false"/>
      <w:i w:val="false"/>
      <w:strike w:val="false"/>
      <w:dstrike w:val="false"/>
      <w:color w:val="000000"/>
      <w:position w:val="0"/>
      <w:sz w:val="22"/>
      <w:sz w:val="22"/>
      <w:szCs w:val="20"/>
      <w:u w:val="none" w:color="000000"/>
      <w:vertAlign w:val="baseline"/>
    </w:rPr>
  </w:style>
  <w:style w:type="character" w:styleId="ListLabel354">
    <w:name w:val="ListLabel 354"/>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5">
    <w:name w:val="ListLabel 355"/>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6">
    <w:name w:val="ListLabel 356"/>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7">
    <w:name w:val="ListLabel 357"/>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8">
    <w:name w:val="ListLabel 358"/>
    <w:qFormat/>
    <w:rPr>
      <w:rFonts w:eastAsia="Cambria" w:cs="Cambria"/>
      <w:b w:val="false"/>
      <w:i w:val="false"/>
      <w:strike w:val="false"/>
      <w:dstrike w:val="false"/>
      <w:color w:val="000000"/>
      <w:position w:val="0"/>
      <w:sz w:val="20"/>
      <w:sz w:val="20"/>
      <w:szCs w:val="20"/>
      <w:u w:val="none" w:color="000000"/>
      <w:vertAlign w:val="baseline"/>
    </w:rPr>
  </w:style>
  <w:style w:type="character" w:styleId="ListLabel359">
    <w:name w:val="ListLabel 359"/>
    <w:qFormat/>
    <w:rPr>
      <w:rFonts w:ascii="Cambria" w:hAnsi="Cambria"/>
      <w:b w:val="false"/>
      <w:bCs/>
      <w:sz w:val="22"/>
    </w:rPr>
  </w:style>
  <w:style w:type="character" w:styleId="ListLabel360">
    <w:name w:val="ListLabel 360"/>
    <w:qFormat/>
    <w:rPr>
      <w:rFonts w:ascii="Cambria" w:hAnsi="Cambria"/>
      <w:b/>
      <w:bCs/>
      <w:sz w:val="22"/>
    </w:rPr>
  </w:style>
  <w:style w:type="character" w:styleId="ListLabel361">
    <w:name w:val="ListLabel 361"/>
    <w:qFormat/>
    <w:rPr>
      <w:rFonts w:ascii="Cambria" w:hAnsi="Cambria"/>
      <w:b/>
      <w:bCs/>
      <w:sz w:val="22"/>
    </w:rPr>
  </w:style>
  <w:style w:type="character" w:styleId="ListLabel362">
    <w:name w:val="ListLabel 362"/>
    <w:qFormat/>
    <w:rPr>
      <w:b w:val="false"/>
    </w:rPr>
  </w:style>
  <w:style w:type="character" w:styleId="ListLabel363">
    <w:name w:val="ListLabel 363"/>
    <w:qFormat/>
    <w:rPr>
      <w:rFonts w:ascii="Cambria" w:hAnsi="Cambria" w:cs="Symbol"/>
      <w:b/>
      <w:sz w:val="22"/>
    </w:rPr>
  </w:style>
  <w:style w:type="character" w:styleId="ListLabel364">
    <w:name w:val="ListLabel 364"/>
    <w:qFormat/>
    <w:rPr>
      <w:rFonts w:ascii="Cambria" w:hAnsi="Cambria" w:cs="Symbol"/>
      <w:sz w:val="22"/>
    </w:rPr>
  </w:style>
  <w:style w:type="character" w:styleId="ListLabel365">
    <w:name w:val="ListLabel 365"/>
    <w:qFormat/>
    <w:rPr>
      <w:rFonts w:ascii="Cambria" w:hAnsi="Cambria" w:cs="Symbol"/>
      <w:sz w:val="22"/>
    </w:rPr>
  </w:style>
  <w:style w:type="character" w:styleId="ListLabel366">
    <w:name w:val="ListLabel 366"/>
    <w:qFormat/>
    <w:rPr>
      <w:rFonts w:ascii="Cambria" w:hAnsi="Cambria" w:cs="Symbol"/>
      <w:b/>
      <w:sz w:val="22"/>
    </w:rPr>
  </w:style>
  <w:style w:type="character" w:styleId="ListLabel367">
    <w:name w:val="ListLabel 367"/>
    <w:qFormat/>
    <w:rPr>
      <w:rFonts w:ascii="Cambria" w:hAnsi="Cambria" w:cs="Symbol"/>
      <w:b w:val="false"/>
      <w:bCs w:val="false"/>
      <w:sz w:val="22"/>
    </w:rPr>
  </w:style>
  <w:style w:type="character" w:styleId="ListLabel368">
    <w:name w:val="ListLabel 368"/>
    <w:qFormat/>
    <w:rPr>
      <w:rFonts w:ascii="Cambria" w:hAnsi="Cambria"/>
      <w:sz w:val="22"/>
      <w:szCs w:val="22"/>
    </w:rPr>
  </w:style>
  <w:style w:type="character" w:styleId="ListLabel369">
    <w:name w:val="ListLabel 369"/>
    <w:qFormat/>
    <w:rPr>
      <w:rFonts w:ascii="Cambria" w:hAnsi="Cambria" w:cs="Symbol"/>
      <w:sz w:val="22"/>
    </w:rPr>
  </w:style>
  <w:style w:type="character" w:styleId="ListLabel370">
    <w:name w:val="ListLabel 370"/>
    <w:qFormat/>
    <w:rPr>
      <w:rFonts w:cs="Cambria"/>
      <w:sz w:val="22"/>
      <w:szCs w:val="22"/>
    </w:rPr>
  </w:style>
  <w:style w:type="character" w:styleId="ListLabel371">
    <w:name w:val="ListLabel 371"/>
    <w:qFormat/>
    <w:rPr>
      <w:rFonts w:cs="Cambria"/>
      <w:sz w:val="22"/>
      <w:szCs w:val="22"/>
    </w:rPr>
  </w:style>
  <w:style w:type="character" w:styleId="ListLabel372">
    <w:name w:val="ListLabel 372"/>
    <w:qFormat/>
    <w:rPr>
      <w:rFonts w:cs="Cambria"/>
      <w:sz w:val="22"/>
      <w:szCs w:val="22"/>
    </w:rPr>
  </w:style>
  <w:style w:type="character" w:styleId="ListLabel373">
    <w:name w:val="ListLabel 373"/>
    <w:qFormat/>
    <w:rPr>
      <w:rFonts w:cs="Cambria"/>
      <w:sz w:val="22"/>
      <w:szCs w:val="22"/>
    </w:rPr>
  </w:style>
  <w:style w:type="character" w:styleId="ListLabel374">
    <w:name w:val="ListLabel 374"/>
    <w:qFormat/>
    <w:rPr>
      <w:rFonts w:cs="Cambria"/>
      <w:sz w:val="22"/>
      <w:szCs w:val="22"/>
    </w:rPr>
  </w:style>
  <w:style w:type="character" w:styleId="ListLabel375">
    <w:name w:val="ListLabel 375"/>
    <w:qFormat/>
    <w:rPr>
      <w:rFonts w:cs="Cambria"/>
      <w:sz w:val="22"/>
      <w:szCs w:val="22"/>
    </w:rPr>
  </w:style>
  <w:style w:type="character" w:styleId="ListLabel376">
    <w:name w:val="ListLabel 376"/>
    <w:qFormat/>
    <w:rPr>
      <w:rFonts w:cs="Cambria"/>
      <w:color w:val="000000"/>
      <w:sz w:val="22"/>
      <w:szCs w:val="22"/>
    </w:rPr>
  </w:style>
  <w:style w:type="character" w:styleId="ListLabel377">
    <w:name w:val="ListLabel 377"/>
    <w:qFormat/>
    <w:rPr>
      <w:rFonts w:cs="Cambria"/>
      <w:color w:val="000000"/>
      <w:sz w:val="22"/>
      <w:szCs w:val="22"/>
    </w:rPr>
  </w:style>
  <w:style w:type="character" w:styleId="ListLabel378">
    <w:name w:val="ListLabel 378"/>
    <w:qFormat/>
    <w:rPr>
      <w:b w:val="false"/>
      <w:bCs w:val="false"/>
    </w:rPr>
  </w:style>
  <w:style w:type="character" w:styleId="ListLabel379">
    <w:name w:val="ListLabel 379"/>
    <w:qFormat/>
    <w:rPr>
      <w:rFonts w:eastAsia="Times New Roman" w:cs="Cambria"/>
      <w:bCs/>
      <w:color w:val="000000"/>
      <w:sz w:val="22"/>
      <w:szCs w:val="22"/>
    </w:rPr>
  </w:style>
  <w:style w:type="character" w:styleId="ListLabel380">
    <w:name w:val="ListLabel 380"/>
    <w:qFormat/>
    <w:rPr>
      <w:rFonts w:eastAsia="Cambria" w:cs="Cambria"/>
      <w:b/>
      <w:bCs/>
      <w:i w:val="false"/>
      <w:strike w:val="false"/>
      <w:dstrike w:val="false"/>
      <w:color w:val="000000"/>
      <w:position w:val="0"/>
      <w:sz w:val="20"/>
      <w:sz w:val="20"/>
      <w:szCs w:val="20"/>
      <w:u w:val="none" w:color="000000"/>
      <w:vertAlign w:val="baseline"/>
    </w:rPr>
  </w:style>
  <w:style w:type="character" w:styleId="ListLabel381">
    <w:name w:val="ListLabel 381"/>
    <w:qFormat/>
    <w:rPr>
      <w:rFonts w:eastAsia="Cambria" w:cs="Cambria"/>
      <w:b/>
      <w:bCs/>
      <w:i w:val="false"/>
      <w:strike w:val="false"/>
      <w:dstrike w:val="false"/>
      <w:color w:val="000000"/>
      <w:position w:val="0"/>
      <w:sz w:val="20"/>
      <w:sz w:val="20"/>
      <w:szCs w:val="20"/>
      <w:u w:val="none" w:color="000000"/>
      <w:vertAlign w:val="baseline"/>
    </w:rPr>
  </w:style>
  <w:style w:type="character" w:styleId="ListLabel382">
    <w:name w:val="ListLabel 382"/>
    <w:qFormat/>
    <w:rPr>
      <w:rFonts w:cs="Cambria"/>
      <w:b w:val="false"/>
      <w:i w:val="false"/>
      <w:strike w:val="false"/>
      <w:dstrike w:val="false"/>
      <w:color w:val="000000"/>
      <w:position w:val="0"/>
      <w:sz w:val="18"/>
      <w:sz w:val="18"/>
      <w:szCs w:val="18"/>
      <w:u w:val="none" w:color="000000"/>
      <w:vertAlign w:val="baseline"/>
    </w:rPr>
  </w:style>
  <w:style w:type="character" w:styleId="ListLabel383">
    <w:name w:val="ListLabel 383"/>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84">
    <w:name w:val="ListLabel 384"/>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85">
    <w:name w:val="ListLabel 385"/>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86">
    <w:name w:val="ListLabel 386"/>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87">
    <w:name w:val="ListLabel 387"/>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88">
    <w:name w:val="ListLabel 388"/>
    <w:qFormat/>
    <w:rPr>
      <w:rFonts w:eastAsia="Cambria" w:cs="Cambria"/>
      <w:b w:val="false"/>
      <w:i w:val="false"/>
      <w:strike w:val="false"/>
      <w:dstrike w:val="false"/>
      <w:color w:val="000000"/>
      <w:position w:val="0"/>
      <w:sz w:val="18"/>
      <w:sz w:val="18"/>
      <w:szCs w:val="18"/>
      <w:u w:val="none" w:color="000000"/>
      <w:vertAlign w:val="baseline"/>
    </w:rPr>
  </w:style>
  <w:style w:type="character" w:styleId="ListLabel389">
    <w:name w:val="ListLabel 389"/>
    <w:qFormat/>
    <w:rPr>
      <w:rFonts w:cs="Cambria"/>
      <w:color w:val="000000"/>
      <w:sz w:val="22"/>
      <w:szCs w:val="22"/>
    </w:rPr>
  </w:style>
  <w:style w:type="character" w:styleId="ListLabel390">
    <w:name w:val="ListLabel 390"/>
    <w:qFormat/>
    <w:rPr>
      <w:rFonts w:cs="Cambria"/>
      <w:color w:val="000000"/>
      <w:sz w:val="22"/>
      <w:szCs w:val="22"/>
    </w:rPr>
  </w:style>
  <w:style w:type="character" w:styleId="ListLabel391">
    <w:name w:val="ListLabel 391"/>
    <w:qFormat/>
    <w:rPr>
      <w:rFonts w:ascii="Cambria" w:hAnsi="Cambria" w:eastAsia="Times New Roman" w:cs="Cambria"/>
      <w:color w:val="000000"/>
      <w:sz w:val="22"/>
      <w:szCs w:val="22"/>
      <w:lang w:val="en-US"/>
    </w:rPr>
  </w:style>
  <w:style w:type="paragraph" w:styleId="Nagwek">
    <w:name w:val="Nagłówek"/>
    <w:basedOn w:val="Normal"/>
    <w:next w:val="Tretekstu"/>
    <w:qFormat/>
    <w:pPr>
      <w:keepNext w:val="true"/>
      <w:spacing w:before="240" w:after="120"/>
    </w:pPr>
    <w:rPr>
      <w:rFonts w:ascii="Times New Roman" w:hAnsi="Times New Roman" w:eastAsia="Microsoft YaHei" w:cs="Arial"/>
      <w:sz w:val="28"/>
      <w:szCs w:val="28"/>
    </w:rPr>
  </w:style>
  <w:style w:type="paragraph" w:styleId="Tretekstu">
    <w:name w:val="Body Text"/>
    <w:basedOn w:val="Normal"/>
    <w:rsid w:val="00770df0"/>
    <w:pPr>
      <w:jc w:val="center"/>
    </w:pPr>
    <w:rPr>
      <w:rFonts w:ascii="Verdana" w:hAnsi="Verdana" w:eastAsia="Batang" w:cs="Verdana"/>
      <w:smallCaps/>
      <w:sz w:val="32"/>
      <w:szCs w:val="32"/>
    </w:rPr>
  </w:style>
  <w:style w:type="paragraph" w:styleId="Lista">
    <w:name w:val="List"/>
    <w:basedOn w:val="Normal"/>
    <w:rsid w:val="00770df0"/>
    <w:pPr>
      <w:ind w:left="283" w:hanging="283"/>
    </w:pPr>
    <w:rPr>
      <w:sz w:val="20"/>
      <w:szCs w:val="20"/>
    </w:rPr>
  </w:style>
  <w:style w:type="paragraph" w:styleId="Podpis">
    <w:name w:val="Caption"/>
    <w:basedOn w:val="Normal"/>
    <w:qFormat/>
    <w:pPr>
      <w:suppressLineNumbers/>
      <w:spacing w:before="120" w:after="120"/>
    </w:pPr>
    <w:rPr>
      <w:rFonts w:ascii="Times New Roman" w:hAnsi="Times New Roman" w:cs="Arial"/>
      <w:i/>
      <w:iCs/>
      <w:sz w:val="24"/>
      <w:szCs w:val="24"/>
    </w:rPr>
  </w:style>
  <w:style w:type="paragraph" w:styleId="Indeks" w:customStyle="1">
    <w:name w:val="Indeks"/>
    <w:basedOn w:val="Normal"/>
    <w:qFormat/>
    <w:rsid w:val="00770df0"/>
    <w:pPr>
      <w:suppressLineNumbers/>
    </w:pPr>
    <w:rPr>
      <w:rFonts w:cs="Arial"/>
    </w:rPr>
  </w:style>
  <w:style w:type="paragraph" w:styleId="Gwka">
    <w:name w:val="Header"/>
    <w:basedOn w:val="Normal"/>
    <w:next w:val="Tretekstu"/>
    <w:rsid w:val="00770df0"/>
    <w:pPr>
      <w:tabs>
        <w:tab w:val="clear" w:pos="709"/>
        <w:tab w:val="center" w:pos="4536" w:leader="none"/>
        <w:tab w:val="right" w:pos="9072" w:leader="none"/>
      </w:tabs>
    </w:pPr>
    <w:rPr/>
  </w:style>
  <w:style w:type="paragraph" w:styleId="Caption">
    <w:name w:val="caption"/>
    <w:basedOn w:val="Normal"/>
    <w:qFormat/>
    <w:rsid w:val="00770df0"/>
    <w:pPr>
      <w:suppressLineNumbers/>
      <w:spacing w:before="120" w:after="120"/>
    </w:pPr>
    <w:rPr>
      <w:rFonts w:cs="Arial"/>
      <w:i/>
      <w:iCs/>
    </w:rPr>
  </w:style>
  <w:style w:type="paragraph" w:styleId="Nagwek31" w:customStyle="1">
    <w:name w:val="Nagłówek3"/>
    <w:basedOn w:val="Normal"/>
    <w:next w:val="Tretekstu"/>
    <w:qFormat/>
    <w:rsid w:val="00770df0"/>
    <w:pPr>
      <w:keepNext w:val="true"/>
      <w:spacing w:before="240" w:after="120"/>
    </w:pPr>
    <w:rPr>
      <w:rFonts w:ascii="Liberation Sans" w:hAnsi="Liberation Sans" w:eastAsia="Microsoft YaHei" w:cs="Arial"/>
      <w:sz w:val="28"/>
      <w:szCs w:val="28"/>
    </w:rPr>
  </w:style>
  <w:style w:type="paragraph" w:styleId="Nagwek21" w:customStyle="1">
    <w:name w:val="Nagłówek2"/>
    <w:basedOn w:val="Normal"/>
    <w:next w:val="Tretekstu"/>
    <w:qFormat/>
    <w:rsid w:val="00770df0"/>
    <w:pPr>
      <w:keepNext w:val="true"/>
      <w:spacing w:before="240" w:after="120"/>
    </w:pPr>
    <w:rPr>
      <w:rFonts w:ascii="Liberation Sans" w:hAnsi="Liberation Sans" w:eastAsia="Microsoft YaHei" w:cs="Arial"/>
      <w:sz w:val="28"/>
      <w:szCs w:val="28"/>
    </w:rPr>
  </w:style>
  <w:style w:type="paragraph" w:styleId="Legenda2" w:customStyle="1">
    <w:name w:val="Legenda2"/>
    <w:basedOn w:val="Normal"/>
    <w:qFormat/>
    <w:rsid w:val="00770df0"/>
    <w:pPr>
      <w:suppressLineNumbers/>
      <w:spacing w:before="120" w:after="120"/>
    </w:pPr>
    <w:rPr>
      <w:rFonts w:cs="Arial"/>
      <w:i/>
      <w:iCs/>
    </w:rPr>
  </w:style>
  <w:style w:type="paragraph" w:styleId="Nagwek12" w:customStyle="1">
    <w:name w:val="Nagłówek1"/>
    <w:basedOn w:val="Normal"/>
    <w:next w:val="Tretekstu"/>
    <w:qFormat/>
    <w:rsid w:val="00770df0"/>
    <w:pPr>
      <w:jc w:val="center"/>
      <w:textAlignment w:val="baseline"/>
    </w:pPr>
    <w:rPr>
      <w:rFonts w:ascii="Garamond" w:hAnsi="Garamond" w:cs="Garamond"/>
      <w:b/>
      <w:bCs/>
    </w:rPr>
  </w:style>
  <w:style w:type="paragraph" w:styleId="Legenda1" w:customStyle="1">
    <w:name w:val="Legenda1"/>
    <w:basedOn w:val="Normal"/>
    <w:qFormat/>
    <w:rsid w:val="00770df0"/>
    <w:pPr>
      <w:suppressLineNumbers/>
      <w:spacing w:before="120" w:after="120"/>
    </w:pPr>
    <w:rPr>
      <w:rFonts w:cs="Arial"/>
      <w:i/>
      <w:iCs/>
    </w:rPr>
  </w:style>
  <w:style w:type="paragraph" w:styleId="Gwkaistopka" w:customStyle="1">
    <w:name w:val="Główka i stopka"/>
    <w:basedOn w:val="Normal"/>
    <w:qFormat/>
    <w:rsid w:val="00770df0"/>
    <w:pPr>
      <w:suppressLineNumbers/>
      <w:tabs>
        <w:tab w:val="clear" w:pos="709"/>
        <w:tab w:val="center" w:pos="4819" w:leader="none"/>
        <w:tab w:val="right" w:pos="9638" w:leader="none"/>
      </w:tabs>
    </w:pPr>
    <w:rPr/>
  </w:style>
  <w:style w:type="paragraph" w:styleId="Stopka">
    <w:name w:val="Footer"/>
    <w:basedOn w:val="Normal"/>
    <w:rsid w:val="00770df0"/>
    <w:pPr>
      <w:tabs>
        <w:tab w:val="clear" w:pos="709"/>
        <w:tab w:val="center" w:pos="4536" w:leader="none"/>
        <w:tab w:val="right" w:pos="9072" w:leader="none"/>
      </w:tabs>
    </w:pPr>
    <w:rPr/>
  </w:style>
  <w:style w:type="paragraph" w:styleId="BalloonText">
    <w:name w:val="Balloon Text"/>
    <w:basedOn w:val="Normal"/>
    <w:qFormat/>
    <w:rsid w:val="00770df0"/>
    <w:pPr/>
    <w:rPr>
      <w:rFonts w:ascii="Tahoma" w:hAnsi="Tahoma" w:cs="Tahoma"/>
      <w:sz w:val="16"/>
      <w:szCs w:val="16"/>
    </w:rPr>
  </w:style>
  <w:style w:type="paragraph" w:styleId="ZnakZnakZnakZnakZnakZnakZnakZnakZnak" w:customStyle="1">
    <w:name w:val="Znak Znak Znak Znak Znak Znak Znak Znak Znak"/>
    <w:basedOn w:val="Normal"/>
    <w:qFormat/>
    <w:rsid w:val="00770df0"/>
    <w:pPr/>
    <w:rPr/>
  </w:style>
  <w:style w:type="paragraph" w:styleId="NormalWeb">
    <w:name w:val="Normal (Web)"/>
    <w:basedOn w:val="Normal"/>
    <w:uiPriority w:val="99"/>
    <w:qFormat/>
    <w:rsid w:val="00770df0"/>
    <w:pPr>
      <w:spacing w:before="280" w:after="280"/>
    </w:pPr>
    <w:rPr/>
  </w:style>
  <w:style w:type="paragraph" w:styleId="ListParagraph">
    <w:name w:val="List Paragraph"/>
    <w:basedOn w:val="Normal"/>
    <w:qFormat/>
    <w:rsid w:val="00770df0"/>
    <w:pPr>
      <w:spacing w:lineRule="auto" w:line="276" w:before="0" w:after="200"/>
      <w:ind w:left="720" w:hanging="0"/>
    </w:pPr>
    <w:rPr>
      <w:rFonts w:ascii="Calibri" w:hAnsi="Calibri" w:cs="Calibri"/>
      <w:sz w:val="22"/>
      <w:szCs w:val="22"/>
    </w:rPr>
  </w:style>
  <w:style w:type="paragraph" w:styleId="Tekstpodstawowy31" w:customStyle="1">
    <w:name w:val="Tekst podstawowy 31"/>
    <w:basedOn w:val="Normal"/>
    <w:qFormat/>
    <w:rsid w:val="00770df0"/>
    <w:pPr>
      <w:spacing w:before="0" w:after="120"/>
    </w:pPr>
    <w:rPr>
      <w:rFonts w:ascii="Times New (W1)" w:hAnsi="Times New (W1)" w:cs="Times New (W1)"/>
      <w:sz w:val="16"/>
      <w:szCs w:val="16"/>
    </w:rPr>
  </w:style>
  <w:style w:type="paragraph" w:styleId="Pkt" w:customStyle="1">
    <w:name w:val="pkt"/>
    <w:basedOn w:val="Normal"/>
    <w:qFormat/>
    <w:rsid w:val="00770df0"/>
    <w:pPr>
      <w:spacing w:before="60" w:after="60"/>
      <w:ind w:left="851" w:hanging="295"/>
      <w:jc w:val="both"/>
    </w:pPr>
    <w:rPr>
      <w:rFonts w:eastAsia="Calibri"/>
    </w:rPr>
  </w:style>
  <w:style w:type="paragraph" w:styleId="Ust" w:customStyle="1">
    <w:name w:val="ust"/>
    <w:qFormat/>
    <w:rsid w:val="00770df0"/>
    <w:pPr>
      <w:widowControl/>
      <w:suppressAutoHyphens w:val="true"/>
      <w:bidi w:val="0"/>
      <w:spacing w:before="60" w:after="60"/>
      <w:ind w:left="426" w:hanging="284"/>
      <w:jc w:val="both"/>
    </w:pPr>
    <w:rPr>
      <w:rFonts w:ascii="Times New Roman" w:hAnsi="Times New Roman" w:eastAsia="Calibri" w:cs="Times New Roman"/>
      <w:color w:val="auto"/>
      <w:kern w:val="0"/>
      <w:sz w:val="24"/>
      <w:szCs w:val="24"/>
      <w:lang w:val="pl-PL" w:eastAsia="zh-CN" w:bidi="ar-SA"/>
    </w:rPr>
  </w:style>
  <w:style w:type="paragraph" w:styleId="Akapitzlist2" w:customStyle="1">
    <w:name w:val="Akapit z listą2"/>
    <w:basedOn w:val="Normal"/>
    <w:qFormat/>
    <w:rsid w:val="00770df0"/>
    <w:pPr>
      <w:ind w:left="720" w:hanging="0"/>
    </w:pPr>
    <w:rPr>
      <w:rFonts w:eastAsia="Calibri"/>
    </w:rPr>
  </w:style>
  <w:style w:type="paragraph" w:styleId="NoSpacing">
    <w:name w:val="No Spacing"/>
    <w:qFormat/>
    <w:rsid w:val="00770df0"/>
    <w:pPr>
      <w:widowControl/>
      <w:suppressAutoHyphens w:val="true"/>
      <w:bidi w:val="0"/>
      <w:jc w:val="left"/>
    </w:pPr>
    <w:rPr>
      <w:rFonts w:ascii="Times New Roman" w:hAnsi="Times New Roman" w:eastAsia="Calibri" w:cs="Times New Roman"/>
      <w:color w:val="auto"/>
      <w:kern w:val="0"/>
      <w:sz w:val="24"/>
      <w:szCs w:val="24"/>
      <w:lang w:val="pl-PL" w:eastAsia="zh-CN" w:bidi="ar-SA"/>
    </w:rPr>
  </w:style>
  <w:style w:type="paragraph" w:styleId="Tekstkomentarza1" w:customStyle="1">
    <w:name w:val="Tekst komentarza1"/>
    <w:basedOn w:val="Normal"/>
    <w:qFormat/>
    <w:rsid w:val="00770df0"/>
    <w:pPr/>
    <w:rPr>
      <w:sz w:val="20"/>
      <w:szCs w:val="20"/>
    </w:rPr>
  </w:style>
  <w:style w:type="paragraph" w:styleId="Annotationsubject">
    <w:name w:val="annotation subject"/>
    <w:basedOn w:val="Tekstkomentarza1"/>
    <w:next w:val="Tekstkomentarza1"/>
    <w:qFormat/>
    <w:rsid w:val="00770df0"/>
    <w:pPr/>
    <w:rPr>
      <w:b/>
      <w:bCs/>
    </w:rPr>
  </w:style>
  <w:style w:type="paragraph" w:styleId="Default" w:customStyle="1">
    <w:name w:val="Default"/>
    <w:qFormat/>
    <w:rsid w:val="00770df0"/>
    <w:pPr>
      <w:widowControl/>
      <w:suppressAutoHyphens w:val="true"/>
      <w:bidi w:val="0"/>
      <w:jc w:val="left"/>
    </w:pPr>
    <w:rPr>
      <w:rFonts w:ascii="Arial" w:hAnsi="Arial" w:eastAsia="Calibri" w:cs="Arial"/>
      <w:color w:val="000000"/>
      <w:kern w:val="0"/>
      <w:sz w:val="24"/>
      <w:szCs w:val="24"/>
      <w:lang w:val="pl-PL" w:eastAsia="zh-CN" w:bidi="ar-SA"/>
    </w:rPr>
  </w:style>
  <w:style w:type="paragraph" w:styleId="Spistreci2">
    <w:name w:val="TOC 2"/>
    <w:basedOn w:val="Normal"/>
    <w:next w:val="Normal"/>
    <w:rsid w:val="00770df0"/>
    <w:pPr>
      <w:tabs>
        <w:tab w:val="clear" w:pos="709"/>
        <w:tab w:val="left" w:pos="0" w:leader="none"/>
        <w:tab w:val="right" w:pos="8789" w:leader="dot"/>
      </w:tabs>
      <w:snapToGrid w:val="false"/>
      <w:spacing w:lineRule="auto" w:line="252" w:before="0" w:after="96"/>
      <w:ind w:left="1134" w:hanging="1134"/>
      <w:jc w:val="both"/>
    </w:pPr>
    <w:rPr>
      <w:rFonts w:ascii="Calibri" w:hAnsi="Calibri" w:cs="Calibri"/>
      <w:sz w:val="20"/>
      <w:szCs w:val="22"/>
      <w:lang w:bidi="en-US"/>
    </w:rPr>
  </w:style>
  <w:style w:type="paragraph" w:styleId="Tekstpodstawowywcity21" w:customStyle="1">
    <w:name w:val="Tekst podstawowy wcięty 21"/>
    <w:basedOn w:val="Normal"/>
    <w:qFormat/>
    <w:rsid w:val="00770df0"/>
    <w:pPr>
      <w:spacing w:lineRule="auto" w:line="360"/>
      <w:ind w:left="360" w:hanging="0"/>
      <w:jc w:val="both"/>
    </w:pPr>
    <w:rPr>
      <w:szCs w:val="20"/>
    </w:rPr>
  </w:style>
  <w:style w:type="paragraph" w:styleId="Tekstpodstawowy21" w:customStyle="1">
    <w:name w:val="Tekst podstawowy 21"/>
    <w:basedOn w:val="Normal"/>
    <w:qFormat/>
    <w:rsid w:val="00770df0"/>
    <w:pPr>
      <w:spacing w:lineRule="auto" w:line="480" w:before="0" w:after="120"/>
    </w:pPr>
    <w:rPr/>
  </w:style>
  <w:style w:type="paragraph" w:styleId="Tekstpodstawowywcity31" w:customStyle="1">
    <w:name w:val="Tekst podstawowy wcięty 31"/>
    <w:basedOn w:val="Normal"/>
    <w:qFormat/>
    <w:rsid w:val="00770df0"/>
    <w:pPr>
      <w:spacing w:before="0" w:after="120"/>
      <w:ind w:left="283" w:hanging="0"/>
    </w:pPr>
    <w:rPr>
      <w:sz w:val="16"/>
      <w:szCs w:val="16"/>
    </w:rPr>
  </w:style>
  <w:style w:type="paragraph" w:styleId="Wcicietrecitekstu">
    <w:name w:val="Body Text Indent"/>
    <w:basedOn w:val="Normal"/>
    <w:rsid w:val="00770df0"/>
    <w:pPr>
      <w:ind w:left="360" w:hanging="0"/>
    </w:pPr>
    <w:rPr>
      <w:sz w:val="28"/>
      <w:szCs w:val="20"/>
    </w:rPr>
  </w:style>
  <w:style w:type="paragraph" w:styleId="Tekstpodstawowywcity22" w:customStyle="1">
    <w:name w:val="Tekst podstawowy wcięty 22"/>
    <w:basedOn w:val="Normal"/>
    <w:qFormat/>
    <w:rsid w:val="00770df0"/>
    <w:pPr>
      <w:ind w:left="360" w:hanging="0"/>
      <w:jc w:val="both"/>
    </w:pPr>
    <w:rPr>
      <w:szCs w:val="20"/>
    </w:rPr>
  </w:style>
  <w:style w:type="paragraph" w:styleId="Podtytu">
    <w:name w:val="Subtitle"/>
    <w:basedOn w:val="Normal"/>
    <w:next w:val="Tretekstu"/>
    <w:qFormat/>
    <w:rsid w:val="00770df0"/>
    <w:pPr>
      <w:jc w:val="center"/>
    </w:pPr>
    <w:rPr>
      <w:b/>
      <w:sz w:val="26"/>
      <w:szCs w:val="20"/>
    </w:rPr>
  </w:style>
  <w:style w:type="paragraph" w:styleId="ProPublico1" w:customStyle="1">
    <w:name w:val="ProPublico1"/>
    <w:basedOn w:val="Normal"/>
    <w:qFormat/>
    <w:rsid w:val="00770df0"/>
    <w:pPr>
      <w:spacing w:lineRule="auto" w:line="360"/>
      <w:jc w:val="both"/>
      <w:outlineLvl w:val="0"/>
    </w:pPr>
    <w:rPr>
      <w:rFonts w:ascii="Arial" w:hAnsi="Arial" w:cs="Arial"/>
      <w:b/>
      <w:sz w:val="22"/>
      <w:szCs w:val="20"/>
      <w:lang w:eastAsia="pl-PL"/>
    </w:rPr>
  </w:style>
  <w:style w:type="paragraph" w:styleId="Tekstpodstawowy22" w:customStyle="1">
    <w:name w:val="Tekst podstawowy 22"/>
    <w:basedOn w:val="Normal"/>
    <w:qFormat/>
    <w:rsid w:val="00770df0"/>
    <w:pPr>
      <w:widowControl w:val="false"/>
      <w:jc w:val="both"/>
    </w:pPr>
    <w:rPr>
      <w:rFonts w:ascii="Arial" w:hAnsi="Arial" w:cs="Arial"/>
      <w:sz w:val="22"/>
      <w:szCs w:val="20"/>
    </w:rPr>
  </w:style>
  <w:style w:type="paragraph" w:styleId="Tekstblokowy1" w:customStyle="1">
    <w:name w:val="Tekst blokowy1"/>
    <w:basedOn w:val="Normal"/>
    <w:qFormat/>
    <w:rsid w:val="00770df0"/>
    <w:pPr>
      <w:ind w:left="308" w:right="758" w:hanging="0"/>
      <w:textAlignment w:val="baseline"/>
    </w:pPr>
    <w:rPr>
      <w:sz w:val="22"/>
      <w:szCs w:val="20"/>
    </w:rPr>
  </w:style>
  <w:style w:type="paragraph" w:styleId="Pkt1" w:customStyle="1">
    <w:name w:val="pkt1"/>
    <w:basedOn w:val="Pkt"/>
    <w:qFormat/>
    <w:rsid w:val="00770df0"/>
    <w:pPr>
      <w:ind w:left="850" w:hanging="425"/>
    </w:pPr>
    <w:rPr>
      <w:rFonts w:eastAsia="Times New Roman"/>
      <w:szCs w:val="20"/>
    </w:rPr>
  </w:style>
  <w:style w:type="paragraph" w:styleId="FR3" w:customStyle="1">
    <w:name w:val="FR3"/>
    <w:qFormat/>
    <w:rsid w:val="00770df0"/>
    <w:pPr>
      <w:widowControl w:val="false"/>
      <w:suppressAutoHyphens w:val="true"/>
      <w:bidi w:val="0"/>
      <w:jc w:val="left"/>
    </w:pPr>
    <w:rPr>
      <w:rFonts w:ascii="Arial" w:hAnsi="Arial" w:eastAsia="Times New Roman" w:cs="Arial"/>
      <w:b/>
      <w:bCs/>
      <w:color w:val="auto"/>
      <w:kern w:val="0"/>
      <w:sz w:val="12"/>
      <w:szCs w:val="12"/>
      <w:lang w:val="pl-PL" w:eastAsia="zh-CN" w:bidi="ar-SA"/>
    </w:rPr>
  </w:style>
  <w:style w:type="paragraph" w:styleId="Spistreci1">
    <w:name w:val="TOC 1"/>
    <w:basedOn w:val="Normal"/>
    <w:next w:val="Normal"/>
    <w:rsid w:val="00770df0"/>
    <w:pPr>
      <w:tabs>
        <w:tab w:val="clear" w:pos="709"/>
        <w:tab w:val="right" w:pos="9062" w:leader="underscore"/>
      </w:tabs>
      <w:spacing w:before="120" w:after="0"/>
      <w:jc w:val="center"/>
    </w:pPr>
    <w:rPr>
      <w:b/>
      <w:bCs/>
      <w:i/>
      <w:iCs/>
    </w:rPr>
  </w:style>
  <w:style w:type="paragraph" w:styleId="Przypisdolny">
    <w:name w:val="Footnote Text"/>
    <w:basedOn w:val="Normal"/>
    <w:rsid w:val="00770df0"/>
    <w:pPr/>
    <w:rPr>
      <w:sz w:val="20"/>
      <w:szCs w:val="20"/>
    </w:rPr>
  </w:style>
  <w:style w:type="paragraph" w:styleId="Nagwekstrony" w:customStyle="1">
    <w:name w:val="Nag?—wek strony"/>
    <w:basedOn w:val="Normal"/>
    <w:qFormat/>
    <w:rsid w:val="00770df0"/>
    <w:pPr>
      <w:tabs>
        <w:tab w:val="clear" w:pos="709"/>
        <w:tab w:val="center" w:pos="4153" w:leader="none"/>
        <w:tab w:val="right" w:pos="8306" w:leader="none"/>
      </w:tabs>
    </w:pPr>
    <w:rPr>
      <w:sz w:val="20"/>
      <w:szCs w:val="20"/>
      <w:lang w:val="en-GB"/>
    </w:rPr>
  </w:style>
  <w:style w:type="paragraph" w:styleId="Tabulka" w:customStyle="1">
    <w:name w:val="tabulka"/>
    <w:basedOn w:val="Normal"/>
    <w:qFormat/>
    <w:rsid w:val="00770df0"/>
    <w:pPr>
      <w:widowControl w:val="false"/>
      <w:spacing w:lineRule="exact" w:line="240" w:before="120" w:after="0"/>
      <w:jc w:val="center"/>
    </w:pPr>
    <w:rPr>
      <w:rFonts w:ascii="Arial" w:hAnsi="Arial" w:cs="Arial"/>
      <w:sz w:val="20"/>
      <w:szCs w:val="20"/>
      <w:lang w:val="cs-CZ"/>
    </w:rPr>
  </w:style>
  <w:style w:type="paragraph" w:styleId="Znak" w:customStyle="1">
    <w:name w:val="Znak"/>
    <w:basedOn w:val="Normal"/>
    <w:qFormat/>
    <w:rsid w:val="00770df0"/>
    <w:pPr/>
    <w:rPr/>
  </w:style>
  <w:style w:type="paragraph" w:styleId="Style31" w:customStyle="1">
    <w:name w:val="Style3"/>
    <w:basedOn w:val="Normal"/>
    <w:qFormat/>
    <w:rsid w:val="00770df0"/>
    <w:pPr>
      <w:widowControl w:val="false"/>
      <w:spacing w:lineRule="exact" w:line="341"/>
    </w:pPr>
    <w:rPr>
      <w:rFonts w:ascii="Georgia" w:hAnsi="Georgia" w:cs="Georgia"/>
    </w:rPr>
  </w:style>
  <w:style w:type="paragraph" w:styleId="Standard" w:customStyle="1">
    <w:name w:val="Standard"/>
    <w:qFormat/>
    <w:rsid w:val="00770df0"/>
    <w:pPr>
      <w:widowControl w:val="false"/>
      <w:suppressAutoHyphens w:val="true"/>
      <w:bidi w:val="0"/>
      <w:jc w:val="left"/>
    </w:pPr>
    <w:rPr>
      <w:rFonts w:ascii="Times New Roman" w:hAnsi="Times New Roman" w:eastAsia="Times New Roman" w:cs="Times New Roman"/>
      <w:color w:val="auto"/>
      <w:kern w:val="0"/>
      <w:sz w:val="24"/>
      <w:szCs w:val="24"/>
      <w:lang w:val="pl-PL" w:eastAsia="zh-CN" w:bidi="ar-SA"/>
    </w:rPr>
  </w:style>
  <w:style w:type="paragraph" w:styleId="Zawartotabeli" w:customStyle="1">
    <w:name w:val="Zawartość tabeli"/>
    <w:basedOn w:val="Normal"/>
    <w:qFormat/>
    <w:rsid w:val="00770df0"/>
    <w:pPr>
      <w:widowControl w:val="false"/>
      <w:suppressLineNumbers/>
    </w:pPr>
    <w:rPr>
      <w:rFonts w:eastAsia="Arial Unicode MS"/>
      <w:kern w:val="2"/>
    </w:rPr>
  </w:style>
  <w:style w:type="paragraph" w:styleId="Wcicienormalne1" w:customStyle="1">
    <w:name w:val="Wcięcie normalne1"/>
    <w:basedOn w:val="Normal"/>
    <w:qFormat/>
    <w:rsid w:val="00770df0"/>
    <w:pPr>
      <w:ind w:left="708" w:hanging="0"/>
    </w:pPr>
    <w:rPr>
      <w:rFonts w:ascii="Arial" w:hAnsi="Arial" w:cs="Arial"/>
      <w:sz w:val="20"/>
      <w:szCs w:val="20"/>
      <w:lang w:val="en-GB"/>
    </w:rPr>
  </w:style>
  <w:style w:type="paragraph" w:styleId="Normaltableau" w:customStyle="1">
    <w:name w:val="normal_tableau"/>
    <w:basedOn w:val="Normal"/>
    <w:qFormat/>
    <w:rsid w:val="00770df0"/>
    <w:pPr>
      <w:spacing w:before="120" w:after="120"/>
      <w:jc w:val="both"/>
    </w:pPr>
    <w:rPr>
      <w:rFonts w:ascii="Optima" w:hAnsi="Optima" w:cs="Optima"/>
      <w:sz w:val="22"/>
      <w:szCs w:val="20"/>
      <w:lang w:val="en-GB"/>
    </w:rPr>
  </w:style>
  <w:style w:type="paragraph" w:styleId="Zwykytekst1" w:customStyle="1">
    <w:name w:val="Zwykły tekst1"/>
    <w:basedOn w:val="Normal"/>
    <w:qFormat/>
    <w:rsid w:val="00770df0"/>
    <w:pPr/>
    <w:rPr>
      <w:rFonts w:ascii="Garamond" w:hAnsi="Garamond" w:eastAsia="Calibri" w:cs="Garamond"/>
      <w:szCs w:val="21"/>
    </w:rPr>
  </w:style>
  <w:style w:type="paragraph" w:styleId="Listapunktowana51" w:customStyle="1">
    <w:name w:val="Lista punktowana 51"/>
    <w:basedOn w:val="Normal"/>
    <w:qFormat/>
    <w:rsid w:val="00770df0"/>
    <w:pPr>
      <w:spacing w:before="0" w:after="0"/>
      <w:ind w:left="1415" w:hanging="283"/>
      <w:contextualSpacing/>
    </w:pPr>
    <w:rPr>
      <w:sz w:val="28"/>
      <w:szCs w:val="20"/>
    </w:rPr>
  </w:style>
  <w:style w:type="paragraph" w:styleId="Style41" w:customStyle="1">
    <w:name w:val="Style4"/>
    <w:basedOn w:val="Normal"/>
    <w:qFormat/>
    <w:rsid w:val="00770df0"/>
    <w:pPr>
      <w:widowControl w:val="false"/>
      <w:spacing w:lineRule="exact" w:line="398"/>
    </w:pPr>
    <w:rPr>
      <w:rFonts w:ascii="Arial Unicode MS" w:hAnsi="Arial Unicode MS" w:eastAsia="Arial Unicode MS" w:cs="Arial Unicode MS"/>
      <w:kern w:val="2"/>
      <w:lang w:bidi="hi-IN"/>
    </w:rPr>
  </w:style>
  <w:style w:type="paragraph" w:styleId="Style5" w:customStyle="1">
    <w:name w:val="Style5"/>
    <w:basedOn w:val="Normal"/>
    <w:qFormat/>
    <w:rsid w:val="00770df0"/>
    <w:pPr>
      <w:widowControl w:val="false"/>
      <w:spacing w:lineRule="exact" w:line="195"/>
      <w:jc w:val="both"/>
    </w:pPr>
    <w:rPr>
      <w:rFonts w:ascii="Arial Unicode MS" w:hAnsi="Arial Unicode MS" w:eastAsia="Arial Unicode MS" w:cs="Arial Unicode MS"/>
      <w:kern w:val="2"/>
      <w:lang w:bidi="hi-IN"/>
    </w:rPr>
  </w:style>
  <w:style w:type="paragraph" w:styleId="Teksttreci1" w:customStyle="1">
    <w:name w:val="Tekst treści"/>
    <w:basedOn w:val="Normal"/>
    <w:qFormat/>
    <w:rsid w:val="00770df0"/>
    <w:pPr>
      <w:widowControl w:val="false"/>
      <w:shd w:val="clear" w:color="auto" w:fill="FFFFFF"/>
      <w:spacing w:lineRule="exact" w:line="274"/>
      <w:ind w:hanging="1460"/>
      <w:jc w:val="both"/>
    </w:pPr>
    <w:rPr>
      <w:sz w:val="21"/>
      <w:szCs w:val="21"/>
    </w:rPr>
  </w:style>
  <w:style w:type="paragraph" w:styleId="Teksttreci31" w:customStyle="1">
    <w:name w:val="Tekst treści (3)"/>
    <w:basedOn w:val="Normal"/>
    <w:qFormat/>
    <w:rsid w:val="00770df0"/>
    <w:pPr>
      <w:widowControl w:val="false"/>
      <w:shd w:val="clear" w:color="auto" w:fill="FFFFFF"/>
      <w:spacing w:lineRule="exact" w:line="434" w:before="300" w:after="0"/>
      <w:ind w:hanging="380"/>
      <w:jc w:val="both"/>
    </w:pPr>
    <w:rPr>
      <w:rFonts w:ascii="Arial Unicode MS" w:hAnsi="Arial Unicode MS" w:eastAsia="Arial Unicode MS" w:cs="Arial Unicode MS"/>
      <w:b/>
      <w:bCs/>
      <w:sz w:val="22"/>
      <w:szCs w:val="22"/>
    </w:rPr>
  </w:style>
  <w:style w:type="paragraph" w:styleId="Teksttreci101" w:customStyle="1">
    <w:name w:val="Tekst treści (10)"/>
    <w:basedOn w:val="Normal"/>
    <w:qFormat/>
    <w:rsid w:val="00770df0"/>
    <w:pPr>
      <w:widowControl w:val="false"/>
      <w:shd w:val="clear" w:color="auto" w:fill="FFFFFF"/>
      <w:spacing w:before="60" w:after="360"/>
      <w:ind w:hanging="440"/>
    </w:pPr>
    <w:rPr>
      <w:rFonts w:ascii="Calibri" w:hAnsi="Calibri" w:eastAsia="Calibri" w:cs="Calibri"/>
      <w:b/>
      <w:bCs/>
      <w:sz w:val="20"/>
      <w:szCs w:val="20"/>
    </w:rPr>
  </w:style>
  <w:style w:type="paragraph" w:styleId="Nagwek72" w:customStyle="1">
    <w:name w:val="Nagłówek #7"/>
    <w:basedOn w:val="Normal"/>
    <w:qFormat/>
    <w:rsid w:val="00770df0"/>
    <w:pPr>
      <w:widowControl w:val="false"/>
      <w:shd w:val="clear" w:color="auto" w:fill="FFFFFF"/>
      <w:spacing w:lineRule="exact" w:line="293" w:before="240" w:after="0"/>
      <w:jc w:val="both"/>
      <w:outlineLvl w:val="6"/>
    </w:pPr>
    <w:rPr>
      <w:rFonts w:ascii="Arial Unicode MS" w:hAnsi="Arial Unicode MS" w:eastAsia="Arial Unicode MS" w:cs="Arial Unicode MS"/>
      <w:b/>
      <w:bCs/>
      <w:sz w:val="22"/>
      <w:szCs w:val="22"/>
    </w:rPr>
  </w:style>
  <w:style w:type="paragraph" w:styleId="Nagwek111" w:customStyle="1">
    <w:name w:val="Nagłówek #11"/>
    <w:basedOn w:val="Normal"/>
    <w:qFormat/>
    <w:rsid w:val="00770df0"/>
    <w:pPr>
      <w:widowControl w:val="false"/>
      <w:shd w:val="clear" w:color="auto" w:fill="FFFFFF"/>
      <w:spacing w:lineRule="exact" w:line="293"/>
      <w:jc w:val="both"/>
    </w:pPr>
    <w:rPr>
      <w:rFonts w:ascii="Arial Unicode MS" w:hAnsi="Arial Unicode MS" w:eastAsia="Arial Unicode MS" w:cs="Arial Unicode MS"/>
      <w:b/>
      <w:bCs/>
      <w:sz w:val="22"/>
      <w:szCs w:val="22"/>
    </w:rPr>
  </w:style>
  <w:style w:type="paragraph" w:styleId="LPNaglowek" w:customStyle="1">
    <w:name w:val="LP_Naglowek"/>
    <w:qFormat/>
    <w:rsid w:val="00770df0"/>
    <w:pPr>
      <w:widowControl/>
      <w:suppressAutoHyphens w:val="true"/>
      <w:bidi w:val="0"/>
      <w:jc w:val="left"/>
    </w:pPr>
    <w:rPr>
      <w:rFonts w:ascii="Arial" w:hAnsi="Arial" w:eastAsia="Times New Roman" w:cs="Calibri"/>
      <w:b/>
      <w:color w:val="005023"/>
      <w:kern w:val="0"/>
      <w:sz w:val="28"/>
      <w:szCs w:val="24"/>
      <w:lang w:val="pl-PL" w:eastAsia="zh-CN" w:bidi="ar-SA"/>
    </w:rPr>
  </w:style>
  <w:style w:type="paragraph" w:styleId="Redniasiatka1akcent21" w:customStyle="1">
    <w:name w:val="Średnia siatka 1 — akcent 21"/>
    <w:basedOn w:val="Normal"/>
    <w:qFormat/>
    <w:rsid w:val="00770df0"/>
    <w:pPr>
      <w:ind w:left="708" w:hanging="0"/>
    </w:pPr>
    <w:rPr>
      <w:sz w:val="20"/>
      <w:szCs w:val="20"/>
    </w:rPr>
  </w:style>
  <w:style w:type="paragraph" w:styleId="Kolorowalistaakcent11" w:customStyle="1">
    <w:name w:val="Kolorowa lista — akcent 11"/>
    <w:basedOn w:val="Normal"/>
    <w:qFormat/>
    <w:rsid w:val="00770df0"/>
    <w:pPr>
      <w:spacing w:before="0" w:after="0"/>
      <w:ind w:left="720" w:hanging="0"/>
      <w:contextualSpacing/>
    </w:pPr>
    <w:rPr>
      <w:sz w:val="20"/>
      <w:szCs w:val="20"/>
    </w:rPr>
  </w:style>
  <w:style w:type="paragraph" w:styleId="Nagwektabeli" w:customStyle="1">
    <w:name w:val="Nagłówek tabeli"/>
    <w:basedOn w:val="Zawartotabeli"/>
    <w:qFormat/>
    <w:rsid w:val="00770df0"/>
    <w:pPr>
      <w:jc w:val="center"/>
    </w:pPr>
    <w:rPr>
      <w:b/>
      <w:bCs/>
    </w:rPr>
  </w:style>
  <w:style w:type="paragraph" w:styleId="Annotationtext">
    <w:name w:val="annotation text"/>
    <w:basedOn w:val="Normal"/>
    <w:link w:val="TekstkomentarzaZnak1"/>
    <w:uiPriority w:val="99"/>
    <w:semiHidden/>
    <w:unhideWhenUsed/>
    <w:qFormat/>
    <w:rsid w:val="00853d5c"/>
    <w:pPr/>
    <w:rPr>
      <w:sz w:val="20"/>
      <w:szCs w:val="20"/>
    </w:rPr>
  </w:style>
  <w:style w:type="paragraph" w:styleId="Przypiskocowy">
    <w:name w:val="Endnote Text"/>
    <w:basedOn w:val="Normal"/>
    <w:link w:val="TekstprzypisukocowegoZnak"/>
    <w:uiPriority w:val="99"/>
    <w:semiHidden/>
    <w:unhideWhenUsed/>
    <w:rsid w:val="007b2e51"/>
    <w:pPr/>
    <w:rPr>
      <w:sz w:val="20"/>
      <w:szCs w:val="20"/>
    </w:rPr>
  </w:style>
  <w:style w:type="paragraph" w:styleId="Pdq2pgselectionanchorcontainer" w:customStyle="1">
    <w:name w:val="pdq2pg_selectionanchorcontainer"/>
    <w:basedOn w:val="Normal"/>
    <w:qFormat/>
    <w:rsid w:val="00761761"/>
    <w:pPr>
      <w:suppressAutoHyphens w:val="false"/>
      <w:spacing w:beforeAutospacing="1" w:afterAutospacing="1"/>
    </w:pPr>
    <w:rPr>
      <w:lang w:eastAsia="pl-PL"/>
    </w:rPr>
  </w:style>
  <w:style w:type="paragraph" w:styleId="Revision">
    <w:name w:val="Revision"/>
    <w:uiPriority w:val="99"/>
    <w:semiHidden/>
    <w:qFormat/>
    <w:rsid w:val="00497732"/>
    <w:pPr>
      <w:widowControl/>
      <w:bidi w:val="0"/>
      <w:jc w:val="left"/>
    </w:pPr>
    <w:rPr>
      <w:rFonts w:ascii="Times New Roman" w:hAnsi="Times New Roman" w:eastAsia="Times New Roman" w:cs="Times New Roman"/>
      <w:color w:val="auto"/>
      <w:kern w:val="0"/>
      <w:sz w:val="24"/>
      <w:szCs w:val="24"/>
      <w:lang w:val="pl-PL" w:eastAsia="zh-CN"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rsid w:val="00bd4802"/>
    <w:rPr>
      <w:rFonts w:asciiTheme="minorHAnsi" w:hAnsiTheme="minorHAnsi" w:eastAsiaTheme="minorEastAsia" w:cstheme="minorBidi"/>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wskwarek@uzdrowisko-rabka.pl"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Application>LibreOffice/6.2.4.2$Windows_X86_64 LibreOffice_project/2412653d852ce75f65fbfa83fb7e7b669a126d64</Application>
  <Pages>39</Pages>
  <Words>13505</Words>
  <Characters>88147</Characters>
  <CharactersWithSpaces>101600</CharactersWithSpaces>
  <Paragraphs>694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2026-07-04T06:30:00Z</dcterms:created>
  <dc:creator>UM</dc:creator>
  <dc:description/>
  <dc:language>pl-PL</dc:language>
  <cp:lastModifiedBy/>
  <cp:lastPrinted>2023-08-31T15:45:00Z</cp:lastPrinted>
  <dcterms:modified xsi:type="dcterms:W3CDTF">2026-08-07T14:30:02Z</dcterms:modified>
  <cp:revision>15</cp:revision>
  <dc:subject/>
  <dc:title>KPT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