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gwek1"/>
        <w:spacing w:before="62" w:after="0"/>
        <w:ind w:left="0" w:hanging="0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Załącznik Nr 2 do SWZ</w:t>
      </w:r>
    </w:p>
    <w:p>
      <w:pPr>
        <w:pStyle w:val="Nagwek1"/>
        <w:ind w:left="0" w:hanging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agwek1"/>
        <w:ind w:left="0" w:hanging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Spacing"/>
        <w:jc w:val="center"/>
        <w:rPr>
          <w:rFonts w:ascii="Arial" w:hAnsi="Arial"/>
        </w:rPr>
      </w:pPr>
      <w:r>
        <w:rPr>
          <w:rFonts w:ascii="Arial" w:hAnsi="Arial"/>
          <w:b/>
          <w:color w:val="000000"/>
        </w:rPr>
        <w:t>SZCZEGÓŁOWY OPIS PRZEDMIOTU ZAMÓWIENIA</w:t>
      </w:r>
    </w:p>
    <w:p>
      <w:pPr>
        <w:pStyle w:val="NoSpacing"/>
        <w:jc w:val="center"/>
        <w:rPr>
          <w:rFonts w:ascii="Arial" w:hAnsi="Arial"/>
          <w:b/>
          <w:b/>
          <w:color w:val="000000"/>
        </w:rPr>
      </w:pPr>
      <w:r>
        <w:rPr>
          <w:rFonts w:ascii="Arial" w:hAnsi="Arial"/>
          <w:b/>
          <w:color w:val="000000"/>
        </w:rPr>
        <w:t xml:space="preserve">ORAZ WYMAGANIA TECHNICZNE </w:t>
      </w:r>
    </w:p>
    <w:p>
      <w:pPr>
        <w:pStyle w:val="NoSpacing"/>
        <w:jc w:val="center"/>
        <w:rPr>
          <w:rFonts w:ascii="Arial" w:hAnsi="Arial"/>
          <w:b/>
          <w:b/>
          <w:color w:val="000000"/>
        </w:rPr>
      </w:pPr>
      <w:r>
        <w:rPr>
          <w:rFonts w:ascii="Arial" w:hAnsi="Arial"/>
          <w:b/>
          <w:color w:val="000000"/>
        </w:rPr>
        <w:t xml:space="preserve">WRAZ Z </w:t>
      </w:r>
      <w:r>
        <w:rPr>
          <w:rFonts w:eastAsia="Times New Roman" w:cs="Times New Roman" w:ascii="Arial" w:hAnsi="Arial"/>
          <w:b/>
          <w:bCs/>
          <w:color w:val="000000"/>
        </w:rPr>
        <w:t>FORMULARZEM ASORTYMENTOWO-CENOWYM</w:t>
      </w:r>
    </w:p>
    <w:p>
      <w:pPr>
        <w:pStyle w:val="Normal"/>
        <w:rPr>
          <w:rFonts w:ascii="Arial" w:hAnsi="Arial"/>
          <w:b/>
          <w:b/>
          <w:color w:val="000000"/>
        </w:rPr>
      </w:pPr>
      <w:r>
        <w:rPr>
          <w:rFonts w:ascii="Arial" w:hAnsi="Arial"/>
          <w:b/>
          <w:color w:val="000000"/>
        </w:rPr>
      </w:r>
    </w:p>
    <w:p>
      <w:pPr>
        <w:pStyle w:val="Normal"/>
        <w:rPr>
          <w:rFonts w:ascii="Arial" w:hAnsi="Arial"/>
          <w:b/>
          <w:b/>
          <w:color w:val="000000"/>
        </w:rPr>
      </w:pPr>
      <w:r>
        <w:rPr>
          <w:rFonts w:ascii="Arial" w:hAnsi="Arial"/>
          <w:b/>
          <w:color w:val="000000"/>
        </w:rPr>
      </w:r>
    </w:p>
    <w:p>
      <w:pPr>
        <w:pStyle w:val="Normal"/>
        <w:jc w:val="center"/>
        <w:rPr>
          <w:color w:val="000000" w:themeColor="text1"/>
        </w:rPr>
      </w:pPr>
      <w:r>
        <w:rPr>
          <w:rFonts w:eastAsia="Times New Roman"/>
          <w:b/>
          <w:color w:val="000000" w:themeColor="text1"/>
        </w:rPr>
        <w:t>AMBULANS TYPU B WRAZ Z WYPOSAŻENIEM – 1 komplet</w:t>
      </w:r>
    </w:p>
    <w:p>
      <w:pPr>
        <w:pStyle w:val="Normal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</w:r>
    </w:p>
    <w:p>
      <w:pPr>
        <w:pStyle w:val="Normal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mc:AlternateContent>
          <mc:Choice Requires="wps">
            <w:drawing>
              <wp:anchor behindDoc="0" distT="0" distB="0" distL="0" distR="0" simplePos="0" locked="0" layoutInCell="0" allowOverlap="1" relativeHeight="11">
                <wp:simplePos x="0" y="0"/>
                <wp:positionH relativeFrom="column">
                  <wp:posOffset>4079240</wp:posOffset>
                </wp:positionH>
                <wp:positionV relativeFrom="paragraph">
                  <wp:posOffset>1941195</wp:posOffset>
                </wp:positionV>
                <wp:extent cx="962025" cy="200025"/>
                <wp:effectExtent l="635" t="635" r="635" b="635"/>
                <wp:wrapNone/>
                <wp:docPr id="1" name="Lini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920" cy="2001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1.2pt,152.85pt" to="396.9pt,168.55pt" ID="Linia 1" stroked="t" o:allowincell="f" style="position:absolute">
                <v:stroke color="black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2">
                <wp:simplePos x="0" y="0"/>
                <wp:positionH relativeFrom="column">
                  <wp:posOffset>4079240</wp:posOffset>
                </wp:positionH>
                <wp:positionV relativeFrom="paragraph">
                  <wp:posOffset>1941195</wp:posOffset>
                </wp:positionV>
                <wp:extent cx="962025" cy="200025"/>
                <wp:effectExtent l="635" t="635" r="635" b="635"/>
                <wp:wrapNone/>
                <wp:docPr id="2" name="Linia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61920" cy="2001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1.2pt,152.85pt" to="396.9pt,168.55pt" ID="Linia 2" stroked="t" o:allowincell="f" style="position:absolute;flip:y">
                <v:stroke color="black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3">
                <wp:simplePos x="0" y="0"/>
                <wp:positionH relativeFrom="column">
                  <wp:posOffset>5060315</wp:posOffset>
                </wp:positionH>
                <wp:positionV relativeFrom="paragraph">
                  <wp:posOffset>1674495</wp:posOffset>
                </wp:positionV>
                <wp:extent cx="1047750" cy="228600"/>
                <wp:effectExtent l="635" t="635" r="635" b="635"/>
                <wp:wrapNone/>
                <wp:docPr id="3" name="Linia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600" cy="22860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8.45pt,131.85pt" to="480.9pt,149.8pt" ID="Linia 3" stroked="t" o:allowincell="f" style="position:absolute">
                <v:stroke color="black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4">
                <wp:simplePos x="0" y="0"/>
                <wp:positionH relativeFrom="column">
                  <wp:posOffset>5060315</wp:posOffset>
                </wp:positionH>
                <wp:positionV relativeFrom="paragraph">
                  <wp:posOffset>1674495</wp:posOffset>
                </wp:positionV>
                <wp:extent cx="1047750" cy="228600"/>
                <wp:effectExtent l="635" t="635" r="635" b="635"/>
                <wp:wrapNone/>
                <wp:docPr id="4" name="Linia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47600" cy="22860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8.45pt,131.85pt" to="480.9pt,149.8pt" ID="Linia 4" stroked="t" o:allowincell="f" style="position:absolute;flip:x">
                <v:stroke color="black" joinstyle="round" endcap="flat"/>
                <v:fill o:detectmouseclick="t" on="false"/>
                <w10:wrap type="none"/>
              </v:line>
            </w:pict>
          </mc:Fallback>
        </mc:AlternateContent>
      </w:r>
    </w:p>
    <w:tbl>
      <w:tblPr>
        <w:tblW w:w="9355" w:type="dxa"/>
        <w:jc w:val="left"/>
        <w:tblInd w:w="307" w:type="dxa"/>
        <w:tblLayout w:type="fixed"/>
        <w:tblCellMar>
          <w:top w:w="0" w:type="dxa"/>
          <w:left w:w="2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10"/>
        <w:gridCol w:w="2693"/>
        <w:gridCol w:w="829"/>
        <w:gridCol w:w="1295"/>
        <w:gridCol w:w="567"/>
        <w:gridCol w:w="1563"/>
        <w:gridCol w:w="1697"/>
      </w:tblGrid>
      <w:tr>
        <w:trPr/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color w:val="000000"/>
              </w:rPr>
              <w:t>Lp.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color w:val="000000"/>
              </w:rPr>
              <w:t>Asortyment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color w:val="000000"/>
              </w:rPr>
              <w:t>Ilość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mc:AlternateContent>
                <mc:Choice Requires="wps">
                  <w:drawing>
                    <wp:anchor behindDoc="0" distT="0" distB="0" distL="0" distR="0" simplePos="0" locked="0" layoutInCell="0" allowOverlap="1" relativeHeight="1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201930</wp:posOffset>
                      </wp:positionV>
                      <wp:extent cx="781050" cy="285750"/>
                      <wp:effectExtent l="635" t="635" r="635" b="635"/>
                      <wp:wrapNone/>
                      <wp:docPr id="5" name="Linia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200" cy="28584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2.7pt,15.9pt" to="104.15pt,38.35pt" ID="Linia 5" stroked="t" o:allowincell="f" style="position:absolute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0" allowOverlap="1" relativeHeight="16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201930</wp:posOffset>
                      </wp:positionV>
                      <wp:extent cx="781050" cy="285750"/>
                      <wp:effectExtent l="635" t="635" r="635" b="635"/>
                      <wp:wrapNone/>
                      <wp:docPr id="6" name="Linia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781200" cy="28584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2.7pt,15.9pt" to="104.15pt,38.35pt" ID="Linia 6" stroked="t" o:allowincell="f" style="position:absolute;flip:x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0" allowOverlap="1" relativeHeight="17">
                      <wp:simplePos x="0" y="0"/>
                      <wp:positionH relativeFrom="column">
                        <wp:posOffset>1323340</wp:posOffset>
                      </wp:positionH>
                      <wp:positionV relativeFrom="paragraph">
                        <wp:posOffset>211455</wp:posOffset>
                      </wp:positionV>
                      <wp:extent cx="352425" cy="276225"/>
                      <wp:effectExtent l="635" t="635" r="635" b="635"/>
                      <wp:wrapNone/>
                      <wp:docPr id="7" name="Linia 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52440" cy="2761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04.2pt,16.65pt" to="131.9pt,38.35pt" ID="Linia 7" stroked="t" o:allowincell="f" style="position:absolute;flip:x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0" allowOverlap="1" relativeHeight="18">
                      <wp:simplePos x="0" y="0"/>
                      <wp:positionH relativeFrom="column">
                        <wp:posOffset>1323340</wp:posOffset>
                      </wp:positionH>
                      <wp:positionV relativeFrom="paragraph">
                        <wp:posOffset>201930</wp:posOffset>
                      </wp:positionV>
                      <wp:extent cx="352425" cy="285750"/>
                      <wp:effectExtent l="635" t="635" r="635" b="635"/>
                      <wp:wrapNone/>
                      <wp:docPr id="8" name="Linia 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40" cy="28584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04.2pt,15.9pt" to="131.9pt,38.35pt" ID="Linia 8" stroked="t" o:allowincell="f" style="position:absolute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color w:val="000000"/>
              </w:rPr>
              <w:t>Cena jedn. netto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color w:val="000000"/>
              </w:rPr>
              <w:t>VAT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color w:val="000000"/>
              </w:rPr>
              <w:t>%</w:t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color w:val="000000"/>
              </w:rPr>
              <w:t>Wartość netto</w:t>
            </w:r>
          </w:p>
        </w:tc>
        <w:tc>
          <w:tcPr>
            <w:tcW w:w="1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color w:val="000000"/>
              </w:rPr>
              <w:t>Wartość brutto</w:t>
            </w:r>
          </w:p>
        </w:tc>
      </w:tr>
      <w:tr>
        <w:trPr>
          <w:trHeight w:val="397" w:hRule="atLeast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2F2F2" w:themeFill="background1" w:themeFillShade="f2" w:val="clear"/>
            <w:vAlign w:val="center"/>
          </w:tcPr>
          <w:p>
            <w:pPr>
              <w:pStyle w:val="ListParagraph"/>
              <w:widowControl w:val="false"/>
              <w:spacing w:before="0" w:after="160"/>
              <w:ind w:left="0" w:hanging="0"/>
              <w:contextualSpacing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 w:ascii="Calibri" w:hAnsi="Calibri"/>
                <w:color w:val="000000"/>
                <w:sz w:val="20"/>
                <w:szCs w:val="20"/>
              </w:rPr>
              <w:t>Ambulans typu B wraz z wyposażeniem</w:t>
            </w:r>
          </w:p>
        </w:tc>
        <w:tc>
          <w:tcPr>
            <w:tcW w:w="82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ascii="Calibri" w:hAnsi="Calibri"/>
                <w:color w:val="000000" w:themeColor="text1"/>
                <w:sz w:val="20"/>
                <w:szCs w:val="20"/>
              </w:rPr>
              <w:t>1 komplet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highlight w:val="lightGray"/>
              </w:rPr>
            </w:pPr>
            <w:r>
              <w:rPr>
                <w:color w:val="000000"/>
                <w:sz w:val="20"/>
                <w:szCs w:val="20"/>
                <w:highlight w:val="lightGray"/>
              </w:rPr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highlight w:val="lightGray"/>
              </w:rPr>
            </w:pPr>
            <w:r>
              <w:rPr>
                <w:color w:val="000000"/>
                <w:sz w:val="20"/>
                <w:szCs w:val="20"/>
                <w:highlight w:val="lightGray"/>
              </w:rPr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highlight w:val="green"/>
              </w:rPr>
            </w:pPr>
            <w:r>
              <w:rPr>
                <w:color w:val="000000"/>
                <w:sz w:val="20"/>
                <w:szCs w:val="20"/>
                <w:highlight w:val="green"/>
              </w:rPr>
            </w:r>
          </w:p>
        </w:tc>
      </w:tr>
      <w:tr>
        <w:trPr>
          <w:trHeight w:val="397" w:hRule="atLeast"/>
        </w:trPr>
        <w:tc>
          <w:tcPr>
            <w:tcW w:w="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spacing w:before="0" w:after="160"/>
              <w:ind w:left="0" w:hanging="0"/>
              <w:contextualSpacing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1a</w:t>
            </w:r>
          </w:p>
        </w:tc>
        <w:tc>
          <w:tcPr>
            <w:tcW w:w="26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 w:ascii="Calibri" w:hAnsi="Calibri"/>
                <w:color w:val="000000"/>
                <w:sz w:val="20"/>
                <w:szCs w:val="20"/>
              </w:rPr>
              <w:t>Ambulans typu B</w:t>
            </w:r>
          </w:p>
        </w:tc>
        <w:tc>
          <w:tcPr>
            <w:tcW w:w="82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Calibri" w:hAnsi="Calibri"/>
                <w:color w:val="000000"/>
                <w:sz w:val="20"/>
                <w:szCs w:val="20"/>
              </w:rPr>
            </w:r>
          </w:p>
        </w:tc>
        <w:tc>
          <w:tcPr>
            <w:tcW w:w="129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spacing w:before="0" w:after="160"/>
              <w:ind w:left="0" w:hanging="0"/>
              <w:contextualSpacing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1b</w:t>
            </w:r>
          </w:p>
        </w:tc>
        <w:tc>
          <w:tcPr>
            <w:tcW w:w="26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 w:ascii="Calibri" w:hAnsi="Calibri"/>
                <w:color w:val="000000"/>
                <w:sz w:val="20"/>
                <w:szCs w:val="20"/>
              </w:rPr>
              <w:t>Zestaw transportowy</w:t>
            </w:r>
          </w:p>
        </w:tc>
        <w:tc>
          <w:tcPr>
            <w:tcW w:w="82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Calibri" w:hAnsi="Calibri"/>
                <w:color w:val="000000"/>
                <w:sz w:val="20"/>
                <w:szCs w:val="20"/>
              </w:rPr>
            </w:r>
          </w:p>
        </w:tc>
        <w:tc>
          <w:tcPr>
            <w:tcW w:w="129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spacing w:before="0" w:after="160"/>
              <w:ind w:left="0" w:hanging="0"/>
              <w:contextualSpacing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1c</w:t>
            </w:r>
          </w:p>
        </w:tc>
        <w:tc>
          <w:tcPr>
            <w:tcW w:w="26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 w:ascii="Calibri" w:hAnsi="Calibri"/>
                <w:color w:val="000000"/>
                <w:sz w:val="20"/>
                <w:szCs w:val="20"/>
              </w:rPr>
              <w:t>Fotel kardiologiczny</w:t>
            </w:r>
          </w:p>
        </w:tc>
        <w:tc>
          <w:tcPr>
            <w:tcW w:w="82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Calibri" w:hAnsi="Calibri"/>
                <w:color w:val="000000"/>
                <w:sz w:val="20"/>
                <w:szCs w:val="20"/>
              </w:rPr>
            </w:r>
          </w:p>
        </w:tc>
        <w:tc>
          <w:tcPr>
            <w:tcW w:w="129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609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Razem wartość netto od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poz. 1a do 1c</w:t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609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Razem wartość brutto od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poz. 1a do 1c</w:t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Arial" w:hAnsi="Arial" w:eastAsia="Times New Roman"/>
          <w:b/>
          <w:b/>
          <w:color w:val="000000"/>
          <w:u w:val="single"/>
        </w:rPr>
      </w:pPr>
      <w:r>
        <w:rPr>
          <w:rFonts w:eastAsia="Times New Roman" w:ascii="Arial" w:hAnsi="Arial"/>
          <w:b/>
          <w:color w:val="000000"/>
          <w:u w:val="single"/>
        </w:rPr>
      </w:r>
    </w:p>
    <w:p>
      <w:pPr>
        <w:pStyle w:val="Normal"/>
        <w:rPr/>
      </w:pPr>
      <w:r>
        <w:rPr>
          <w:rFonts w:eastAsia="Times New Roman"/>
          <w:b/>
          <w:color w:val="000000"/>
          <w:u w:val="single"/>
        </w:rPr>
        <w:t>Uwaga!!!</w:t>
      </w:r>
    </w:p>
    <w:p>
      <w:pPr>
        <w:pStyle w:val="ListParagraph"/>
        <w:tabs>
          <w:tab w:val="clear" w:pos="643"/>
          <w:tab w:val="left" w:pos="1024" w:leader="none"/>
        </w:tabs>
        <w:suppressAutoHyphens w:val="false"/>
        <w:spacing w:before="138" w:after="0"/>
        <w:ind w:left="0" w:right="-148" w:hanging="0"/>
        <w:contextualSpacing/>
        <w:jc w:val="both"/>
        <w:rPr>
          <w:color w:val="FF0000"/>
        </w:rPr>
      </w:pPr>
      <w:r>
        <w:rPr>
          <w:rFonts w:eastAsia="Times New Roman"/>
          <w:b/>
          <w:color w:val="000000"/>
        </w:rPr>
        <w:t xml:space="preserve">Wszystkie elementy należy wycenić w kolejnych </w:t>
      </w:r>
      <w:r>
        <w:rPr>
          <w:rFonts w:eastAsia="Times New Roman"/>
          <w:b/>
          <w:color w:val="000000" w:themeColor="text1"/>
        </w:rPr>
        <w:t>poz. 1a-1c itd.</w:t>
      </w:r>
    </w:p>
    <w:p>
      <w:pPr>
        <w:pStyle w:val="Normal"/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</w:r>
    </w:p>
    <w:p>
      <w:pPr>
        <w:pStyle w:val="Standard"/>
        <w:spacing w:lineRule="auto" w:line="240" w:before="0" w:after="0"/>
        <w:jc w:val="both"/>
        <w:rPr>
          <w:rFonts w:ascii="Times New Roman" w:hAnsi="Times New Roman"/>
          <w:i/>
          <w:i/>
          <w:color w:val="FF0000"/>
        </w:rPr>
      </w:pPr>
      <w:r>
        <w:rPr>
          <w:rFonts w:ascii="Times New Roman" w:hAnsi="Times New Roman"/>
          <w:i/>
          <w:color w:val="FF0000"/>
        </w:rPr>
      </w:r>
    </w:p>
    <w:p>
      <w:pPr>
        <w:pStyle w:val="Standard"/>
        <w:spacing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Producent …………………………………………………</w:t>
      </w:r>
    </w:p>
    <w:p>
      <w:pPr>
        <w:pStyle w:val="Standard"/>
        <w:spacing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Dostawca ………………………………………………………..</w:t>
      </w:r>
    </w:p>
    <w:p>
      <w:pPr>
        <w:pStyle w:val="Standard"/>
        <w:spacing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Nazwa produktu / Model / Typ / Nr katalogowy ………………………</w:t>
      </w:r>
    </w:p>
    <w:p>
      <w:pPr>
        <w:pStyle w:val="Standard"/>
        <w:spacing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Kraj pochodzenia …………………………………………</w:t>
      </w:r>
    </w:p>
    <w:p>
      <w:pPr>
        <w:pStyle w:val="Standard"/>
        <w:spacing w:before="0" w:after="0"/>
        <w:jc w:val="both"/>
        <w:rPr>
          <w:rFonts w:eastAsia="Tahoma"/>
          <w:b/>
          <w:b/>
          <w:color w:val="000000" w:themeColor="text1"/>
          <w:sz w:val="24"/>
          <w:szCs w:val="24"/>
        </w:rPr>
      </w:pPr>
      <w:r>
        <w:rPr>
          <w:rFonts w:eastAsia="Tahoma"/>
          <w:color w:val="000000" w:themeColor="text1"/>
          <w:sz w:val="24"/>
          <w:szCs w:val="24"/>
        </w:rPr>
        <w:t xml:space="preserve">Pojazd bazowy- kompletny, wyprodukowany </w:t>
      </w:r>
      <w:r>
        <w:rPr>
          <w:rFonts w:eastAsia="Tahoma"/>
          <w:b/>
          <w:color w:val="000000" w:themeColor="text1"/>
          <w:sz w:val="24"/>
          <w:szCs w:val="24"/>
        </w:rPr>
        <w:t>w 2026r</w:t>
      </w:r>
      <w:r>
        <w:rPr>
          <w:rFonts w:eastAsia="Tahoma"/>
          <w:color w:val="000000" w:themeColor="text1"/>
          <w:sz w:val="24"/>
          <w:szCs w:val="24"/>
        </w:rPr>
        <w:t xml:space="preserve">. fabrycznie nowy, rok produkcji zabudowy </w:t>
      </w:r>
      <w:r>
        <w:rPr>
          <w:rFonts w:eastAsia="Tahoma"/>
          <w:b/>
          <w:color w:val="000000" w:themeColor="text1"/>
          <w:sz w:val="24"/>
          <w:szCs w:val="24"/>
        </w:rPr>
        <w:t>2026r.</w:t>
      </w:r>
    </w:p>
    <w:p>
      <w:pPr>
        <w:pStyle w:val="Normal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color w:val="000000"/>
          <w:sz w:val="20"/>
          <w:szCs w:val="20"/>
        </w:rPr>
      </w:r>
    </w:p>
    <w:tbl>
      <w:tblPr>
        <w:tblW w:w="9744" w:type="dxa"/>
        <w:jc w:val="left"/>
        <w:tblInd w:w="-100" w:type="dxa"/>
        <w:tblLayout w:type="fixed"/>
        <w:tblCellMar>
          <w:top w:w="0" w:type="dxa"/>
          <w:left w:w="5" w:type="dxa"/>
          <w:bottom w:w="0" w:type="dxa"/>
          <w:right w:w="65" w:type="dxa"/>
        </w:tblCellMar>
        <w:tblLook w:firstRow="0" w:noVBand="0" w:lastRow="0" w:firstColumn="0" w:lastColumn="0" w:noHBand="0" w:val="0000"/>
      </w:tblPr>
      <w:tblGrid>
        <w:gridCol w:w="544"/>
        <w:gridCol w:w="6025"/>
        <w:gridCol w:w="1576"/>
        <w:gridCol w:w="1598"/>
      </w:tblGrid>
      <w:tr>
        <w:trPr>
          <w:trHeight w:val="567" w:hRule="atLeast"/>
        </w:trPr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Parametr/warunek</w:t>
            </w:r>
          </w:p>
        </w:tc>
        <w:tc>
          <w:tcPr>
            <w:tcW w:w="1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Parametr wymagany</w:t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Parametr oferowany</w:t>
            </w:r>
          </w:p>
        </w:tc>
      </w:tr>
      <w:tr>
        <w:trPr/>
        <w:tc>
          <w:tcPr>
            <w:tcW w:w="9743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I. POJAZD BAZOWY</w:t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Ambulans ratunkowy typu B przeznaczony do przewozu 5 osób zespołu specjalistycznego/podstawowego ratownictwa medycznego w pozycji siedzącej i jednej osoby na noszach (może być wykorzystywany jako ambulans typu P zgodnie z wytycznymi NFZ) Ambulans ma spełniać wymagania aktualnej normy PN/EN 1789 w zakresie ambulansu typu B.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lub norm równoważnych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9743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>NADWOZIE</w:t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sz w:val="20"/>
                <w:szCs w:val="20"/>
              </w:rPr>
              <w:t>Typu „furgon podwyższony ”, powyżej 3,5 t dopuszczalnej masy całkowitej, bez ściany działowej pomiędzy kabiną kierowcy a przestrzenią ładunkową przeznaczoną do adaptacji na przedział medyczny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sz w:val="20"/>
                <w:szCs w:val="20"/>
              </w:rPr>
              <w:t>Kabina kierowcy wyposażona w dwa pojedyncze fotele: pasażera i kierowcy, fotele regulowane z podłokietnikami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sz w:val="20"/>
                <w:szCs w:val="20"/>
              </w:rPr>
              <w:t>Drzwi tylne wysokie , przeszklone dwuskrzydłowe, otwierane na boki o min. 250</w:t>
            </w:r>
            <w:r>
              <w:rPr>
                <w:rFonts w:eastAsia="Tahoma" w:cs="Arial"/>
                <w:sz w:val="20"/>
                <w:szCs w:val="20"/>
                <w:vertAlign w:val="superscript"/>
              </w:rPr>
              <w:t>o</w:t>
            </w:r>
            <w:r>
              <w:rPr>
                <w:rFonts w:eastAsia="Tahoma" w:cs="Arial"/>
                <w:sz w:val="20"/>
                <w:szCs w:val="20"/>
              </w:rPr>
              <w:t>, o wysokości minimum 1,75 m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sz w:val="20"/>
                <w:szCs w:val="20"/>
              </w:rPr>
              <w:t>Drzwi boczne prawe przesuwane do tyłu przeszklone, z odsuwaną szybą, wyjście ze stopniem stałym wewnętrznym</w:t>
            </w:r>
            <w:r>
              <w:rPr>
                <w:rFonts w:eastAsia="Tahoma" w:cs="Arial"/>
                <w:color w:val="FF0000"/>
                <w:sz w:val="20"/>
                <w:szCs w:val="20"/>
              </w:rPr>
              <w:t xml:space="preserve"> </w:t>
            </w:r>
            <w:r>
              <w:rPr>
                <w:rFonts w:eastAsia="Tahoma" w:cs="Arial"/>
                <w:sz w:val="20"/>
                <w:szCs w:val="20"/>
              </w:rPr>
              <w:t>oraz ze stopniem obrotowym (pozycja stopnia zsynchronizowana z drzwiami, dodatkowo możliwość sterowania stopniem za pomocą przycisku na ścianie działowej)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sz w:val="20"/>
                <w:szCs w:val="20"/>
              </w:rPr>
              <w:t>Drzwi boczne lewe przesuwane do tyłu, bez szyby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sz w:val="20"/>
                <w:szCs w:val="20"/>
              </w:rPr>
              <w:t>Kolor nadwozia żółty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6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sz w:val="20"/>
                <w:szCs w:val="20"/>
              </w:rPr>
              <w:t>Centralny zamek wszystkich drzwi, sterowany pilotem</w:t>
            </w:r>
          </w:p>
        </w:tc>
        <w:tc>
          <w:tcPr>
            <w:tcW w:w="1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6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sz w:val="20"/>
                <w:szCs w:val="20"/>
              </w:rPr>
              <w:t>Stopień wejściowy tylny antypoślizgowy, stanowiący jednocześnie funkcję zderzaka</w:t>
            </w:r>
          </w:p>
        </w:tc>
        <w:tc>
          <w:tcPr>
            <w:tcW w:w="1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974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SILNIK</w:t>
            </w:r>
          </w:p>
        </w:tc>
      </w:tr>
      <w:tr>
        <w:trPr/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6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sz w:val="20"/>
                <w:szCs w:val="20"/>
              </w:rPr>
              <w:t>Z zapłonem samoczynnym turbodoładowany, z urządzeniem do podgrzewania silnika, ułatwiającym rozruch silnika w warunkach zimowych</w:t>
            </w:r>
          </w:p>
        </w:tc>
        <w:tc>
          <w:tcPr>
            <w:tcW w:w="1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6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sz w:val="20"/>
                <w:szCs w:val="20"/>
              </w:rPr>
              <w:t>Moc silnika minimum 170 KM , moment obrotowy nie mniejszy niż 380 Nm</w:t>
            </w:r>
          </w:p>
        </w:tc>
        <w:tc>
          <w:tcPr>
            <w:tcW w:w="1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6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213" w:right="79" w:hanging="213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  <w:lang w:eastAsia="ar-SA"/>
              </w:rPr>
              <w:t>Silnik spełniający obowiązujące na dzień dostawy normy emisji spalin</w:t>
            </w:r>
          </w:p>
        </w:tc>
        <w:tc>
          <w:tcPr>
            <w:tcW w:w="1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974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ZESPÓŁ PRZENIESIENIA NAPĘDU</w:t>
            </w:r>
          </w:p>
        </w:tc>
      </w:tr>
      <w:tr>
        <w:trPr/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6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sz w:val="20"/>
                <w:szCs w:val="20"/>
              </w:rPr>
              <w:t>Skrzynia biegów automatyczna o min. 7 biegach do przodu i biegu wstecznym</w:t>
            </w:r>
          </w:p>
        </w:tc>
        <w:tc>
          <w:tcPr>
            <w:tcW w:w="1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6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color w:val="000000" w:themeColor="text1"/>
                <w:sz w:val="20"/>
                <w:szCs w:val="20"/>
              </w:rPr>
              <w:t>Napęd przedni lub tylny</w:t>
            </w:r>
          </w:p>
        </w:tc>
        <w:tc>
          <w:tcPr>
            <w:tcW w:w="1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6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sz w:val="20"/>
                <w:szCs w:val="20"/>
              </w:rPr>
              <w:t>Elektroniczny system stabilizacji toru jazdy (ESP) lub równoważny</w:t>
            </w:r>
          </w:p>
        </w:tc>
        <w:tc>
          <w:tcPr>
            <w:tcW w:w="1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6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sz w:val="20"/>
                <w:szCs w:val="20"/>
              </w:rPr>
              <w:t>System zapobiegający poślizgowi kół osi napędzanej podczas ruszania</w:t>
            </w:r>
          </w:p>
        </w:tc>
        <w:tc>
          <w:tcPr>
            <w:tcW w:w="1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974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ZAWIESZENIE</w:t>
            </w:r>
          </w:p>
        </w:tc>
      </w:tr>
      <w:tr>
        <w:trPr/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6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color w:val="000000" w:themeColor="text1"/>
                <w:sz w:val="20"/>
                <w:szCs w:val="20"/>
              </w:rPr>
              <w:t>Gwarantujące dobrą przyczepność kół do nawierzchni, stabilność i manewrowość w trudnym terenie, umożliwiające komfortowy przewóz pacjentów</w:t>
            </w:r>
          </w:p>
        </w:tc>
        <w:tc>
          <w:tcPr>
            <w:tcW w:w="1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974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>UKŁAD HAMULCOWY</w:t>
            </w:r>
          </w:p>
        </w:tc>
      </w:tr>
      <w:tr>
        <w:trPr/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6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color w:val="000000" w:themeColor="text1"/>
                <w:sz w:val="20"/>
                <w:szCs w:val="20"/>
              </w:rPr>
              <w:t>System ABS zapobiegający blokadzie kół podczas hamowania</w:t>
            </w:r>
          </w:p>
        </w:tc>
        <w:tc>
          <w:tcPr>
            <w:tcW w:w="1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6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color w:val="000000" w:themeColor="text1"/>
                <w:sz w:val="20"/>
                <w:szCs w:val="20"/>
              </w:rPr>
              <w:t>System wspomagania nagłego hamowania</w:t>
            </w:r>
          </w:p>
        </w:tc>
        <w:tc>
          <w:tcPr>
            <w:tcW w:w="1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20.</w:t>
            </w:r>
          </w:p>
        </w:tc>
        <w:tc>
          <w:tcPr>
            <w:tcW w:w="6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color w:val="000000" w:themeColor="text1"/>
                <w:sz w:val="20"/>
                <w:szCs w:val="20"/>
              </w:rPr>
              <w:t>Hamulce tarczowe na obu osiach (przód i tył)</w:t>
            </w:r>
          </w:p>
        </w:tc>
        <w:tc>
          <w:tcPr>
            <w:tcW w:w="1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21.</w:t>
            </w:r>
          </w:p>
        </w:tc>
        <w:tc>
          <w:tcPr>
            <w:tcW w:w="6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color w:val="000000" w:themeColor="text1"/>
                <w:sz w:val="20"/>
                <w:szCs w:val="20"/>
              </w:rPr>
              <w:t>Asystent ruszania tj. system zapobiegający staczaniu się przy ruszaniu „pod górę”</w:t>
            </w:r>
          </w:p>
        </w:tc>
        <w:tc>
          <w:tcPr>
            <w:tcW w:w="1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</w:r>
          </w:p>
        </w:tc>
      </w:tr>
      <w:tr>
        <w:trPr/>
        <w:tc>
          <w:tcPr>
            <w:tcW w:w="974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>UKŁAD KIEROWNICZY</w:t>
            </w:r>
          </w:p>
        </w:tc>
      </w:tr>
      <w:tr>
        <w:trPr/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22.</w:t>
            </w:r>
          </w:p>
        </w:tc>
        <w:tc>
          <w:tcPr>
            <w:tcW w:w="6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sz w:val="20"/>
                <w:szCs w:val="20"/>
              </w:rPr>
              <w:t>Ze wspomaganiem</w:t>
            </w:r>
          </w:p>
        </w:tc>
        <w:tc>
          <w:tcPr>
            <w:tcW w:w="1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23.</w:t>
            </w:r>
          </w:p>
        </w:tc>
        <w:tc>
          <w:tcPr>
            <w:tcW w:w="6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sz w:val="20"/>
                <w:szCs w:val="20"/>
              </w:rPr>
              <w:t>Regulowana kolumna kierownicy w dwóch płaszczyznach tj. góra – dół, przód - tył</w:t>
            </w:r>
          </w:p>
        </w:tc>
        <w:tc>
          <w:tcPr>
            <w:tcW w:w="1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974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b/>
                <w:color w:val="000000" w:themeColor="text1"/>
                <w:sz w:val="20"/>
                <w:szCs w:val="20"/>
              </w:rPr>
              <w:t>INSTALACJA ELEKTRYCZNA</w:t>
            </w:r>
          </w:p>
        </w:tc>
      </w:tr>
      <w:tr>
        <w:trPr/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24.</w:t>
            </w:r>
          </w:p>
        </w:tc>
        <w:tc>
          <w:tcPr>
            <w:tcW w:w="6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sz w:val="20"/>
                <w:szCs w:val="20"/>
              </w:rPr>
              <w:t>Zespół dwóch  akumulatorów  o łącznej pojemności min. 180 Ah do zasilania wszystkich odbiorników prądu – jeden do rozruchu silnika, drugi do zasilania przedziału pacjenta – połączone tak aby były doładowywane zarówno z alternatora w czasie pracy silnika, jak i z prostownika na postoju po podłączeniu zasilania do sieci 230V.</w:t>
            </w:r>
          </w:p>
          <w:p>
            <w:pPr>
              <w:pStyle w:val="Normal"/>
              <w:widowControl w:val="false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color w:val="000000" w:themeColor="text1"/>
                <w:sz w:val="20"/>
                <w:szCs w:val="20"/>
              </w:rPr>
              <w:t>Dodatkowy przycisk umożliwiający spięcie akumulatorów</w:t>
            </w:r>
          </w:p>
        </w:tc>
        <w:tc>
          <w:tcPr>
            <w:tcW w:w="1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25.</w:t>
            </w:r>
          </w:p>
        </w:tc>
        <w:tc>
          <w:tcPr>
            <w:tcW w:w="6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sz w:val="20"/>
                <w:szCs w:val="20"/>
              </w:rPr>
              <w:t>Fabrycznie wzmocniony alternator o wydajności min. 230 A</w:t>
            </w:r>
          </w:p>
        </w:tc>
        <w:tc>
          <w:tcPr>
            <w:tcW w:w="1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974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b/>
                <w:color w:val="000000" w:themeColor="text1"/>
                <w:sz w:val="20"/>
                <w:szCs w:val="20"/>
              </w:rPr>
              <w:t>WYPOSAŻENIE  POJAZDU</w:t>
            </w:r>
          </w:p>
        </w:tc>
      </w:tr>
      <w:tr>
        <w:trPr/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26.</w:t>
            </w:r>
          </w:p>
        </w:tc>
        <w:tc>
          <w:tcPr>
            <w:tcW w:w="6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sz w:val="20"/>
                <w:szCs w:val="20"/>
              </w:rPr>
              <w:t>Wszystkie miejsca siedzące zaopatrzone w bezwładnościowe pasy bezpieczeństwa oraz zagłówki</w:t>
            </w:r>
          </w:p>
        </w:tc>
        <w:tc>
          <w:tcPr>
            <w:tcW w:w="1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27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sz w:val="20"/>
                <w:szCs w:val="20"/>
              </w:rPr>
              <w:t>Zbiornik paliwa o pojemności min. 70l.</w:t>
            </w:r>
          </w:p>
        </w:tc>
        <w:tc>
          <w:tcPr>
            <w:tcW w:w="1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28.</w:t>
            </w:r>
          </w:p>
        </w:tc>
        <w:tc>
          <w:tcPr>
            <w:tcW w:w="6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sz w:val="20"/>
                <w:szCs w:val="20"/>
              </w:rPr>
              <w:t>Poduszki powietrzne: kierowcy i pasażera (min. dwa rodzaje)</w:t>
            </w:r>
          </w:p>
        </w:tc>
        <w:tc>
          <w:tcPr>
            <w:tcW w:w="1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29.</w:t>
            </w:r>
          </w:p>
        </w:tc>
        <w:tc>
          <w:tcPr>
            <w:tcW w:w="6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sz w:val="20"/>
                <w:szCs w:val="20"/>
              </w:rPr>
              <w:t>Elektryczne otwierane szyby w drzwiach przednich</w:t>
            </w:r>
          </w:p>
        </w:tc>
        <w:tc>
          <w:tcPr>
            <w:tcW w:w="1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30.</w:t>
            </w:r>
          </w:p>
        </w:tc>
        <w:tc>
          <w:tcPr>
            <w:tcW w:w="6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sz w:val="20"/>
                <w:szCs w:val="20"/>
              </w:rPr>
              <w:t>Klimatyzacja półautomatyczna lub automatyczna kabiny kierowcy</w:t>
            </w:r>
          </w:p>
        </w:tc>
        <w:tc>
          <w:tcPr>
            <w:tcW w:w="1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31.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sz w:val="20"/>
                <w:szCs w:val="20"/>
              </w:rPr>
              <w:t>Lusterka  zewnętrzne, regulowane, składane i podgrzewane elektrycznie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32.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sz w:val="20"/>
                <w:szCs w:val="20"/>
              </w:rPr>
              <w:t>Lusterko wewnętrzne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33.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sz w:val="20"/>
                <w:szCs w:val="20"/>
              </w:rPr>
              <w:t>Reflektory główne typu led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34.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sz w:val="20"/>
                <w:szCs w:val="20"/>
              </w:rPr>
              <w:t>Reflektory przeciwmgłowe halogenowe przednie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35.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sz w:val="20"/>
                <w:szCs w:val="20"/>
              </w:rPr>
              <w:t>Sygnalizacja dźwiękowa lub optyczna w kabinie kierowcy o niedomknięciu którychkolwiek drzwi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36.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sz w:val="20"/>
                <w:szCs w:val="20"/>
              </w:rPr>
              <w:t>Trójkąt, gaśnica, apteczka, podnośnik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37.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sz w:val="20"/>
                <w:szCs w:val="20"/>
              </w:rPr>
              <w:t>Dywaniki gumowe dla kierowcy i pasażera w kabinie kierowcy zapobiegające zbieraniu się wody z podłoża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38.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sz w:val="20"/>
                <w:szCs w:val="20"/>
              </w:rPr>
              <w:t>Pełnowymiarowe koło zapasowe zainstalowane pod autem lub zestaw naprawczy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39.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sz w:val="20"/>
                <w:szCs w:val="20"/>
              </w:rPr>
              <w:t>Czujniki ciśnienia w kołach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40.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ahoma" w:cs="Arial"/>
                <w:sz w:val="20"/>
                <w:szCs w:val="20"/>
              </w:rPr>
              <w:t>Radioodbiornik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9743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 w:themeColor="text1"/>
                <w:kern w:val="0"/>
                <w:sz w:val="20"/>
                <w:szCs w:val="20"/>
                <w:lang w:eastAsia="ar-SA"/>
              </w:rPr>
              <w:t>II. ADAPTACJA NA AMBULANS SANITARNY</w:t>
            </w:r>
          </w:p>
        </w:tc>
      </w:tr>
      <w:tr>
        <w:trPr/>
        <w:tc>
          <w:tcPr>
            <w:tcW w:w="9743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>NADWOZIE</w:t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41.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Minimalne wymiary przedziału medycznego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w mm po wykonaniu adaptacji (długość x szerokość x wysokość) 3200 x 1700 x 1800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42.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Drzwi tylne wyposażone w światła awaryjne, włączające się automatycznie przy otwarciu drzwi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43.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Ściany boczne/podłoga przedziału medycznego mają być przystosowane do zamocowania foteli oraz innego wyposażenia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44.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Schowek za lewymi drzwiami przesuwnymi (oddzielony od przedziału medycznego i dostępny z zewnątrz pojazdu), z miejscem mocowania min. 2 szt. butli tlenowych 10l, 1 szt. małej butli tlenowej, krzesełka kardiologicznego, noszy podbierakowych, materaca próżniowego oraz deski ortopedycznej ( różnych modeli) dla dorosłych. Poprzez drzwi lewe ma być zapewniony dostęp do plecaka / torby medycznej umieszczonej w przedziale medycznym (tzw. podwójny dostęp do plecaka/torby – z przedziału medycznego i z zewnątrz pojazdu)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45.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Okna do 2/3 wysokości zaklejone folią matową lub zmatowione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46.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Miejsce wraz z mocowaniem 2 kasków ochronnych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9743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>OGRZEWANIE, WENTYLACJA, KLIMATYZACJA</w:t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Postojowe – grzejnik elektryczny z możliwością ustawienia temperatury termostatem i zabezpieczeniem o mocy min. 1.8 kW zasilany z sieci 230 V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48.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Wentylacja mechaniczna, nawiewno – wywiewna, zapewniająca prawidłową wentylację przedziału medycznego i zapewniająca wymianę powietrza min 20 razy na godzinę w czasie postoju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49.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Niezależne od pracy silnika i układu chłodzenia silnika dodatkowe ogrzewanie przedziału medycznego, z możliwością ustawienia temperatury i termostatem o mocy min. 5,0  kW tzw. wodne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50.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643"/>
                <w:tab w:val="left" w:pos="-5741" w:leader="none"/>
              </w:tabs>
              <w:ind w:right="130" w:hanging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Klimatyzacja  dwu parownikowa z niezależną regulacją nawiewu dla kabiny kierowcy i przedziału medycznego.</w:t>
            </w:r>
          </w:p>
          <w:p>
            <w:pPr>
              <w:pStyle w:val="Normal"/>
              <w:widowControl w:val="false"/>
              <w:tabs>
                <w:tab w:val="clear" w:pos="643"/>
                <w:tab w:val="left" w:pos="-5741" w:leader="none"/>
              </w:tabs>
              <w:ind w:right="130" w:hanging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(Zamawiający dopuszcza by fabryczna klimatyzacja kabiny kierowcy pojazdu bazowego była rozbudowana na przedział medyczny na etapie adaptacji na ambulans)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9743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>INSTALACJA ELEKTRYCZNA</w:t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51.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Tekstcofnity"/>
              <w:widowControl w:val="false"/>
              <w:spacing w:lineRule="auto" w:line="240"/>
              <w:ind w:left="0" w:hanging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 w:ascii="Calibri" w:hAnsi="Calibri"/>
                <w:b/>
                <w:bCs/>
                <w:sz w:val="20"/>
                <w:szCs w:val="20"/>
              </w:rPr>
              <w:t>Instalacja dla napięcia 230V w kompletacji:</w:t>
            </w:r>
          </w:p>
          <w:p>
            <w:pPr>
              <w:pStyle w:val="Tekstcofnity"/>
              <w:widowControl w:val="false"/>
              <w:numPr>
                <w:ilvl w:val="0"/>
                <w:numId w:val="1"/>
              </w:numPr>
              <w:spacing w:lineRule="auto" w:line="240"/>
              <w:ind w:left="360" w:hanging="36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 w:ascii="Calibri" w:hAnsi="Calibri"/>
                <w:bCs/>
                <w:sz w:val="20"/>
                <w:szCs w:val="20"/>
              </w:rPr>
              <w:t>zasilanie zewnętrzne 230V z zabezpieczeniem wyłącznikiem przeciwporażeniowym oraz zabezpieczeniem przed uruchomieniem silnika przy podłączonym zasilaniu 230V,</w:t>
            </w:r>
          </w:p>
          <w:p>
            <w:pPr>
              <w:pStyle w:val="Tekstcofnity"/>
              <w:widowControl w:val="false"/>
              <w:numPr>
                <w:ilvl w:val="0"/>
                <w:numId w:val="1"/>
              </w:numPr>
              <w:spacing w:lineRule="auto" w:line="240"/>
              <w:ind w:left="360" w:hanging="36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 w:ascii="Calibri" w:hAnsi="Calibri"/>
                <w:bCs/>
                <w:sz w:val="20"/>
                <w:szCs w:val="20"/>
              </w:rPr>
              <w:t>minimum trzy gniazda poboru prądu w przedziale medycznym zasilane z gniazda umieszczonego na zewnątrz (na pojeździe ma być zamontowana wizualna sygnalizacja informująca o podłączeniu ambulansu do sieci 230V), + gniazdo 230V na ścianie działowej,</w:t>
            </w:r>
          </w:p>
          <w:p>
            <w:pPr>
              <w:pStyle w:val="Tekstcofnity"/>
              <w:widowControl w:val="false"/>
              <w:numPr>
                <w:ilvl w:val="0"/>
                <w:numId w:val="1"/>
              </w:numPr>
              <w:spacing w:lineRule="auto" w:line="240"/>
              <w:ind w:left="360" w:hanging="36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 w:ascii="Calibri" w:hAnsi="Calibri"/>
                <w:bCs/>
                <w:sz w:val="20"/>
                <w:szCs w:val="20"/>
              </w:rPr>
              <w:t>kabel zasilający o długości min. 10m,</w:t>
            </w:r>
          </w:p>
          <w:p>
            <w:pPr>
              <w:pStyle w:val="Tekstcofnity"/>
              <w:widowControl w:val="false"/>
              <w:numPr>
                <w:ilvl w:val="0"/>
                <w:numId w:val="1"/>
              </w:numPr>
              <w:spacing w:lineRule="auto" w:line="240"/>
              <w:ind w:left="360" w:hanging="36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 w:ascii="Calibri" w:hAnsi="Calibri"/>
                <w:bCs/>
                <w:sz w:val="20"/>
                <w:szCs w:val="20"/>
              </w:rPr>
              <w:t>automatyczna ładowarka służąca do ładowania  dwóch fabrycznych akumulatorów działający przy podłączonej instalacji 230V (podać markę i model oraz parametry techniczne),</w:t>
            </w:r>
          </w:p>
          <w:p>
            <w:pPr>
              <w:pStyle w:val="Tekstcofnity"/>
              <w:widowControl w:val="false"/>
              <w:numPr>
                <w:ilvl w:val="0"/>
                <w:numId w:val="1"/>
              </w:numPr>
              <w:spacing w:lineRule="auto" w:line="240"/>
              <w:ind w:left="360" w:hanging="36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 w:ascii="Calibri" w:hAnsi="Calibri"/>
                <w:bCs/>
                <w:sz w:val="20"/>
                <w:szCs w:val="20"/>
              </w:rPr>
              <w:t>grzałka w układzie smarowania cieczą silnika pojazdu,</w:t>
            </w:r>
          </w:p>
          <w:p>
            <w:pPr>
              <w:pStyle w:val="Tekstcofnity"/>
              <w:widowControl w:val="false"/>
              <w:numPr>
                <w:ilvl w:val="0"/>
                <w:numId w:val="1"/>
              </w:numPr>
              <w:spacing w:lineRule="auto" w:line="240"/>
              <w:ind w:left="360" w:hanging="36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 w:ascii="Calibri" w:hAnsi="Calibri"/>
                <w:bCs/>
                <w:sz w:val="20"/>
                <w:szCs w:val="20"/>
              </w:rPr>
              <w:t>inwertor prądu stałego 12V na zmienny 230V o mocy min. 1200W (prąd w „sinusie”), w trakcie jazdy pojazdu w gniazdach 230V ma być dostępne napięcie do obsługi sprzętu medycznego wymagającego zasilania 230V, z możliwością wyłączania napięcia (wyłącznik inwertora)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0" w:after="0"/>
              <w:ind w:left="360" w:hanging="360"/>
              <w:contextualSpacing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Instalacja dla napięcia 12V przedziału medycznego powinna posiadać co najmniej 4 gniazda 12V zabezpieczonych przed zabrudzeniem / zalaniem.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0" w:after="0"/>
              <w:ind w:left="360" w:hanging="360"/>
              <w:contextualSpacing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Oświetlenie przedziału medycznego: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before="0" w:after="0"/>
              <w:ind w:left="757" w:hanging="360"/>
              <w:contextualSpacing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światło rozproszone realizowane przez lampy typu LED umieszczone po obu stronach górnej części przedziału medycznego zapewniające spełnienie wymogu oświetlenia obszaru pacjenta min. 300lx, a obszar otaczający min. 50lx;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before="0" w:after="0"/>
              <w:ind w:left="757" w:hanging="360"/>
              <w:contextualSpacing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minimum 3 punkty ze światłem skupionym, dwa nad noszami oraz jedno nad blatem roboczym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53.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Przedział medyczny ma być wyposażony w zamontowany na ścianie panel sterujący: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643"/>
                <w:tab w:val="left" w:pos="426" w:leader="none"/>
              </w:tabs>
              <w:snapToGrid w:val="false"/>
              <w:ind w:left="284" w:hanging="284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informujący o temperaturze w przedziale medycznym oraz na zewnątrz pojazdu,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643"/>
                <w:tab w:val="left" w:pos="426" w:leader="none"/>
              </w:tabs>
              <w:snapToGrid w:val="false"/>
              <w:ind w:left="284" w:hanging="284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 funkcją zegara (aktualny czas) i kalendarza (dzień, data),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643"/>
                <w:tab w:val="left" w:pos="426" w:leader="none"/>
              </w:tabs>
              <w:snapToGrid w:val="false"/>
              <w:ind w:left="284" w:hanging="284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informujący o temperaturze wewnątrz termoboxu,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643"/>
                <w:tab w:val="left" w:pos="426" w:leader="none"/>
              </w:tabs>
              <w:snapToGrid w:val="false"/>
              <w:ind w:left="284" w:hanging="284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sterujący oświetleniem przedziału medycznego,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643"/>
                <w:tab w:val="left" w:pos="426" w:leader="none"/>
              </w:tabs>
              <w:snapToGrid w:val="false"/>
              <w:ind w:left="284" w:hanging="284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sterujący systemem wentylacji przedziału medycznego,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643"/>
                <w:tab w:val="left" w:pos="426" w:leader="none"/>
              </w:tabs>
              <w:snapToGrid w:val="false"/>
              <w:ind w:left="284" w:hanging="284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zarządzający system ogrzewania przedziału medycznego i klimatyzacji przedziału medycznego z funkcją automatycznego utrzymania zadanej temperatury.</w:t>
            </w:r>
          </w:p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Panel przyciskowy nie typu touch screen.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54.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Kabina kierowcy ma być wyposażona w panel sterujący: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284" w:hanging="284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sterujący oświetleniem zewnętrznym (światła robocze),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284" w:hanging="284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informujący kierowcę o braku możliwości uruchomienia pojazdu z powodu  podłączenia ambulansu do sieci 230 V,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284" w:hanging="284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informujący kierowcę o braku możliwości uruchomienia pojazdu z powodu otwartych drzwi między przedziałem medycznym a kabiną kierowcy,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284" w:hanging="284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informujący kierowcę o poziomie naładowania akumulatora samochodu bazowego i akumulatora dodatkowego,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284" w:hanging="284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ostrzegający kierowcę (sygnalizacja dźwiękowa) o nie doładowaniu akumulatora samochodu bazowego i akumulatora dodatkowego.</w:t>
            </w:r>
          </w:p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Panel przyciskowy nie typu touch screen.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9743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SYGNALIZACJA ŚWIETLNO –DŹWIĘKOWA I OZNAKOWANIE</w:t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55.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 przedniej części dachu pojazdu belka świetlna typu LED, wyposażona w dwa reflektory typu LED do oświetlania przedpola pojazdu oraz podświetlany napis „ambulans”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 wysokości pasa przedniego 2 niebieskie lampy pulsacyjne barwy niebieskiej typu LED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57.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 tylnej części dachu belka świetlna typu LED, wyposażona w dwa reflektory typu LED do oświetlania przestrzeni za ambulansem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Sygnał d</w:t>
            </w:r>
            <w:r>
              <w:rPr>
                <w:rFonts w:eastAsia="TimesNewRoman" w:cs="Arial"/>
                <w:sz w:val="20"/>
                <w:szCs w:val="20"/>
              </w:rPr>
              <w:t>ź</w:t>
            </w:r>
            <w:r>
              <w:rPr>
                <w:rFonts w:cs="Arial"/>
                <w:sz w:val="20"/>
                <w:szCs w:val="20"/>
              </w:rPr>
              <w:t>wi</w:t>
            </w:r>
            <w:r>
              <w:rPr>
                <w:rFonts w:eastAsia="TimesNewRoman" w:cs="Arial"/>
                <w:sz w:val="20"/>
                <w:szCs w:val="20"/>
              </w:rPr>
              <w:t>ę</w:t>
            </w:r>
            <w:r>
              <w:rPr>
                <w:rFonts w:cs="Arial"/>
                <w:sz w:val="20"/>
                <w:szCs w:val="20"/>
              </w:rPr>
              <w:t>kowy modulowany o mocy min. 100 W z mo</w:t>
            </w:r>
            <w:r>
              <w:rPr>
                <w:rFonts w:eastAsia="TimesNewRoman" w:cs="Arial"/>
                <w:sz w:val="20"/>
                <w:szCs w:val="20"/>
              </w:rPr>
              <w:t>ż</w:t>
            </w:r>
            <w:r>
              <w:rPr>
                <w:rFonts w:cs="Arial"/>
                <w:sz w:val="20"/>
                <w:szCs w:val="20"/>
              </w:rPr>
              <w:t>liwo</w:t>
            </w:r>
            <w:r>
              <w:rPr>
                <w:rFonts w:eastAsia="TimesNewRoman" w:cs="Arial"/>
                <w:sz w:val="20"/>
                <w:szCs w:val="20"/>
              </w:rPr>
              <w:t>ś</w:t>
            </w:r>
            <w:r>
              <w:rPr>
                <w:rFonts w:cs="Arial"/>
                <w:sz w:val="20"/>
                <w:szCs w:val="20"/>
              </w:rPr>
              <w:t>ci</w:t>
            </w:r>
            <w:r>
              <w:rPr>
                <w:rFonts w:eastAsia="TimesNewRoman" w:cs="Arial"/>
                <w:sz w:val="20"/>
                <w:szCs w:val="20"/>
              </w:rPr>
              <w:t xml:space="preserve">ą </w:t>
            </w:r>
            <w:r>
              <w:rPr>
                <w:rFonts w:cs="Arial"/>
                <w:sz w:val="20"/>
                <w:szCs w:val="20"/>
              </w:rPr>
              <w:t>podawania komunikatów głosem zgodny z obowi</w:t>
            </w:r>
            <w:r>
              <w:rPr>
                <w:rFonts w:eastAsia="TimesNewRoman" w:cs="Arial"/>
                <w:sz w:val="20"/>
                <w:szCs w:val="20"/>
              </w:rPr>
              <w:t>ą</w:t>
            </w:r>
            <w:r>
              <w:rPr>
                <w:rFonts w:cs="Arial"/>
                <w:sz w:val="20"/>
                <w:szCs w:val="20"/>
              </w:rPr>
              <w:t>zuj</w:t>
            </w:r>
            <w:r>
              <w:rPr>
                <w:rFonts w:eastAsia="TimesNewRoman" w:cs="Arial"/>
                <w:sz w:val="20"/>
                <w:szCs w:val="20"/>
              </w:rPr>
              <w:t>ą</w:t>
            </w:r>
            <w:r>
              <w:rPr>
                <w:rFonts w:cs="Arial"/>
                <w:sz w:val="20"/>
                <w:szCs w:val="20"/>
              </w:rPr>
              <w:t>cymi przepisami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59.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Dodatkowe sygnały dźwiękowe (awaryjne) pneumatyczne lub elektryczne przeznaczone do pracy ciągłej – podać markę i model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60.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Włączanie sygnalizacji dźwiękowo-świetlnej realizowane przez jeden główny włącznik umieszczony w widocznym, łatwo dostępnym miejscu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61.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Oznakowanie pojazdu: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napToGrid w:val="false"/>
              <w:spacing w:before="0" w:after="0"/>
              <w:ind w:left="360" w:hanging="360"/>
              <w:contextualSpacing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 pasy odblaskowe zgodnie z Rozporządzeniem Ministra Zdrowia  z dnia 18.10.2010 r. wykonanych z folii: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napToGrid w:val="false"/>
              <w:ind w:left="700" w:hanging="36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typu 3 barwy czerwonej o szer. Min. 15 cm, umieszczony w obszarze pomiędzy linią okien i nadkoli,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napToGrid w:val="false"/>
              <w:ind w:left="700" w:hanging="36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typu 1 lub 3 barwy czerwonej o szer. Min. 15 cm umieszczony wokół dachu,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napToGrid w:val="false"/>
              <w:ind w:left="700" w:hanging="36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typu 1 lub 3 barwy niebieskiej umieszczony bezpośrednio nad pasem czerwonym (o którym mowa w pkt. „a”)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napToGrid w:val="false"/>
              <w:spacing w:before="0" w:after="0"/>
              <w:ind w:left="360" w:hanging="360"/>
              <w:contextualSpacing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 przodu i z tyłu pojazdu napis: zgodnie z Rozporządzeniem Ministra Zdrowia  z dnia 18.10.2010r.,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napToGrid w:val="false"/>
              <w:spacing w:before="0" w:after="0"/>
              <w:ind w:left="360" w:hanging="360"/>
              <w:contextualSpacing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oznakowanie symbolem ratownictwa medycznego zgodnie z Rozporządzeniem Ministra Zdrowia z dnia 18.10.2010 r.,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napToGrid w:val="false"/>
              <w:spacing w:before="0" w:after="0"/>
              <w:ind w:left="360" w:hanging="360"/>
              <w:contextualSpacing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po obu bokach pojazdu nadruk barwy czerwonej </w:t>
            </w:r>
            <w:r>
              <w:rPr>
                <w:rFonts w:cs="Arial"/>
                <w:b/>
                <w:color w:val="000000" w:themeColor="text1"/>
                <w:sz w:val="20"/>
                <w:szCs w:val="20"/>
              </w:rPr>
              <w:t>„P” lub „T”  ( do uzgodnienia po podpisaniu umowy)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napToGrid w:val="false"/>
              <w:spacing w:before="0" w:after="0"/>
              <w:ind w:left="360" w:hanging="360"/>
              <w:contextualSpacing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nazwa dysponenta jednostki umieszczona po obu bokach pojazdu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hanging="2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Dodatkowe migacze, typu LED, zamontowane w górnych tylnych cz</w:t>
            </w:r>
            <w:r>
              <w:rPr>
                <w:rFonts w:eastAsia="TimesNewRoman" w:cs="Arial"/>
                <w:sz w:val="20"/>
                <w:szCs w:val="20"/>
              </w:rPr>
              <w:t>ęś</w:t>
            </w:r>
            <w:r>
              <w:rPr>
                <w:rFonts w:cs="Arial"/>
                <w:sz w:val="20"/>
                <w:szCs w:val="20"/>
              </w:rPr>
              <w:t>ciach nadwozia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9743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>PRZEDZIAŁ MEDYCZNY</w:t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63.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Antypoślizgowa podłoga, wzmocniona, połączona szczelnie z zabudową ścian, umożliwiająca mocowanie lawety lub noszy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64.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Ściany boczne i sufit pokryte specjalnym tworzywem sztucznym – łatwo zmywalnym i odpornym na środki dezynfekujące, w kolorze białym.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65.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 prawej ścianie minimum jeden fotel obrotowy, wyposażony w bezwładnościowy, trzypunktowy pas bezpieczeństwa i zagłówek, ze składanym do pionu siedziskiem i regulowanym oparciem pod plecami (regulowany kąt oparcia); za fotelem na prawej ścianie zamontowana rampa najazdowa dedykowana do fotela kardiologicznego opisanego w dalszej części.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66.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Dodatkowy fotel obrotowy u wezgłowia noszy, wyposażony w bezwładnościowy, trzypunktowy pas bezpieczeństwa i zagłówek, ze składanym do pionu siedziskiem i regulowanym oparciem pod plecami (regulowany kąt oparcia)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67.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Przegroda między kabiną kierowcy a przedziałem medycznym. Przegroda zapewniająca możliwość oddzielenia obu przedziałów oraz swobodną komunikację pomiędzy personelem medycznym a kierowcą, przegroda ma być wyposażona w drzwi przesuwne  (wymiary przejścia mierzone w świetle: wysokość min. 165 cm, szerokość min. 40 cm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68.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Zabudowa meblowa na ścianie lewej: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napToGrid w:val="false"/>
              <w:spacing w:before="0" w:after="0"/>
              <w:ind w:left="360" w:hanging="360"/>
              <w:contextualSpacing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zestawy szafek i półek wykonanych z tworzywa sztucznego, zabezpieczone przed niekontrolowanym wypadnięciem umieszczonych tam przedmiotów, z miejscem mocowania wyposażenia medycznego tj. szyny Kramera, torba opatrunkowa i inne,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napToGrid w:val="false"/>
              <w:spacing w:before="0" w:after="0"/>
              <w:ind w:left="360" w:hanging="360"/>
              <w:contextualSpacing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półki podsufitowe z przezroczystymi szybkami i podświetleniem umożliwiającym podgląd na umieszczone tam przedmioty (na ścianie lewej co najmniej 4 szt., na ścianie prawej co najmniej 2 szt.),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napToGrid w:val="false"/>
              <w:spacing w:before="0" w:after="0"/>
              <w:ind w:left="360" w:hanging="360"/>
              <w:contextualSpacing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 ścianie lewej zamykany schowek na środki psychotropowe z cyfrowym zamkiem szyfrowym, kosz na śmieci, uchwyty do mocowania rękawiczek 3 szt.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69.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Zabudowa meblowa na ścianie działowej: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napToGrid w:val="false"/>
              <w:spacing w:before="0" w:after="0"/>
              <w:ind w:left="360" w:hanging="360"/>
              <w:contextualSpacing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szafka z blatem roboczym wykończonym blachą nierdzewną (wysokość blatu roboczego 100 cm ± 10 cm – podać wartość oferowaną,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napToGrid w:val="false"/>
              <w:spacing w:before="0" w:after="0"/>
              <w:ind w:left="360" w:hanging="360"/>
              <w:contextualSpacing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min. dwie szuflady,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napToGrid w:val="false"/>
              <w:spacing w:before="0" w:after="0"/>
              <w:ind w:left="360" w:hanging="360"/>
              <w:contextualSpacing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kosz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70.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Sufitowy uchwyt do kroplówek na min. 4 szt. pojemników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71.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Sufitowy uchwyt dla personelu medycznego umieszczony wzdłuż osi głównej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72.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Wyliczkreska"/>
              <w:widowControl w:val="false"/>
              <w:snapToGrid w:val="false"/>
              <w:spacing w:lineRule="auto" w:line="240"/>
              <w:ind w:left="71" w:hanging="71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 w:ascii="Calibri" w:hAnsi="Calibri"/>
                <w:sz w:val="20"/>
                <w:szCs w:val="20"/>
                <w:lang w:val="pl-PL"/>
              </w:rPr>
              <w:t xml:space="preserve"> </w:t>
            </w:r>
            <w:r>
              <w:rPr>
                <w:rFonts w:cs="Arial" w:ascii="Calibri" w:hAnsi="Calibri"/>
                <w:sz w:val="20"/>
                <w:szCs w:val="20"/>
                <w:lang w:val="pl-PL"/>
              </w:rPr>
              <w:t>Na lewej ścianie przestrzeń przeznaczona do mocowania defibrylatora, respiratora, pompy infuzyjnej, ssaka i innego sprzętu. Zamocowane 2 poziome szyny min. 3 uniwersalne płyty mocującej – płyty w ukompletowaniu, do których można niezależnie mocować: uchwyt pod dowolny typ defibrylatora, respiratora, pompy infuzyjnej. Płyty mają mieć</w:t>
            </w:r>
          </w:p>
          <w:p>
            <w:pPr>
              <w:pStyle w:val="Wyliczkreska"/>
              <w:widowControl w:val="false"/>
              <w:snapToGrid w:val="false"/>
              <w:spacing w:lineRule="auto" w:line="240"/>
              <w:ind w:left="71" w:hanging="71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 w:ascii="Calibri" w:hAnsi="Calibri"/>
                <w:sz w:val="20"/>
                <w:szCs w:val="20"/>
                <w:lang w:val="pl-PL"/>
              </w:rPr>
              <w:t xml:space="preserve"> </w:t>
            </w:r>
            <w:r>
              <w:rPr>
                <w:rFonts w:cs="Arial" w:ascii="Calibri" w:hAnsi="Calibri"/>
                <w:sz w:val="20"/>
                <w:szCs w:val="20"/>
                <w:lang w:val="pl-PL"/>
              </w:rPr>
              <w:t>możliwość przesuwania wzdłuż osi pojazdu tj. możliwość rozmieszczenia ww. sprzętu medycznego wg uznania Zamawiającego w każdym momencie eksploatacji.</w:t>
            </w:r>
          </w:p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Uwaga</w:t>
            </w:r>
            <w:r>
              <w:rPr>
                <w:rFonts w:cs="Arial"/>
                <w:sz w:val="20"/>
                <w:szCs w:val="20"/>
              </w:rPr>
              <w:t xml:space="preserve"> – Zamawiający nie dopuszcza mocowania na stałe uchwytów do ww. sprzętu medycznego bezpośrednio do ściany przedziału medycznego. (bez uchwytów sprzętu medycznego)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73.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Fotele w przedziale medycznym wyposażone w czujniki zapięcia pasów informujące kierowcę wizualnie i/lub dźwiękowo o tym że na fotelu w przedziale medycznym siedzi osoba i ma niezapięty pas bezpieczeństwa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74.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643"/>
                <w:tab w:val="left" w:pos="420" w:leader="none"/>
              </w:tabs>
              <w:ind w:left="71" w:hanging="71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Centralna  instalacja tlenowa dostosowana do zasilania w tlen z 2 szt. butli 10l.</w:t>
            </w:r>
          </w:p>
          <w:p>
            <w:pPr>
              <w:pStyle w:val="ListParagraph"/>
              <w:widowControl w:val="false"/>
              <w:numPr>
                <w:ilvl w:val="0"/>
                <w:numId w:val="10"/>
              </w:numPr>
              <w:tabs>
                <w:tab w:val="clear" w:pos="643"/>
                <w:tab w:val="left" w:pos="420" w:leader="none"/>
              </w:tabs>
              <w:spacing w:before="0" w:after="0"/>
              <w:ind w:left="360" w:hanging="360"/>
              <w:contextualSpacing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minimum 2 gniazda poboru tlenu typu AGA, monoblokowe typu panelowego (</w:t>
            </w:r>
            <w:r>
              <w:rPr>
                <w:rFonts w:cs="Arial"/>
                <w:color w:val="000000"/>
                <w:sz w:val="20"/>
                <w:szCs w:val="20"/>
              </w:rPr>
              <w:t>min. 2 na ścianie lewej),</w:t>
            </w:r>
          </w:p>
          <w:p>
            <w:pPr>
              <w:pStyle w:val="ListParagraph"/>
              <w:widowControl w:val="false"/>
              <w:numPr>
                <w:ilvl w:val="0"/>
                <w:numId w:val="10"/>
              </w:numPr>
              <w:tabs>
                <w:tab w:val="clear" w:pos="643"/>
                <w:tab w:val="left" w:pos="420" w:leader="none"/>
              </w:tabs>
              <w:spacing w:before="0" w:after="0"/>
              <w:ind w:left="360" w:hanging="360"/>
              <w:contextualSpacing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pojedynczy uchwyt małej buli tlenowej przy przegrodzie w przedziale medycznym</w:t>
            </w:r>
          </w:p>
          <w:p>
            <w:pPr>
              <w:pStyle w:val="ListParagraph"/>
              <w:widowControl w:val="false"/>
              <w:numPr>
                <w:ilvl w:val="0"/>
                <w:numId w:val="10"/>
              </w:numPr>
              <w:tabs>
                <w:tab w:val="clear" w:pos="643"/>
                <w:tab w:val="left" w:pos="420" w:leader="none"/>
              </w:tabs>
              <w:spacing w:before="0" w:after="0"/>
              <w:ind w:left="360" w:hanging="360"/>
              <w:contextualSpacing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bez butli oraz red</w:t>
            </w:r>
            <w:r>
              <w:rPr>
                <w:rFonts w:cs="Arial"/>
                <w:sz w:val="20"/>
                <w:szCs w:val="20"/>
              </w:rPr>
              <w:t>uktorów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75.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Podstawa (laweta) pod nosze główne </w:t>
            </w:r>
            <w:r>
              <w:rPr>
                <w:rFonts w:cs="Arial"/>
                <w:bCs/>
                <w:sz w:val="20"/>
                <w:szCs w:val="20"/>
              </w:rPr>
              <w:t>z klapką najazdową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76.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Termobox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61" w:right="8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9743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>III. WYPOSAŻENIE MEDYCZNE</w:t>
            </w:r>
          </w:p>
        </w:tc>
      </w:tr>
      <w:tr>
        <w:trPr/>
        <w:tc>
          <w:tcPr>
            <w:tcW w:w="9743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ZESTAW TRANSPORTOWY – 1 komplet</w:t>
            </w:r>
          </w:p>
        </w:tc>
      </w:tr>
      <w:tr>
        <w:trPr/>
        <w:tc>
          <w:tcPr>
            <w:tcW w:w="9743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>NOSZE</w:t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77.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Producent …</w:t>
            </w:r>
          </w:p>
          <w:p>
            <w:pPr>
              <w:pStyle w:val="Standard"/>
              <w:widowControl w:val="false"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Dostawca …</w:t>
            </w:r>
          </w:p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Nazwa produktu / Model / Typ / Nr katalogowy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78.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59"/>
                <w:rFonts w:cs="Arial"/>
                <w:sz w:val="20"/>
                <w:szCs w:val="20"/>
              </w:rPr>
              <w:t>Potrójnie łamane z możliwością ustawienia pozycji przeciwwstrząsowej i pozycji zmniejszającej napięcie mięśni brzucha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79.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Przystosowane do prowadzenia reanimacji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80.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Nosze wyposażone w dodatkowe uchwyty wysuwane teleskopowo, wykonane z twardego materiału zapewniającego pewny chwyt. Dodatkowe uchwyty umieszczone na bocznej powierzchni noszy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Z możliwością płynnego podnoszenia i opuszczania oparcia pod plecami do 90 stopni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82.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Rama noszy pod głową pacjenta umożliwiająca odgięcie głowy do tyłu, do klatki piersiowej i ułożenie na wznak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85.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Wyposażone w cienki niesprężynujący materac z tworzywa sztucznego umożliwiający ustawienie wszystkich dostępnych pozycji transportowych, o powierzchni antypoślizgowej, nie absorbujący krwi i płynów, odporny na środki dezynfekujące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86.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Ze składanymi wzdłużnie poręczami bocznymi. Możliwość złożenia i rozłożenia poręczy jedną ręką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87.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Z wysuwanymi rękojeściami do przenoszenia umieszczonymi z przodu i tyłu noszy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88.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Składany wieszak na pojemnik z płynami infuzyjnymi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89.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</w:rPr>
              <w:t>Trwałe oznakowanie graficzne elementów związanych z obsługą noszy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90.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</w:rPr>
              <w:t>Zestaw pasów lub uprzęży służący do transportu małych dzieci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91.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7"/>
              <w:widowControl w:val="false"/>
              <w:tabs>
                <w:tab w:val="clear" w:pos="643"/>
                <w:tab w:val="left" w:pos="0" w:leader="none"/>
              </w:tabs>
              <w:spacing w:lineRule="auto" w:line="240"/>
              <w:jc w:val="left"/>
              <w:rPr/>
            </w:pPr>
            <w:r>
              <w:rPr>
                <w:rStyle w:val="FontStyle59"/>
                <w:rFonts w:cs="Arial" w:ascii="Calibri" w:hAnsi="Calibri"/>
                <w:color w:val="000000"/>
                <w:sz w:val="20"/>
                <w:szCs w:val="20"/>
              </w:rPr>
              <w:t>Zestaw pasów zabezpieczających o regulowanej długości mocowane bezpośrednio do ramy noszy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92.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widowControl w:val="false"/>
              <w:suppressAutoHyphens w:val="false"/>
              <w:spacing w:before="0" w:after="0"/>
              <w:jc w:val="left"/>
              <w:textAlignment w:val="baseline"/>
              <w:rPr/>
            </w:pPr>
            <w:r>
              <w:rPr>
                <w:rStyle w:val="FontStyle59"/>
                <w:rFonts w:cs="Arial"/>
                <w:color w:val="000000"/>
                <w:sz w:val="20"/>
                <w:szCs w:val="20"/>
              </w:rPr>
              <w:t>Możliwość wprowadzania noszy przodem i tyłem do kierunku jazdy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93.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59"/>
                <w:rFonts w:eastAsia="Calibri" w:cs="Calibri"/>
                <w:sz w:val="20"/>
                <w:szCs w:val="20"/>
              </w:rPr>
              <w:t>Wykonane z materiału odpornego na korozję, lub z materiału zabezpieczonego przed korozją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94.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59"/>
                <w:rFonts w:cs="Arial"/>
                <w:sz w:val="20"/>
                <w:szCs w:val="20"/>
              </w:rPr>
              <w:t>Waga noszy max 23 kg zgodnie z PN EN 1865 lub równoważną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95.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59"/>
                <w:rFonts w:cs="Arial"/>
                <w:sz w:val="20"/>
                <w:szCs w:val="20"/>
              </w:rPr>
              <w:t>Obciążenie dopuszczalne min 250 kg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9743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TRANSPORTER DO NOSZY GŁÓWNYCH</w:t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96.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Wyposażony w system niezależnego składania się goleni przednich i tylnych przy wprowadzaniu i wyprowadzaniu noszy z/do ambulansu pozwalający na bezpieczne wprowadzenie/wyprowadzenie noszy z pacjentem nawet przez jedną osobę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97.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Szybki i łatwy system połączenia z noszami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98.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Regulacja wysokości w min. 7 poziomach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99.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 możliwością zapięcia noszy przodem lub nogami w kierunku jazdy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100.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Odbojniki na goleniach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101.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</w:rPr>
              <w:t>Wyposażony w min. 4 kółka obrotowe w zakresie o 360 stopni, min. 2 kółka wyposażone w hamulce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102.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</w:rPr>
              <w:t>Wszystkie kółka jezdne skrętne, o średnicy min. 150mm i szerokości min. 50mm umożliwiające prowadzenie noszy bokiem do kierunku jazdy przez jedną osobę z dowolnej strony transportera, z blokadą przednich kółek do jazdy na wprost. Kółka mają umożliwiać jazdę zarówno w pomieszczeniach zamkniętych  jak i poza nimi (na otwartych przestrzeniach)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103.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Blokada kółek do jazdy na wprost uruchamiana przez operatora w momencie w którym jest to wymagane i potrzebne, uniemożliwiająca przypadkowe zablokowanie do jazdy na wprost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104.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Wykonany z materiału odpornego na korozję, lub z materiału zabezpieczonego przed korozją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105.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Trwałe oznakowanie najlepiej graficzne elementów związanych z obsługą transportera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106.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Obciążenie dopuszczalne co najmniej 230 kg + waga noszy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107.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Możliwość ustawienia pozycji drenażowych Trendelenburga i Fowlera na minimum trzech poziomach pochylenia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108.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Waga transportera do 28 kg – zgodnie z wymogami PN EN 1865 lub równoważną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109.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Certyfikat zgodności/Deklaracja zgodności CE lub inny równoważny dokument potwierdzający</w:t>
            </w:r>
            <w:r>
              <w:rPr>
                <w:rFonts w:cs="Arial"/>
                <w:sz w:val="20"/>
                <w:szCs w:val="20"/>
              </w:rPr>
              <w:t xml:space="preserve"> zgodności z normą PN-EN 1789 (lub równoważna) oraz PN-EN 1865 (lub równoważna) na oferowany system transportowy (nosze, transporter, mocowanie)  wystawiony przez niezależną jednostkę notyfikowaną - załączyć do oferty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9743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FOTEL KARDIOLOGICZNY – 1 szt.</w:t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110.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Producent …</w:t>
            </w:r>
          </w:p>
          <w:p>
            <w:pPr>
              <w:pStyle w:val="Standard"/>
              <w:widowControl w:val="false"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Dostawca …</w:t>
            </w:r>
          </w:p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Nazwa produktu / Model / Typ / Nr katalogowy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111.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Wykonany z aluminium, dodatkowo malowany ochronną farbą proszkową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112.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Koła przednie średnica min. 15 cm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113.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Koła tylne średnica min. 12 cm, obrotowe o 360°, wyposażone w hamulce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114.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Udźwig minimum 240 kg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115.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Waga maksymalna do 17 kg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116.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Ergonomiczne mechanizmy kontrolne fotela obsługiwane jedną ręką – brak możliwości zranienia operatora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117.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Czteropunktowy pas zabezpieczający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118.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Teleskopowe, wysuwane przednie uchwyty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119.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Składane tylne uchwyty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120.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Dedykowane mocowanie podłogowe – zgodne z aktualną normą PN EN 1789 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lub równoważną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121.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Anatomiczne wyprofilowane siedzisko i oparcie dla zwiększonego komfortu pacjenta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122.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Składane podłokietniki i podparcie stóp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123.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Możliwość mycia ciśnieniowego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9743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>WYPOSAŻENIE POJAZDU</w:t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124.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Dodatkowa gaśnica w przedziale medycznym, młotek do wybijania szyb, nóż do przecinania pasów bezpieczeństwa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125.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Reflektory zewnętrzne po bokach oraz z tyłu pojazdu, po 2 za każdej strony, ze światłem rozproszonym do oświetlenia miejsca akcji, włączanie i wyłączanie reflektorów zarówno z kabiny kierowcy jak i z przedziału medycznego.</w:t>
            </w:r>
          </w:p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Reflektory typu LED. Reflektory automatycznie wyłączające się po ruszeniu pojazdu i osiągnięciu prędkości 15-30 km/h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126.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Kamera cofania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127.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Lampka typu kokpit dla pasażera w kabinie kierowcy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128.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Ampularium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129.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Tablica do pisania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130.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Intercom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131.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Głośnik w przedziale medycznym podłączony do radia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132.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Lodówka przenośna mocowana w schowku zewnętrznym (typu CFF12 lub równoważna)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133.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 reduktory do butli tlenowych 10l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134.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Kask ochronny – 2 szt.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135.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Komplet 4-ech opon zimowych z felgami i czujnikami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9743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>WYMAGANIA OGÓLNE</w:t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136.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Karta gwarancyjna zabudowy przedziału medycznego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137.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ind w:right="130" w:hanging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Gwarancja na samochód bazowy –  min. 24 miesiące</w:t>
            </w:r>
          </w:p>
          <w:p>
            <w:pPr>
              <w:pStyle w:val="Normal"/>
              <w:widowControl w:val="false"/>
              <w:snapToGrid w:val="false"/>
              <w:ind w:right="130" w:hanging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Gwarancja na powłokę lakierniczą – min. 24 miesiące</w:t>
            </w:r>
          </w:p>
          <w:p>
            <w:pPr>
              <w:pStyle w:val="Normal"/>
              <w:widowControl w:val="false"/>
              <w:snapToGrid w:val="false"/>
              <w:ind w:right="130" w:hanging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Gwarancja na  zabudowę medyczną – min. 24 miesiące</w:t>
            </w:r>
          </w:p>
          <w:p>
            <w:pPr>
              <w:pStyle w:val="Normal"/>
              <w:widowControl w:val="false"/>
              <w:snapToGrid w:val="false"/>
              <w:ind w:right="130" w:hanging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Gwarancja na  sprzęt medyczny – min. 24 miesiące</w:t>
            </w:r>
          </w:p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Gwarancja na perforację nadwozia – min. 60 miesięcy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138.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Dostawa na lawecie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139.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ind w:right="130" w:hanging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Za okresowe przeglądy eksploatacyjne samochodu bazowego płaci Zamawiający.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4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140.</w:t>
            </w:r>
          </w:p>
        </w:tc>
        <w:tc>
          <w:tcPr>
            <w:tcW w:w="602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ind w:right="130" w:hanging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Za okresowe przeglądy eksploatacyjne adaptacji medycznej płaci Wykonawca.</w:t>
            </w:r>
          </w:p>
        </w:tc>
        <w:tc>
          <w:tcPr>
            <w:tcW w:w="15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76"/>
        <w:jc w:val="both"/>
        <w:rPr>
          <w:rFonts w:eastAsia="Times New Roman"/>
          <w:b/>
          <w:b/>
          <w:color w:val="000000"/>
        </w:rPr>
      </w:pPr>
      <w:r>
        <w:rPr>
          <w:rFonts w:eastAsia="Times New Roman"/>
          <w:b/>
          <w:color w:val="000000"/>
        </w:rPr>
      </w:r>
    </w:p>
    <w:p>
      <w:pPr>
        <w:pStyle w:val="Normal"/>
        <w:spacing w:lineRule="auto" w:line="276"/>
        <w:jc w:val="both"/>
        <w:rPr/>
      </w:pPr>
      <w:r>
        <w:rPr>
          <w:rFonts w:eastAsia="Times New Roman"/>
          <w:b/>
          <w:color w:val="000000"/>
        </w:rPr>
        <w:t>UWAGA!</w:t>
      </w:r>
    </w:p>
    <w:p>
      <w:pPr>
        <w:pStyle w:val="Normal"/>
        <w:spacing w:lineRule="auto" w:line="276"/>
        <w:rPr/>
      </w:pPr>
      <w:r>
        <w:rPr>
          <w:rFonts w:eastAsia="Times New Roman"/>
          <w:color w:val="000000"/>
        </w:rPr>
        <w:t xml:space="preserve">W kolumnie „Parametr oferowany” Wykonawca </w:t>
      </w:r>
      <w:r>
        <w:rPr>
          <w:rFonts w:eastAsia="Times New Roman"/>
          <w:b/>
          <w:bCs/>
          <w:color w:val="000000"/>
        </w:rPr>
        <w:t>wpisuje słowo „TAK”</w:t>
      </w:r>
      <w:r>
        <w:rPr>
          <w:rFonts w:eastAsia="Times New Roman"/>
          <w:color w:val="000000"/>
        </w:rPr>
        <w:t>, jeśli oferowany przedmiot zamówienia spełnia minimalne parametry podane przez Zamawiającego.</w:t>
      </w:r>
    </w:p>
    <w:p>
      <w:pPr>
        <w:pStyle w:val="Normal"/>
        <w:spacing w:lineRule="auto" w:line="276"/>
        <w:rPr/>
      </w:pPr>
      <w:r>
        <w:rPr>
          <w:rFonts w:eastAsia="Times New Roman"/>
          <w:color w:val="000000"/>
        </w:rPr>
        <w:t xml:space="preserve">W sytuacji zaoferowania przedmiotu zamówienia o parametrach wyższych niż minimalne, oprócz wpisania słowa „TAK” </w:t>
      </w:r>
      <w:r>
        <w:rPr>
          <w:rFonts w:eastAsia="Times New Roman"/>
          <w:b/>
          <w:color w:val="000000"/>
        </w:rPr>
        <w:t>należy je również wpisać</w:t>
      </w:r>
      <w:r>
        <w:rPr>
          <w:rFonts w:eastAsia="Times New Roman"/>
          <w:color w:val="000000"/>
        </w:rPr>
        <w:t xml:space="preserve"> w kolumnie „Parametr oferowany”.</w:t>
      </w:r>
    </w:p>
    <w:p>
      <w:pPr>
        <w:pStyle w:val="Normal"/>
        <w:spacing w:lineRule="auto" w:line="276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W przypadku wyboru oferty Wykonawcy, który zaoferował wyższe niż wymagane parametry, będzie on zobowiązany do dostarczenia Zamawiającemu przedmiotu zamówienia posiadającego te wyższe parametry.</w:t>
      </w:r>
    </w:p>
    <w:p>
      <w:pPr>
        <w:pStyle w:val="Normal"/>
        <w:spacing w:lineRule="auto" w:line="276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Oświadczam, że oferowane powyżej wyspecyfikowane urządzenie jest fabrycznie nowe, niepowystawowe, kompletne, kompatybilne i będzie gotowe do użytkowania bez żadnych dodatkowych zakupów poza materiałami eksploatacyjnymi.</w:t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rPr>
          <w:rFonts w:ascii="Arial" w:hAnsi="Arial"/>
          <w:b/>
          <w:b/>
          <w:color w:val="000000"/>
        </w:rPr>
      </w:pPr>
      <w:r>
        <w:rPr>
          <w:rFonts w:ascii="Arial" w:hAnsi="Arial"/>
          <w:b/>
          <w:color w:val="000000"/>
        </w:rPr>
      </w:r>
    </w:p>
    <w:p>
      <w:pPr>
        <w:pStyle w:val="Standard"/>
        <w:spacing w:before="0" w:after="0"/>
        <w:ind w:right="-284" w:hanging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WYMAGANIA FAKULTATYWNE – STANOWIĄCE KRYTERIUM OCENY OFERT „PARAMETRY TECHNICZNE” – MAKSYMALNA LICZBA PUNKTÓW W TYM KRYTERIUM – 10 pkt.</w:t>
      </w:r>
    </w:p>
    <w:p>
      <w:pPr>
        <w:pStyle w:val="Normal"/>
        <w:rPr>
          <w:rFonts w:ascii="Arial" w:hAnsi="Arial" w:eastAsia="Times New Roman"/>
          <w:b/>
          <w:b/>
          <w:color w:val="000000"/>
          <w:u w:val="single"/>
        </w:rPr>
      </w:pPr>
      <w:r>
        <w:rPr>
          <w:rFonts w:eastAsia="Times New Roman" w:ascii="Arial" w:hAnsi="Arial"/>
          <w:b/>
          <w:color w:val="000000"/>
          <w:u w:val="single"/>
        </w:rPr>
      </w:r>
    </w:p>
    <w:tbl>
      <w:tblPr>
        <w:tblStyle w:val="Tabela-Siatka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19"/>
        <w:gridCol w:w="4375"/>
        <w:gridCol w:w="2565"/>
        <w:gridCol w:w="2294"/>
      </w:tblGrid>
      <w:tr>
        <w:trPr/>
        <w:tc>
          <w:tcPr>
            <w:tcW w:w="6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/>
                <w:b/>
                <w:b/>
                <w:color w:val="000000"/>
              </w:rPr>
            </w:pPr>
            <w:r>
              <w:rPr>
                <w:rFonts w:eastAsia="Times New Roman" w:cs="Calibri"/>
                <w:b/>
                <w:color w:val="000000"/>
                <w:kern w:val="2"/>
                <w:sz w:val="24"/>
                <w:szCs w:val="24"/>
                <w:lang w:val="pl-PL" w:eastAsia="en-US" w:bidi="ar-SA"/>
              </w:rPr>
              <w:t>Lp</w:t>
            </w:r>
          </w:p>
        </w:tc>
        <w:tc>
          <w:tcPr>
            <w:tcW w:w="43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79" w:hanging="0"/>
              <w:jc w:val="center"/>
              <w:rPr>
                <w:rFonts w:eastAsia="Arial Unicode MS"/>
                <w:b/>
                <w:b/>
                <w:bCs/>
              </w:rPr>
            </w:pPr>
            <w:r>
              <w:rPr>
                <w:rFonts w:eastAsia="Arial Unicode MS"/>
                <w:b/>
                <w:bCs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79" w:hanging="0"/>
              <w:jc w:val="center"/>
              <w:rPr>
                <w:rFonts w:eastAsia="Arial Unicode MS"/>
                <w:b/>
                <w:b/>
                <w:bCs/>
              </w:rPr>
            </w:pPr>
            <w:r>
              <w:rPr>
                <w:rFonts w:eastAsia="Arial Unicode MS" w:cs="Calibri"/>
                <w:b/>
                <w:bCs/>
                <w:kern w:val="2"/>
                <w:sz w:val="24"/>
                <w:szCs w:val="24"/>
                <w:lang w:val="pl-PL" w:eastAsia="en-US" w:bidi="ar-SA"/>
              </w:rPr>
              <w:t>Parametry punktowane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79" w:hanging="0"/>
              <w:jc w:val="center"/>
              <w:rPr>
                <w:rFonts w:eastAsia="Arial Unicode MS"/>
                <w:b/>
                <w:b/>
                <w:bCs/>
              </w:rPr>
            </w:pPr>
            <w:r>
              <w:rPr>
                <w:rFonts w:eastAsia="Arial Unicode MS"/>
                <w:b/>
                <w:bCs/>
                <w:sz w:val="24"/>
              </w:rPr>
            </w:r>
          </w:p>
        </w:tc>
        <w:tc>
          <w:tcPr>
            <w:tcW w:w="25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79" w:hanging="0"/>
              <w:jc w:val="center"/>
              <w:rPr>
                <w:rFonts w:eastAsia="Arial Unicode MS"/>
                <w:b/>
                <w:b/>
                <w:bCs/>
              </w:rPr>
            </w:pPr>
            <w:r>
              <w:rPr>
                <w:rFonts w:eastAsia="Arial Unicode MS" w:cs="Calibri"/>
                <w:b/>
                <w:bCs/>
                <w:kern w:val="2"/>
                <w:sz w:val="24"/>
                <w:szCs w:val="24"/>
                <w:lang w:val="pl-PL" w:eastAsia="en-US" w:bidi="ar-SA"/>
              </w:rPr>
              <w:t>Punktacja</w:t>
            </w:r>
          </w:p>
        </w:tc>
        <w:tc>
          <w:tcPr>
            <w:tcW w:w="22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 Unicode MS"/>
                <w:b/>
                <w:b/>
                <w:bCs/>
              </w:rPr>
            </w:pPr>
            <w:r>
              <w:rPr>
                <w:rFonts w:eastAsia="Arial Unicode MS" w:cs="Calibri"/>
                <w:b/>
                <w:bCs/>
                <w:kern w:val="2"/>
                <w:sz w:val="24"/>
                <w:szCs w:val="24"/>
                <w:lang w:val="pl-PL" w:eastAsia="en-US" w:bidi="ar-SA"/>
              </w:rPr>
              <w:t>Tak/Nie*</w:t>
            </w:r>
          </w:p>
        </w:tc>
      </w:tr>
      <w:tr>
        <w:trPr/>
        <w:tc>
          <w:tcPr>
            <w:tcW w:w="6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kern w:val="2"/>
                <w:sz w:val="20"/>
                <w:szCs w:val="20"/>
                <w:lang w:val="pl-PL" w:eastAsia="en-US" w:bidi="ar-SA"/>
              </w:rPr>
              <w:t>1.</w:t>
            </w:r>
          </w:p>
        </w:tc>
        <w:tc>
          <w:tcPr>
            <w:tcW w:w="43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4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eastAsia="SimSun" w:cs="Arial"/>
                <w:kern w:val="2"/>
                <w:sz w:val="20"/>
                <w:szCs w:val="20"/>
                <w:lang w:val="pl-PL" w:eastAsia="en-US" w:bidi="ar-SA"/>
              </w:rPr>
              <w:t>Silnik o mocy powyżej 170KM, maksymalny moment obrotowy powyżej 400Nm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4"/>
                <w:szCs w:val="20"/>
              </w:rPr>
            </w:r>
          </w:p>
        </w:tc>
        <w:tc>
          <w:tcPr>
            <w:tcW w:w="2565" w:type="dxa"/>
            <w:tcBorders/>
            <w:vAlign w:val="center"/>
          </w:tcPr>
          <w:p>
            <w:pPr>
              <w:pStyle w:val="Tekstcofnity1"/>
              <w:widowControl w:val="false"/>
              <w:spacing w:lineRule="auto" w:line="240" w:before="0" w:after="0"/>
              <w:ind w:left="0" w:hanging="0"/>
              <w:jc w:val="center"/>
              <w:rPr>
                <w:rFonts w:ascii="Calibri" w:hAnsi="Calibri" w:cs="Arial"/>
                <w:sz w:val="20"/>
                <w:lang w:val="pl-PL"/>
              </w:rPr>
            </w:pPr>
            <w:r>
              <w:rPr>
                <w:rFonts w:cs="Arial" w:ascii="Calibri" w:hAnsi="Calibri"/>
                <w:sz w:val="20"/>
                <w:lang w:val="pl-PL" w:bidi="ar-SA"/>
              </w:rPr>
              <w:t xml:space="preserve">TAK </w:t>
            </w:r>
            <w:r>
              <w:rPr>
                <w:rFonts w:cs="Arial" w:ascii="Calibri" w:hAnsi="Calibri"/>
                <w:sz w:val="20"/>
                <w:lang w:bidi="ar-SA"/>
              </w:rPr>
              <w:t xml:space="preserve">– </w:t>
            </w:r>
            <w:r>
              <w:rPr>
                <w:rFonts w:cs="Arial" w:ascii="Calibri" w:hAnsi="Calibri"/>
                <w:sz w:val="20"/>
                <w:lang w:val="pl-PL" w:bidi="ar-SA"/>
              </w:rPr>
              <w:t>2 pkt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kern w:val="2"/>
                <w:sz w:val="20"/>
                <w:szCs w:val="20"/>
                <w:lang w:val="pl-PL" w:eastAsia="en-US" w:bidi="ar-SA"/>
              </w:rPr>
              <w:t>NIE – 0 pkt</w:t>
            </w:r>
          </w:p>
        </w:tc>
        <w:tc>
          <w:tcPr>
            <w:tcW w:w="2294" w:type="dxa"/>
            <w:tcBorders/>
          </w:tcPr>
          <w:p>
            <w:pPr>
              <w:pStyle w:val="Tekstcofnity1"/>
              <w:widowControl w:val="false"/>
              <w:spacing w:lineRule="auto" w:line="240" w:before="0" w:after="0"/>
              <w:ind w:left="0" w:right="79" w:hanging="0"/>
              <w:jc w:val="left"/>
              <w:rPr>
                <w:rFonts w:ascii="Calibri" w:hAnsi="Calibri" w:cs="Arial"/>
                <w:sz w:val="20"/>
                <w:lang w:val="pl-PL"/>
              </w:rPr>
            </w:pPr>
            <w:r>
              <w:rPr>
                <w:rFonts w:cs="Arial" w:ascii="Calibri" w:hAnsi="Calibri"/>
                <w:sz w:val="20"/>
                <w:lang w:val="pl-PL"/>
              </w:rPr>
            </w:r>
          </w:p>
        </w:tc>
      </w:tr>
      <w:tr>
        <w:trPr/>
        <w:tc>
          <w:tcPr>
            <w:tcW w:w="6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kern w:val="2"/>
                <w:sz w:val="20"/>
                <w:szCs w:val="20"/>
                <w:lang w:val="pl-PL" w:eastAsia="en-US" w:bidi="ar-SA"/>
              </w:rPr>
              <w:t>2.</w:t>
            </w:r>
          </w:p>
        </w:tc>
        <w:tc>
          <w:tcPr>
            <w:tcW w:w="43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4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kern w:val="2"/>
                <w:sz w:val="20"/>
                <w:szCs w:val="20"/>
                <w:lang w:val="pl-PL" w:eastAsia="en-US" w:bidi="ar-SA"/>
              </w:rPr>
              <w:t>System doświetlania zakrętów realizowany przez fabryczny układ samochodu bazowego i objęty gwarancją samochodu bazowego (montowany w fabryce pojazdu bazowego)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4"/>
                <w:szCs w:val="20"/>
              </w:rPr>
            </w:r>
          </w:p>
        </w:tc>
        <w:tc>
          <w:tcPr>
            <w:tcW w:w="25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eastAsia="SimSun" w:cs="Arial"/>
                <w:kern w:val="2"/>
                <w:sz w:val="20"/>
                <w:szCs w:val="20"/>
                <w:lang w:val="pl-PL" w:eastAsia="en-US" w:bidi="ar-SA"/>
              </w:rPr>
              <w:t>TAK – 2 pkt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kern w:val="2"/>
                <w:sz w:val="20"/>
                <w:szCs w:val="20"/>
                <w:lang w:val="pl-PL" w:eastAsia="en-US" w:bidi="ar-SA"/>
              </w:rPr>
              <w:t>NIE – 0 pkt</w:t>
            </w:r>
          </w:p>
        </w:tc>
        <w:tc>
          <w:tcPr>
            <w:tcW w:w="22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4"/>
                <w:szCs w:val="20"/>
              </w:rPr>
            </w:r>
          </w:p>
        </w:tc>
      </w:tr>
      <w:tr>
        <w:trPr/>
        <w:tc>
          <w:tcPr>
            <w:tcW w:w="6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kern w:val="2"/>
                <w:sz w:val="20"/>
                <w:szCs w:val="20"/>
                <w:lang w:val="pl-PL" w:eastAsia="en-US" w:bidi="ar-SA"/>
              </w:rPr>
              <w:t>3.</w:t>
            </w:r>
          </w:p>
        </w:tc>
        <w:tc>
          <w:tcPr>
            <w:tcW w:w="43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4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eastAsia="SimSun" w:cs="Arial"/>
                <w:kern w:val="2"/>
                <w:sz w:val="20"/>
                <w:szCs w:val="20"/>
                <w:lang w:val="pl-PL" w:eastAsia="en-US" w:bidi="ar-SA"/>
              </w:rPr>
              <w:t>Poduszki powietrzne w kabinie kierowcy nadokienne (kurtynowe)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4"/>
                <w:szCs w:val="20"/>
              </w:rPr>
            </w:r>
          </w:p>
        </w:tc>
        <w:tc>
          <w:tcPr>
            <w:tcW w:w="2565" w:type="dxa"/>
            <w:tcBorders/>
            <w:vAlign w:val="center"/>
          </w:tcPr>
          <w:p>
            <w:pPr>
              <w:pStyle w:val="Tekstcofnity1"/>
              <w:widowControl w:val="false"/>
              <w:spacing w:lineRule="auto" w:line="240" w:before="0" w:after="0"/>
              <w:ind w:left="0" w:hanging="0"/>
              <w:jc w:val="center"/>
              <w:rPr>
                <w:rFonts w:ascii="Calibri" w:hAnsi="Calibri" w:cs="Arial"/>
                <w:sz w:val="20"/>
                <w:lang w:val="pl-PL"/>
              </w:rPr>
            </w:pPr>
            <w:r>
              <w:rPr>
                <w:rFonts w:cs="Arial" w:ascii="Calibri" w:hAnsi="Calibri"/>
                <w:sz w:val="20"/>
                <w:lang w:val="pl-PL" w:bidi="ar-SA"/>
              </w:rPr>
              <w:t xml:space="preserve">TAK </w:t>
            </w:r>
            <w:r>
              <w:rPr>
                <w:rFonts w:cs="Arial" w:ascii="Calibri" w:hAnsi="Calibri"/>
                <w:sz w:val="20"/>
                <w:lang w:bidi="ar-SA"/>
              </w:rPr>
              <w:t xml:space="preserve">– </w:t>
            </w:r>
            <w:r>
              <w:rPr>
                <w:rFonts w:cs="Arial" w:ascii="Calibri" w:hAnsi="Calibri"/>
                <w:sz w:val="20"/>
                <w:lang w:val="pl-PL" w:bidi="ar-SA"/>
              </w:rPr>
              <w:t>2 pkt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kern w:val="2"/>
                <w:sz w:val="20"/>
                <w:szCs w:val="20"/>
                <w:lang w:val="pl-PL" w:eastAsia="en-US" w:bidi="ar-SA"/>
              </w:rPr>
              <w:t>NIE – 0 pkt</w:t>
            </w:r>
          </w:p>
        </w:tc>
        <w:tc>
          <w:tcPr>
            <w:tcW w:w="2294" w:type="dxa"/>
            <w:tcBorders/>
          </w:tcPr>
          <w:p>
            <w:pPr>
              <w:pStyle w:val="Tekstcofnity1"/>
              <w:widowControl w:val="false"/>
              <w:spacing w:lineRule="auto" w:line="240" w:before="0" w:after="0"/>
              <w:ind w:left="0" w:right="79" w:hanging="0"/>
              <w:jc w:val="left"/>
              <w:rPr>
                <w:rFonts w:ascii="Calibri" w:hAnsi="Calibri" w:cs="Arial"/>
                <w:sz w:val="20"/>
                <w:lang w:val="pl-PL"/>
              </w:rPr>
            </w:pPr>
            <w:r>
              <w:rPr>
                <w:rFonts w:cs="Arial" w:ascii="Calibri" w:hAnsi="Calibri"/>
                <w:sz w:val="20"/>
                <w:lang w:val="pl-PL"/>
              </w:rPr>
            </w:r>
          </w:p>
        </w:tc>
      </w:tr>
      <w:tr>
        <w:trPr/>
        <w:tc>
          <w:tcPr>
            <w:tcW w:w="6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kern w:val="2"/>
                <w:sz w:val="20"/>
                <w:szCs w:val="20"/>
                <w:lang w:val="pl-PL" w:eastAsia="en-US" w:bidi="ar-SA"/>
              </w:rPr>
              <w:t>4.</w:t>
            </w:r>
          </w:p>
        </w:tc>
        <w:tc>
          <w:tcPr>
            <w:tcW w:w="43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4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eastAsia="SimSun" w:cs="Arial"/>
                <w:kern w:val="2"/>
                <w:sz w:val="20"/>
                <w:szCs w:val="20"/>
                <w:lang w:val="pl-PL" w:eastAsia="en-US" w:bidi="ar-SA"/>
              </w:rPr>
              <w:t>Średnica kół noszy transportera co najmniej 200mm lub większa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4"/>
                <w:szCs w:val="20"/>
              </w:rPr>
            </w:r>
          </w:p>
        </w:tc>
        <w:tc>
          <w:tcPr>
            <w:tcW w:w="2565" w:type="dxa"/>
            <w:tcBorders/>
            <w:vAlign w:val="center"/>
          </w:tcPr>
          <w:p>
            <w:pPr>
              <w:pStyle w:val="Tekstcofnity1"/>
              <w:widowControl w:val="false"/>
              <w:spacing w:lineRule="auto" w:line="240" w:before="0" w:after="0"/>
              <w:ind w:left="0" w:hanging="0"/>
              <w:jc w:val="center"/>
              <w:rPr>
                <w:rFonts w:ascii="Calibri" w:hAnsi="Calibri" w:cs="Arial"/>
                <w:sz w:val="20"/>
                <w:lang w:val="pl-PL"/>
              </w:rPr>
            </w:pPr>
            <w:r>
              <w:rPr>
                <w:rFonts w:cs="Arial" w:ascii="Calibri" w:hAnsi="Calibri"/>
                <w:sz w:val="20"/>
                <w:lang w:val="pl-PL" w:bidi="ar-SA"/>
              </w:rPr>
              <w:t xml:space="preserve">TAK </w:t>
            </w:r>
            <w:r>
              <w:rPr>
                <w:rFonts w:cs="Arial" w:ascii="Calibri" w:hAnsi="Calibri"/>
                <w:sz w:val="20"/>
                <w:lang w:bidi="ar-SA"/>
              </w:rPr>
              <w:t xml:space="preserve">– </w:t>
            </w:r>
            <w:r>
              <w:rPr>
                <w:rFonts w:cs="Arial" w:ascii="Calibri" w:hAnsi="Calibri"/>
                <w:sz w:val="20"/>
                <w:lang w:val="pl-PL" w:bidi="ar-SA"/>
              </w:rPr>
              <w:t>2 pkt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kern w:val="2"/>
                <w:sz w:val="20"/>
                <w:szCs w:val="20"/>
                <w:lang w:val="pl-PL" w:eastAsia="en-US" w:bidi="ar-SA"/>
              </w:rPr>
              <w:t>NIE – 0 pkt</w:t>
            </w:r>
          </w:p>
        </w:tc>
        <w:tc>
          <w:tcPr>
            <w:tcW w:w="2294" w:type="dxa"/>
            <w:tcBorders/>
          </w:tcPr>
          <w:p>
            <w:pPr>
              <w:pStyle w:val="Tekstcofnity1"/>
              <w:widowControl w:val="false"/>
              <w:spacing w:lineRule="auto" w:line="240" w:before="0" w:after="0"/>
              <w:ind w:left="0" w:right="79" w:hanging="0"/>
              <w:jc w:val="left"/>
              <w:rPr>
                <w:rFonts w:ascii="Calibri" w:hAnsi="Calibri" w:cs="Arial"/>
                <w:sz w:val="20"/>
                <w:lang w:val="pl-PL"/>
              </w:rPr>
            </w:pPr>
            <w:r>
              <w:rPr>
                <w:rFonts w:cs="Arial" w:ascii="Calibri" w:hAnsi="Calibri"/>
                <w:sz w:val="20"/>
                <w:lang w:val="pl-PL"/>
              </w:rPr>
            </w:r>
          </w:p>
        </w:tc>
      </w:tr>
      <w:tr>
        <w:trPr/>
        <w:tc>
          <w:tcPr>
            <w:tcW w:w="6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kern w:val="2"/>
                <w:sz w:val="20"/>
                <w:szCs w:val="20"/>
                <w:lang w:val="pl-PL" w:eastAsia="en-US" w:bidi="ar-SA"/>
              </w:rPr>
              <w:t>5.</w:t>
            </w:r>
          </w:p>
        </w:tc>
        <w:tc>
          <w:tcPr>
            <w:tcW w:w="43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4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eastAsia="Calibri" w:cs="Arial"/>
                <w:kern w:val="2"/>
                <w:sz w:val="20"/>
                <w:szCs w:val="20"/>
                <w:lang w:val="pl-PL" w:eastAsia="en-US" w:bidi="ar-SA"/>
              </w:rPr>
              <w:t>Tempomat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4"/>
                <w:szCs w:val="20"/>
              </w:rPr>
            </w:r>
          </w:p>
        </w:tc>
        <w:tc>
          <w:tcPr>
            <w:tcW w:w="2565" w:type="dxa"/>
            <w:tcBorders/>
            <w:vAlign w:val="center"/>
          </w:tcPr>
          <w:p>
            <w:pPr>
              <w:pStyle w:val="Tekstcofnity1"/>
              <w:widowControl w:val="false"/>
              <w:spacing w:lineRule="auto" w:line="240" w:before="0" w:after="0"/>
              <w:ind w:left="0" w:hanging="0"/>
              <w:jc w:val="center"/>
              <w:rPr>
                <w:rFonts w:ascii="Calibri" w:hAnsi="Calibri" w:cs="Arial"/>
                <w:sz w:val="20"/>
                <w:lang w:val="pl-PL"/>
              </w:rPr>
            </w:pPr>
            <w:r>
              <w:rPr>
                <w:rFonts w:cs="Arial" w:ascii="Calibri" w:hAnsi="Calibri"/>
                <w:sz w:val="20"/>
                <w:lang w:val="pl-PL" w:bidi="ar-SA"/>
              </w:rPr>
              <w:t xml:space="preserve">TAK </w:t>
            </w:r>
            <w:r>
              <w:rPr>
                <w:rFonts w:cs="Arial" w:ascii="Calibri" w:hAnsi="Calibri"/>
                <w:sz w:val="20"/>
                <w:lang w:bidi="ar-SA"/>
              </w:rPr>
              <w:t xml:space="preserve">– </w:t>
            </w:r>
            <w:r>
              <w:rPr>
                <w:rFonts w:cs="Arial" w:ascii="Calibri" w:hAnsi="Calibri"/>
                <w:sz w:val="20"/>
                <w:lang w:val="pl-PL" w:bidi="ar-SA"/>
              </w:rPr>
              <w:t>2 pkt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kern w:val="2"/>
                <w:sz w:val="20"/>
                <w:szCs w:val="20"/>
                <w:lang w:val="pl-PL" w:eastAsia="en-US" w:bidi="ar-SA"/>
              </w:rPr>
              <w:t>NIE – 0 pkt</w:t>
            </w:r>
          </w:p>
        </w:tc>
        <w:tc>
          <w:tcPr>
            <w:tcW w:w="2294" w:type="dxa"/>
            <w:tcBorders/>
          </w:tcPr>
          <w:p>
            <w:pPr>
              <w:pStyle w:val="Tekstcofnity1"/>
              <w:widowControl w:val="false"/>
              <w:spacing w:lineRule="auto" w:line="240" w:before="0" w:after="0"/>
              <w:ind w:left="0" w:right="79" w:hanging="0"/>
              <w:jc w:val="left"/>
              <w:rPr>
                <w:rFonts w:ascii="Calibri" w:hAnsi="Calibri" w:cs="Arial"/>
                <w:sz w:val="20"/>
                <w:lang w:val="pl-PL"/>
              </w:rPr>
            </w:pPr>
            <w:r>
              <w:rPr>
                <w:rFonts w:cs="Arial" w:ascii="Calibri" w:hAnsi="Calibri"/>
                <w:sz w:val="20"/>
                <w:lang w:val="pl-PL"/>
              </w:rPr>
            </w:r>
          </w:p>
        </w:tc>
      </w:tr>
    </w:tbl>
    <w:p>
      <w:pPr>
        <w:pStyle w:val="Standard"/>
        <w:spacing w:before="0" w:after="0"/>
        <w:ind w:left="360" w:hang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Standard"/>
        <w:spacing w:before="0" w:after="0"/>
        <w:ind w:left="360" w:hanging="0"/>
        <w:rPr>
          <w:b/>
          <w:b/>
          <w:sz w:val="20"/>
          <w:szCs w:val="20"/>
        </w:rPr>
      </w:pPr>
      <w:r>
        <w:rPr>
          <w:b/>
          <w:color w:val="000000"/>
          <w:sz w:val="20"/>
          <w:szCs w:val="20"/>
        </w:rPr>
        <w:t>*wypełnia Wykonawca</w:t>
      </w:r>
    </w:p>
    <w:p>
      <w:pPr>
        <w:pStyle w:val="Normal"/>
        <w:spacing w:lineRule="auto" w:line="276"/>
        <w:rPr>
          <w:rFonts w:cs="Calibri" w:cstheme="minorHAnsi"/>
          <w:b/>
          <w:b/>
          <w:bCs/>
          <w:u w:val="single"/>
        </w:rPr>
      </w:pPr>
      <w:r>
        <w:rPr>
          <w:rFonts w:cs="Calibri" w:cstheme="minorHAnsi"/>
          <w:b/>
          <w:bCs/>
          <w:u w:val="single"/>
        </w:rPr>
      </w:r>
    </w:p>
    <w:p>
      <w:pPr>
        <w:pStyle w:val="Normal"/>
        <w:spacing w:lineRule="auto" w:line="276"/>
        <w:rPr>
          <w:rFonts w:cs="Calibri" w:cstheme="minorHAnsi"/>
          <w:b/>
          <w:b/>
          <w:bCs/>
          <w:u w:val="single"/>
        </w:rPr>
      </w:pPr>
      <w:r>
        <w:rPr>
          <w:rFonts w:cs="Calibri" w:cstheme="minorHAnsi"/>
          <w:b/>
          <w:bCs/>
          <w:u w:val="single"/>
        </w:rPr>
        <w:t xml:space="preserve">Uwaga </w:t>
      </w:r>
    </w:p>
    <w:p>
      <w:pPr>
        <w:pStyle w:val="ListParagraph"/>
        <w:numPr>
          <w:ilvl w:val="0"/>
          <w:numId w:val="11"/>
        </w:numPr>
        <w:spacing w:lineRule="auto" w:line="276" w:before="0" w:after="200"/>
        <w:contextualSpacing/>
        <w:rPr>
          <w:rFonts w:cs="Calibri" w:cstheme="minorHAnsi"/>
        </w:rPr>
      </w:pPr>
      <w:r>
        <w:rPr>
          <w:rFonts w:cs="Calibri" w:cstheme="minorHAnsi"/>
        </w:rPr>
        <w:t xml:space="preserve">W celu dokonania oceny jakościowej Wykonawca składa wraz z ofertą  katalogi potwierdzające spełnienie ocenianych parametrów. W przypadku ich braku Wykonawca w ocenie jakościowej otrzyma 0 pkt. </w:t>
      </w:r>
    </w:p>
    <w:p>
      <w:pPr>
        <w:pStyle w:val="ListParagraph"/>
        <w:numPr>
          <w:ilvl w:val="0"/>
          <w:numId w:val="11"/>
        </w:numPr>
        <w:spacing w:lineRule="auto" w:line="276" w:before="0" w:after="200"/>
        <w:contextualSpacing/>
        <w:rPr>
          <w:rFonts w:cs="Calibri" w:cstheme="minorHAnsi"/>
        </w:rPr>
      </w:pPr>
      <w:r>
        <w:rPr>
          <w:rFonts w:cs="Calibri" w:cstheme="minorHAnsi"/>
        </w:rPr>
        <w:t>Dokumenty o których mowa w ust. 1 nie podlegają uzupełnieniu.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8" w:top="1417" w:footer="85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TimesNewRomanPS-BoldItalicMT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Symbol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Bookman Old Style">
    <w:charset w:val="ee"/>
    <w:family w:val="roman"/>
    <w:pitch w:val="variable"/>
  </w:font>
  <w:font w:name="Trebuchet MS">
    <w:charset w:val="ee"/>
    <w:family w:val="roman"/>
    <w:pitch w:val="variable"/>
  </w:font>
  <w:font w:name="Garamond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true"/>
      <w:jc w:val="both"/>
      <w:rPr>
        <w:rFonts w:ascii="Arial" w:hAnsi="Arial" w:cs="Arial"/>
        <w:sz w:val="16"/>
        <w:szCs w:val="16"/>
      </w:rPr>
    </w:pPr>
    <w:r>
      <w:rPr>
        <w:rFonts w:eastAsia="SimSun;宋体" w:cs="Arial"/>
        <w:b/>
        <w:color w:val="000000"/>
        <w:sz w:val="16"/>
        <w:szCs w:val="16"/>
        <w:lang w:eastAsia="ar-SA"/>
      </w:rPr>
      <w:t xml:space="preserve">Znak sprawy: </w:t>
    </w:r>
    <w:r>
      <w:rPr>
        <w:rFonts w:eastAsia="SimSun;宋体" w:cs="Arial"/>
        <w:b/>
        <w:sz w:val="16"/>
        <w:szCs w:val="16"/>
        <w:lang w:eastAsia="ar-SA"/>
      </w:rPr>
      <w:t xml:space="preserve">Sz.O./ZP/16/2026 </w:t>
      <w:tab/>
    </w:r>
    <w:r>
      <w:rPr>
        <w:rFonts w:eastAsia="SimSun;宋体" w:cs="Arial" w:ascii="Arial" w:hAnsi="Arial"/>
        <w:b/>
        <w:sz w:val="16"/>
        <w:szCs w:val="16"/>
        <w:lang w:eastAsia="ar-SA"/>
      </w:rPr>
      <w:tab/>
      <w:tab/>
      <w:tab/>
      <w:tab/>
      <w:tab/>
      <w:tab/>
      <w:tab/>
      <w:tab/>
      <w:tab/>
    </w:r>
    <w:r>
      <w:rPr>
        <w:rFonts w:eastAsia="SimSun;宋体" w:cs="Arial"/>
        <w:b/>
        <w:sz w:val="16"/>
        <w:szCs w:val="16"/>
        <w:lang w:eastAsia="ar-SA"/>
      </w:rPr>
      <w:tab/>
    </w:r>
    <w:r>
      <w:rPr>
        <w:rFonts w:eastAsia="" w:cs="Arial" w:eastAsiaTheme="majorEastAsia"/>
        <w:b/>
        <w:sz w:val="16"/>
        <w:szCs w:val="16"/>
        <w:lang w:eastAsia="ar-SA"/>
      </w:rPr>
      <w:t xml:space="preserve">str. </w:t>
    </w:r>
    <w:r>
      <w:rPr>
        <w:rFonts w:cs="Arial"/>
        <w:b/>
        <w:sz w:val="16"/>
        <w:szCs w:val="16"/>
        <w:lang w:eastAsia="ar-SA"/>
      </w:rPr>
      <w:fldChar w:fldCharType="begin"/>
    </w:r>
    <w:r>
      <w:rPr>
        <w:sz w:val="16"/>
        <w:b/>
        <w:szCs w:val="16"/>
        <w:rFonts w:cs="Arial"/>
        <w:lang w:eastAsia="ar-SA"/>
      </w:rPr>
      <w:instrText xml:space="preserve"> PAGE </w:instrText>
    </w:r>
    <w:r>
      <w:rPr>
        <w:sz w:val="16"/>
        <w:b/>
        <w:szCs w:val="16"/>
        <w:rFonts w:cs="Arial"/>
        <w:lang w:eastAsia="ar-SA"/>
      </w:rPr>
      <w:fldChar w:fldCharType="separate"/>
    </w:r>
    <w:r>
      <w:rPr>
        <w:sz w:val="16"/>
        <w:b/>
        <w:szCs w:val="16"/>
        <w:rFonts w:cs="Arial"/>
        <w:lang w:eastAsia="ar-SA"/>
      </w:rPr>
      <w:t>1</w:t>
    </w:r>
    <w:r>
      <w:rPr>
        <w:sz w:val="16"/>
        <w:b/>
        <w:szCs w:val="16"/>
        <w:rFonts w:cs="Arial"/>
        <w:lang w:eastAsia="ar-SA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true"/>
      <w:jc w:val="both"/>
      <w:rPr>
        <w:rFonts w:ascii="Arial" w:hAnsi="Arial" w:cs="Arial"/>
        <w:sz w:val="16"/>
        <w:szCs w:val="16"/>
      </w:rPr>
    </w:pPr>
    <w:r>
      <w:rPr>
        <w:rFonts w:eastAsia="SimSun;宋体" w:cs="Arial"/>
        <w:b/>
        <w:color w:val="000000"/>
        <w:sz w:val="16"/>
        <w:szCs w:val="16"/>
        <w:lang w:eastAsia="ar-SA"/>
      </w:rPr>
      <w:t xml:space="preserve">Znak sprawy: </w:t>
    </w:r>
    <w:r>
      <w:rPr>
        <w:rFonts w:eastAsia="SimSun;宋体" w:cs="Arial"/>
        <w:b/>
        <w:sz w:val="16"/>
        <w:szCs w:val="16"/>
        <w:lang w:eastAsia="ar-SA"/>
      </w:rPr>
      <w:t xml:space="preserve">Sz.O./ZP/16/2026 </w:t>
      <w:tab/>
    </w:r>
    <w:r>
      <w:rPr>
        <w:rFonts w:eastAsia="SimSun;宋体" w:cs="Arial" w:ascii="Arial" w:hAnsi="Arial"/>
        <w:b/>
        <w:sz w:val="16"/>
        <w:szCs w:val="16"/>
        <w:lang w:eastAsia="ar-SA"/>
      </w:rPr>
      <w:tab/>
      <w:tab/>
      <w:tab/>
      <w:tab/>
      <w:tab/>
      <w:tab/>
      <w:tab/>
      <w:tab/>
      <w:tab/>
    </w:r>
    <w:r>
      <w:rPr>
        <w:rFonts w:eastAsia="SimSun;宋体" w:cs="Arial"/>
        <w:b/>
        <w:sz w:val="16"/>
        <w:szCs w:val="16"/>
        <w:lang w:eastAsia="ar-SA"/>
      </w:rPr>
      <w:tab/>
    </w:r>
    <w:r>
      <w:rPr>
        <w:rFonts w:eastAsia="" w:cs="Arial" w:eastAsiaTheme="majorEastAsia"/>
        <w:b/>
        <w:sz w:val="16"/>
        <w:szCs w:val="16"/>
        <w:lang w:eastAsia="ar-SA"/>
      </w:rPr>
      <w:t xml:space="preserve">str. </w:t>
    </w:r>
    <w:r>
      <w:rPr>
        <w:rFonts w:cs="Arial"/>
        <w:b/>
        <w:sz w:val="16"/>
        <w:szCs w:val="16"/>
        <w:lang w:eastAsia="ar-SA"/>
      </w:rPr>
      <w:fldChar w:fldCharType="begin"/>
    </w:r>
    <w:r>
      <w:rPr>
        <w:sz w:val="16"/>
        <w:b/>
        <w:szCs w:val="16"/>
        <w:rFonts w:cs="Arial"/>
        <w:lang w:eastAsia="ar-SA"/>
      </w:rPr>
      <w:instrText xml:space="preserve"> PAGE </w:instrText>
    </w:r>
    <w:r>
      <w:rPr>
        <w:sz w:val="16"/>
        <w:b/>
        <w:szCs w:val="16"/>
        <w:rFonts w:cs="Arial"/>
        <w:lang w:eastAsia="ar-SA"/>
      </w:rPr>
      <w:fldChar w:fldCharType="separate"/>
    </w:r>
    <w:r>
      <w:rPr>
        <w:sz w:val="16"/>
        <w:b/>
        <w:szCs w:val="16"/>
        <w:rFonts w:cs="Arial"/>
        <w:lang w:eastAsia="ar-SA"/>
      </w:rPr>
      <w:t>1</w:t>
    </w:r>
    <w:r>
      <w:rPr>
        <w:sz w:val="16"/>
        <w:b/>
        <w:szCs w:val="16"/>
        <w:rFonts w:cs="Arial"/>
        <w:lang w:eastAsia="ar-SA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jc w:val="center"/>
      <w:rPr/>
    </w:pPr>
    <w:r>
      <w:rPr/>
      <w:drawing>
        <wp:inline distT="0" distB="0" distL="0" distR="0">
          <wp:extent cx="2025650" cy="438150"/>
          <wp:effectExtent l="0" t="0" r="0" b="0"/>
          <wp:docPr id="9" name="Obraz 1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1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25650" cy="438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Gwka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jc w:val="center"/>
      <w:rPr/>
    </w:pPr>
    <w:r>
      <w:rPr/>
      <w:drawing>
        <wp:inline distT="0" distB="0" distL="0" distR="0">
          <wp:extent cx="2025650" cy="438150"/>
          <wp:effectExtent l="0" t="0" r="0" b="0"/>
          <wp:docPr id="10" name="Obraz 1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25650" cy="438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643"/>
  <w:autoHyphenation w:val="true"/>
  <w:compat>
    <w:compatSetting w:name="compatibilityMode" w:uri="http://schemas.microsoft.com/office/word" w:val="12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Calibri"/>
        <w:kern w:val="2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SimSun" w:cs="Calibri"/>
      <w:color w:val="auto"/>
      <w:kern w:val="2"/>
      <w:sz w:val="24"/>
      <w:szCs w:val="24"/>
      <w:lang w:val="pl-PL" w:eastAsia="en-US" w:bidi="ar-SA"/>
    </w:rPr>
  </w:style>
  <w:style w:type="paragraph" w:styleId="Nagwek1">
    <w:name w:val="Heading 1"/>
    <w:basedOn w:val="Normal"/>
    <w:qFormat/>
    <w:pPr>
      <w:spacing w:before="62" w:after="0"/>
      <w:ind w:left="6776" w:hanging="0"/>
      <w:outlineLvl w:val="0"/>
    </w:pPr>
    <w:rPr>
      <w:b/>
      <w:bCs/>
      <w:sz w:val="28"/>
      <w:szCs w:val="28"/>
    </w:rPr>
  </w:style>
  <w:style w:type="paragraph" w:styleId="Nagwek3">
    <w:name w:val="Heading 3"/>
    <w:basedOn w:val="Normal"/>
    <w:qFormat/>
    <w:pPr>
      <w:keepNext w:val="true"/>
      <w:keepLines/>
      <w:spacing w:before="40" w:after="0"/>
      <w:outlineLvl w:val="2"/>
    </w:pPr>
    <w:rPr>
      <w:rFonts w:ascii="Calibri Light" w:hAnsi="Calibri Light"/>
      <w:color w:val="1F3763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qFormat/>
    <w:rPr/>
  </w:style>
  <w:style w:type="character" w:styleId="StopkaZnak" w:customStyle="1">
    <w:name w:val="Stopka Znak"/>
    <w:basedOn w:val="DefaultParagraphFont"/>
    <w:qFormat/>
    <w:rPr/>
  </w:style>
  <w:style w:type="character" w:styleId="TekstpodstawowyZnak" w:customStyle="1">
    <w:name w:val="Tekst podstawowy Znak"/>
    <w:basedOn w:val="DefaultParagraphFont"/>
    <w:qFormat/>
    <w:rPr>
      <w:rFonts w:ascii="TimesNewRomanPS-BoldItalicMT" w:hAnsi="TimesNewRomanPS-BoldItalicMT" w:eastAsia="TimesNewRomanPS-BoldItalicMT" w:cs="TimesNewRomanPS-BoldItalicMT"/>
      <w:b/>
      <w:bCs/>
      <w:i/>
      <w:lang w:eastAsia="pl-PL" w:bidi="pl-PL"/>
    </w:rPr>
  </w:style>
  <w:style w:type="character" w:styleId="TekstdymkaZnak" w:customStyle="1">
    <w:name w:val="Tekst dymka Znak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Nagwek1Znak" w:customStyle="1">
    <w:name w:val="Nagłówek 1 Znak"/>
    <w:basedOn w:val="DefaultParagraphFont"/>
    <w:qFormat/>
    <w:rPr>
      <w:rFonts w:ascii="Times New Roman" w:hAnsi="Times New Roman" w:eastAsia="Times New Roman" w:cs="Times New Roman"/>
      <w:b/>
      <w:bCs/>
      <w:sz w:val="28"/>
      <w:szCs w:val="28"/>
      <w:lang w:eastAsia="pl-PL" w:bidi="pl-PL"/>
    </w:rPr>
  </w:style>
  <w:style w:type="character" w:styleId="TekstprzypisudolnegoZnak" w:customStyle="1">
    <w:name w:val="Tekst przypisu dolnego Znak"/>
    <w:basedOn w:val="DefaultParagraphFont"/>
    <w:qFormat/>
    <w:rPr>
      <w:rFonts w:ascii="Times New Roman" w:hAnsi="Times New Roman" w:eastAsia="Times New Roman" w:cs="Calibri"/>
      <w:lang w:eastAsia="zh-CN"/>
    </w:rPr>
  </w:style>
  <w:style w:type="character" w:styleId="Nagwek3Znak" w:customStyle="1">
    <w:name w:val="Nagłówek 3 Znak"/>
    <w:basedOn w:val="DefaultParagraphFont"/>
    <w:qFormat/>
    <w:rPr>
      <w:rFonts w:ascii="Calibri Light" w:hAnsi="Calibri Light" w:cs="Calibri"/>
      <w:color w:val="1F3763"/>
      <w:lang w:eastAsia="pl-PL" w:bidi="pl-PL"/>
    </w:rPr>
  </w:style>
  <w:style w:type="character" w:styleId="Strong">
    <w:name w:val="Strong"/>
    <w:basedOn w:val="DefaultParagraphFont"/>
    <w:qFormat/>
    <w:rPr>
      <w:b/>
      <w:bCs/>
    </w:rPr>
  </w:style>
  <w:style w:type="character" w:styleId="Text1" w:customStyle="1">
    <w:name w:val="text1"/>
    <w:qFormat/>
    <w:rPr>
      <w:rFonts w:ascii="Arial" w:hAnsi="Arial" w:cs="Arial"/>
      <w:color w:val="333333"/>
      <w:sz w:val="20"/>
      <w:szCs w:val="20"/>
    </w:rPr>
  </w:style>
  <w:style w:type="character" w:styleId="WW8Num2z0" w:customStyle="1">
    <w:name w:val="WW8Num2z0"/>
    <w:qFormat/>
    <w:rPr>
      <w:rFonts w:ascii="Times New Roman" w:hAnsi="Times New Roman" w:eastAsia="Times New Roman" w:cs="Times New Roman"/>
    </w:rPr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Znakinumeracji" w:customStyle="1">
    <w:name w:val="Znaki numeracji"/>
    <w:qFormat/>
    <w:rPr/>
  </w:style>
  <w:style w:type="character" w:styleId="WWCharLFO1LVL1" w:customStyle="1">
    <w:name w:val="WW_CharLFO1LVL1"/>
    <w:qFormat/>
    <w:rPr>
      <w:rFonts w:ascii="Symbol" w:hAnsi="Symbol"/>
      <w:sz w:val="20"/>
    </w:rPr>
  </w:style>
  <w:style w:type="character" w:styleId="WWCharLFO1LVL2" w:customStyle="1">
    <w:name w:val="WW_CharLFO1LVL2"/>
    <w:qFormat/>
    <w:rPr>
      <w:rFonts w:ascii="Symbol" w:hAnsi="Symbol"/>
      <w:sz w:val="20"/>
    </w:rPr>
  </w:style>
  <w:style w:type="character" w:styleId="WWCharLFO1LVL3" w:customStyle="1">
    <w:name w:val="WW_CharLFO1LVL3"/>
    <w:qFormat/>
    <w:rPr>
      <w:rFonts w:ascii="Symbol" w:hAnsi="Symbol"/>
      <w:sz w:val="20"/>
    </w:rPr>
  </w:style>
  <w:style w:type="character" w:styleId="WWCharLFO1LVL4" w:customStyle="1">
    <w:name w:val="WW_CharLFO1LVL4"/>
    <w:qFormat/>
    <w:rPr>
      <w:rFonts w:ascii="Symbol" w:hAnsi="Symbol"/>
      <w:sz w:val="20"/>
    </w:rPr>
  </w:style>
  <w:style w:type="character" w:styleId="WWCharLFO1LVL5" w:customStyle="1">
    <w:name w:val="WW_CharLFO1LVL5"/>
    <w:qFormat/>
    <w:rPr>
      <w:rFonts w:ascii="Symbol" w:hAnsi="Symbol"/>
      <w:sz w:val="20"/>
    </w:rPr>
  </w:style>
  <w:style w:type="character" w:styleId="WWCharLFO1LVL6" w:customStyle="1">
    <w:name w:val="WW_CharLFO1LVL6"/>
    <w:qFormat/>
    <w:rPr>
      <w:rFonts w:ascii="Symbol" w:hAnsi="Symbol"/>
      <w:sz w:val="20"/>
    </w:rPr>
  </w:style>
  <w:style w:type="character" w:styleId="WWCharLFO1LVL7" w:customStyle="1">
    <w:name w:val="WW_CharLFO1LVL7"/>
    <w:qFormat/>
    <w:rPr>
      <w:rFonts w:ascii="Symbol" w:hAnsi="Symbol"/>
      <w:sz w:val="20"/>
    </w:rPr>
  </w:style>
  <w:style w:type="character" w:styleId="WWCharLFO1LVL8" w:customStyle="1">
    <w:name w:val="WW_CharLFO1LVL8"/>
    <w:qFormat/>
    <w:rPr>
      <w:rFonts w:ascii="Symbol" w:hAnsi="Symbol"/>
      <w:sz w:val="20"/>
    </w:rPr>
  </w:style>
  <w:style w:type="character" w:styleId="WWCharLFO1LVL9" w:customStyle="1">
    <w:name w:val="WW_CharLFO1LVL9"/>
    <w:qFormat/>
    <w:rPr>
      <w:rFonts w:ascii="Symbol" w:hAnsi="Symbol"/>
      <w:sz w:val="20"/>
    </w:rPr>
  </w:style>
  <w:style w:type="character" w:styleId="Czeinternetowe" w:customStyle="1">
    <w:name w:val="Łącze internetowe"/>
    <w:basedOn w:val="DefaultParagraphFont"/>
    <w:uiPriority w:val="99"/>
    <w:unhideWhenUsed/>
    <w:rsid w:val="001e0045"/>
    <w:rPr>
      <w:color w:val="0000FF"/>
      <w:u w:val="single"/>
    </w:rPr>
  </w:style>
  <w:style w:type="character" w:styleId="Znakiwypunktowania" w:customStyle="1">
    <w:name w:val="Znaki wypunktowania"/>
    <w:qFormat/>
    <w:rPr>
      <w:rFonts w:ascii="OpenSymbol" w:hAnsi="OpenSymbol" w:eastAsia="OpenSymbol" w:cs="OpenSymbol"/>
    </w:rPr>
  </w:style>
  <w:style w:type="character" w:styleId="WW8Num10z0" w:customStyle="1">
    <w:name w:val="WW8Num10z0"/>
    <w:qFormat/>
    <w:rPr>
      <w:rFonts w:ascii="Symbol" w:hAnsi="Symbol" w:cs="Symbol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Odwiedzoneczeinternetowe" w:customStyle="1">
    <w:name w:val="Odwiedzone łącze internetowe"/>
    <w:rPr>
      <w:color w:val="954F72"/>
      <w:u w:val="single"/>
    </w:rPr>
  </w:style>
  <w:style w:type="character" w:styleId="Mocnewyrnione" w:customStyle="1">
    <w:name w:val="Mocne wyróżnione"/>
    <w:qFormat/>
    <w:rPr>
      <w:b/>
      <w:bCs/>
    </w:rPr>
  </w:style>
  <w:style w:type="character" w:styleId="WW8Num6z0" w:customStyle="1">
    <w:name w:val="WW8Num6z0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1z0" w:customStyle="1">
    <w:name w:val="WW8Num1z0"/>
    <w:qFormat/>
    <w:rPr>
      <w:rFonts w:ascii="Symbol" w:hAnsi="Symbol" w:cs="Symbol"/>
    </w:rPr>
  </w:style>
  <w:style w:type="character" w:styleId="WW8Num1z1" w:customStyle="1">
    <w:name w:val="WW8Num1z1"/>
    <w:qFormat/>
    <w:rPr>
      <w:rFonts w:ascii="Courier New" w:hAnsi="Courier New" w:cs="Courier New"/>
    </w:rPr>
  </w:style>
  <w:style w:type="character" w:styleId="WW8Num1z2" w:customStyle="1">
    <w:name w:val="WW8Num1z2"/>
    <w:qFormat/>
    <w:rPr>
      <w:rFonts w:ascii="Wingdings" w:hAnsi="Wingdings" w:cs="Wingdings"/>
    </w:rPr>
  </w:style>
  <w:style w:type="character" w:styleId="WW8Num7z0" w:customStyle="1">
    <w:name w:val="WW8Num7z0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3z0" w:customStyle="1">
    <w:name w:val="WW8Num3z0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2" w:customStyle="1">
    <w:name w:val="WW8Num3z2"/>
    <w:qFormat/>
    <w:rPr>
      <w:rFonts w:ascii="Wingdings" w:hAnsi="Wingdings" w:cs="Wingdings"/>
    </w:rPr>
  </w:style>
  <w:style w:type="character" w:styleId="WW8Num5z0" w:customStyle="1">
    <w:name w:val="WW8Num5z0"/>
    <w:qFormat/>
    <w:rPr>
      <w:rFonts w:ascii="Symbol" w:hAnsi="Symbol" w:cs="Symbol"/>
    </w:rPr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2" w:customStyle="1">
    <w:name w:val="WW8Num5z2"/>
    <w:qFormat/>
    <w:rPr>
      <w:rFonts w:ascii="Wingdings" w:hAnsi="Wingdings" w:cs="Wingdings"/>
    </w:rPr>
  </w:style>
  <w:style w:type="character" w:styleId="WW8Num9z0" w:customStyle="1">
    <w:name w:val="WW8Num9z0"/>
    <w:qFormat/>
    <w:rPr>
      <w:rFonts w:ascii="Symbol" w:hAnsi="Symbol" w:cs="Symbol"/>
    </w:rPr>
  </w:style>
  <w:style w:type="character" w:styleId="WW8Num9z1" w:customStyle="1">
    <w:name w:val="WW8Num9z1"/>
    <w:qFormat/>
    <w:rPr>
      <w:rFonts w:ascii="Courier New" w:hAnsi="Courier New" w:cs="Courier New"/>
    </w:rPr>
  </w:style>
  <w:style w:type="character" w:styleId="WW8Num9z2" w:customStyle="1">
    <w:name w:val="WW8Num9z2"/>
    <w:qFormat/>
    <w:rPr>
      <w:rFonts w:ascii="Wingdings" w:hAnsi="Wingdings" w:cs="Wingdings"/>
    </w:rPr>
  </w:style>
  <w:style w:type="character" w:styleId="FontStyle59" w:customStyle="1">
    <w:name w:val="Font Style59"/>
    <w:qFormat/>
    <w:rsid w:val="00cb20d4"/>
    <w:rPr>
      <w:rFonts w:ascii="Tahoma" w:hAnsi="Tahoma" w:cs="Tahoma"/>
      <w:sz w:val="16"/>
      <w:szCs w:val="16"/>
    </w:rPr>
  </w:style>
  <w:style w:type="character" w:styleId="AkapitzlistZnak" w:customStyle="1">
    <w:name w:val="Akapit z listą Znak"/>
    <w:link w:val="ListParagraph"/>
    <w:uiPriority w:val="34"/>
    <w:qFormat/>
    <w:rsid w:val="00d13d37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widowControl w:val="false"/>
      <w:spacing w:lineRule="auto" w:line="288" w:before="0" w:after="140"/>
    </w:pPr>
    <w:rPr>
      <w:rFonts w:ascii="TimesNewRomanPS-BoldItalicMT" w:hAnsi="TimesNewRomanPS-BoldItalicMT" w:eastAsia="TimesNewRomanPS-BoldItalicMT" w:cs="TimesNewRomanPS-BoldItalicMT"/>
      <w:b/>
      <w:bCs/>
      <w:i/>
      <w:color w:val="00000A"/>
    </w:rPr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Mangal"/>
    </w:rPr>
  </w:style>
  <w:style w:type="paragraph" w:styleId="Gwkaistopka" w:customStyle="1">
    <w:name w:val="Główka i stopka"/>
    <w:basedOn w:val="Normal"/>
    <w:qFormat/>
    <w:pPr>
      <w:suppressLineNumbers/>
      <w:tabs>
        <w:tab w:val="clear" w:pos="643"/>
        <w:tab w:val="center" w:pos="4819" w:leader="none"/>
        <w:tab w:val="right" w:pos="9638" w:leader="none"/>
      </w:tabs>
    </w:pPr>
    <w:rPr/>
  </w:style>
  <w:style w:type="paragraph" w:styleId="Gwka">
    <w:name w:val="Header"/>
    <w:basedOn w:val="Normal"/>
    <w:next w:val="Tretekstu"/>
    <w:pPr>
      <w:tabs>
        <w:tab w:val="clear" w:pos="643"/>
        <w:tab w:val="center" w:pos="4536" w:leader="none"/>
        <w:tab w:val="right" w:pos="9072" w:leader="none"/>
      </w:tabs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"/>
    <w:pPr>
      <w:tabs>
        <w:tab w:val="clear" w:pos="643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qFormat/>
    <w:pPr/>
    <w:rPr>
      <w:sz w:val="18"/>
      <w:szCs w:val="18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Arial;Arial" w:hAnsi="Arial;Arial" w:eastAsia="Calibri" w:cs="Arial;Arial"/>
      <w:color w:val="auto"/>
      <w:kern w:val="2"/>
      <w:sz w:val="24"/>
      <w:szCs w:val="24"/>
      <w:lang w:val="pl-PL" w:eastAsia="en-US" w:bidi="ar-SA"/>
    </w:rPr>
  </w:style>
  <w:style w:type="paragraph" w:styleId="Zawartotabeli" w:customStyle="1">
    <w:name w:val="Zawartość tabeli"/>
    <w:basedOn w:val="Normal"/>
    <w:qFormat/>
    <w:pPr>
      <w:suppressLineNumbers/>
      <w:textAlignment w:val="baseline"/>
    </w:pPr>
    <w:rPr>
      <w:rFonts w:cs="Tahoma"/>
      <w:lang w:eastAsia="ja-JP" w:bidi="fa-IR"/>
    </w:rPr>
  </w:style>
  <w:style w:type="paragraph" w:styleId="ListContinue2">
    <w:name w:val="List Continue 2"/>
    <w:qFormat/>
    <w:pPr>
      <w:widowControl w:val="false"/>
      <w:tabs>
        <w:tab w:val="clear" w:pos="643"/>
        <w:tab w:val="left" w:pos="360" w:leader="none"/>
        <w:tab w:val="left" w:pos="720" w:leader="none"/>
      </w:tabs>
      <w:suppressAutoHyphens w:val="true"/>
      <w:bidi w:val="0"/>
      <w:spacing w:before="0" w:after="160"/>
      <w:ind w:left="1080" w:hanging="360"/>
      <w:jc w:val="left"/>
      <w:textAlignment w:val="baseline"/>
    </w:pPr>
    <w:rPr>
      <w:rFonts w:ascii="Calibri" w:hAnsi="Calibri" w:eastAsia="SimSun" w:cs="Tahoma"/>
      <w:color w:val="00000A"/>
      <w:kern w:val="2"/>
      <w:sz w:val="20"/>
      <w:szCs w:val="20"/>
      <w:lang w:val="pl-PL" w:eastAsia="ja-JP" w:bidi="fa-IR"/>
    </w:rPr>
  </w:style>
  <w:style w:type="paragraph" w:styleId="ListContinue">
    <w:name w:val="List Continue"/>
    <w:basedOn w:val="Normal"/>
    <w:qFormat/>
    <w:pPr>
      <w:spacing w:before="0" w:after="120"/>
      <w:ind w:left="283" w:hanging="0"/>
    </w:pPr>
    <w:rPr/>
  </w:style>
  <w:style w:type="paragraph" w:styleId="Nagwek11" w:customStyle="1">
    <w:name w:val="Nagłówek1"/>
    <w:basedOn w:val="Normal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  <w:lang w:eastAsia="zh-CN"/>
    </w:rPr>
  </w:style>
  <w:style w:type="paragraph" w:styleId="Przypisdolny">
    <w:name w:val="Footnote Text"/>
    <w:basedOn w:val="Normal"/>
    <w:qFormat/>
    <w:pPr/>
    <w:rPr>
      <w:lang w:eastAsia="zh-CN"/>
    </w:rPr>
  </w:style>
  <w:style w:type="paragraph" w:styleId="ListParagraph">
    <w:name w:val="List Paragraph"/>
    <w:basedOn w:val="Normal"/>
    <w:link w:val="AkapitzlistZnak"/>
    <w:uiPriority w:val="34"/>
    <w:qFormat/>
    <w:pPr>
      <w:spacing w:before="0" w:after="160"/>
      <w:ind w:left="720" w:hanging="0"/>
      <w:contextualSpacing/>
    </w:pPr>
    <w:rPr/>
  </w:style>
  <w:style w:type="paragraph" w:styleId="Tekstpodstawowy21" w:customStyle="1">
    <w:name w:val="Tekst podstawowy 21"/>
    <w:basedOn w:val="Normal"/>
    <w:qFormat/>
    <w:pPr/>
    <w:rPr>
      <w:b/>
      <w:bCs/>
      <w:lang w:eastAsia="ar-SA"/>
    </w:rPr>
  </w:style>
  <w:style w:type="paragraph" w:styleId="Normalny1" w:customStyle="1">
    <w:name w:val="Normalny1"/>
    <w:qFormat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Liberation Serif" w:hAnsi="Liberation Serif" w:eastAsia="SimSun" w:cs="Mangal"/>
      <w:color w:val="00000A"/>
      <w:kern w:val="2"/>
      <w:sz w:val="24"/>
      <w:szCs w:val="24"/>
      <w:lang w:val="pl-PL" w:eastAsia="zh-CN" w:bidi="hi-IN"/>
    </w:rPr>
  </w:style>
  <w:style w:type="paragraph" w:styleId="TableParagraph" w:customStyle="1">
    <w:name w:val="Table Paragraph"/>
    <w:basedOn w:val="Normal"/>
    <w:qFormat/>
    <w:pPr/>
    <w:rPr/>
  </w:style>
  <w:style w:type="paragraph" w:styleId="0" w:customStyle="1">
    <w:name w:val="0"/>
    <w:basedOn w:val="Normal"/>
    <w:qFormat/>
    <w:pPr>
      <w:jc w:val="both"/>
    </w:pPr>
    <w:rPr>
      <w:sz w:val="21"/>
      <w:szCs w:val="20"/>
      <w:lang w:eastAsia="zh-CN"/>
    </w:rPr>
  </w:style>
  <w:style w:type="paragraph" w:styleId="BodyText2">
    <w:name w:val="Body Text 2"/>
    <w:basedOn w:val="Normal"/>
    <w:qFormat/>
    <w:pPr/>
    <w:rPr>
      <w:b/>
      <w:bCs/>
      <w:lang w:eastAsia="ar-SA"/>
    </w:rPr>
  </w:style>
  <w:style w:type="paragraph" w:styleId="NormalWeb">
    <w:name w:val="Normal (Web)"/>
    <w:basedOn w:val="Normal"/>
    <w:uiPriority w:val="99"/>
    <w:qFormat/>
    <w:pPr>
      <w:spacing w:before="0" w:after="280"/>
    </w:pPr>
    <w:rPr/>
  </w:style>
  <w:style w:type="paragraph" w:styleId="Nagwektabeli" w:customStyle="1">
    <w:name w:val="Nagłówek tabeli"/>
    <w:basedOn w:val="Zawartotabeli"/>
    <w:qFormat/>
    <w:pPr/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Bookman Old Style" w:hAnsi="Bookman Old Style" w:eastAsia="Times New Roman" w:cs="Bookman Old Style"/>
      <w:color w:val="000000"/>
      <w:kern w:val="2"/>
      <w:sz w:val="24"/>
      <w:szCs w:val="24"/>
      <w:lang w:val="pl-PL" w:eastAsia="zh-CN" w:bidi="ar-SA"/>
    </w:rPr>
  </w:style>
  <w:style w:type="paragraph" w:styleId="Akapitzlist1" w:customStyle="1">
    <w:name w:val="Akapit z listą1"/>
    <w:basedOn w:val="Normal"/>
    <w:qFormat/>
    <w:pPr>
      <w:spacing w:lineRule="auto" w:line="276" w:before="0" w:after="200"/>
      <w:ind w:left="720" w:hanging="0"/>
    </w:pPr>
    <w:rPr>
      <w:rFonts w:eastAsia="Times New Roman" w:cs="Times New Roman"/>
      <w:kern w:val="0"/>
    </w:rPr>
  </w:style>
  <w:style w:type="paragraph" w:styleId="Style101" w:customStyle="1">
    <w:name w:val="Style10"/>
    <w:basedOn w:val="Normal"/>
    <w:qFormat/>
    <w:rsid w:val="00af2731"/>
    <w:pPr>
      <w:widowControl w:val="false"/>
      <w:jc w:val="center"/>
    </w:pPr>
    <w:rPr>
      <w:rFonts w:ascii="Trebuchet MS" w:hAnsi="Trebuchet MS" w:eastAsia="Times New Roman" w:cs="Trebuchet MS"/>
      <w:kern w:val="0"/>
      <w:lang w:eastAsia="zh-CN"/>
    </w:rPr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SimSun" w:cs="Calibri"/>
      <w:color w:val="auto"/>
      <w:kern w:val="2"/>
      <w:sz w:val="24"/>
      <w:szCs w:val="24"/>
      <w:lang w:val="pl-PL" w:eastAsia="en-US" w:bidi="ar-SA"/>
    </w:rPr>
  </w:style>
  <w:style w:type="paragraph" w:styleId="LOnormal1" w:customStyle="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SimSun" w:cs="Calibri"/>
      <w:color w:val="auto"/>
      <w:kern w:val="2"/>
      <w:sz w:val="24"/>
      <w:szCs w:val="24"/>
      <w:lang w:val="pl-PL" w:eastAsia="en-US" w:bidi="ar-SA"/>
    </w:rPr>
  </w:style>
  <w:style w:type="paragraph" w:styleId="Tekstcofnity" w:customStyle="1">
    <w:name w:val="tekstcofnity"/>
    <w:basedOn w:val="Normal"/>
    <w:qFormat/>
    <w:rsid w:val="008d42a6"/>
    <w:pPr>
      <w:spacing w:lineRule="auto" w:line="360"/>
      <w:ind w:left="540" w:hanging="0"/>
    </w:pPr>
    <w:rPr>
      <w:rFonts w:ascii="Times New Roman" w:hAnsi="Times New Roman" w:eastAsia="Times New Roman" w:cs="Times New Roman"/>
      <w:kern w:val="0"/>
      <w:lang w:eastAsia="ar-SA"/>
    </w:rPr>
  </w:style>
  <w:style w:type="paragraph" w:styleId="Wyliczkreska" w:customStyle="1">
    <w:name w:val="Wylicz_kreska"/>
    <w:basedOn w:val="Normal"/>
    <w:qFormat/>
    <w:rsid w:val="00740249"/>
    <w:pPr>
      <w:suppressAutoHyphens w:val="false"/>
      <w:spacing w:lineRule="auto" w:line="360"/>
      <w:ind w:left="720" w:hanging="180"/>
    </w:pPr>
    <w:rPr>
      <w:rFonts w:ascii="Times New Roman" w:hAnsi="Times New Roman" w:eastAsia="Arial Unicode MS" w:cs="Times New Roman"/>
      <w:kern w:val="0"/>
      <w:szCs w:val="20"/>
      <w:lang w:val="en-US" w:eastAsia="pl-PL"/>
    </w:rPr>
  </w:style>
  <w:style w:type="paragraph" w:styleId="Style27" w:customStyle="1">
    <w:name w:val="Style27"/>
    <w:basedOn w:val="Normal"/>
    <w:qFormat/>
    <w:rsid w:val="00dd7871"/>
    <w:pPr>
      <w:widowControl w:val="false"/>
      <w:suppressAutoHyphens w:val="false"/>
      <w:spacing w:lineRule="exact" w:line="216"/>
    </w:pPr>
    <w:rPr>
      <w:rFonts w:ascii="Garamond" w:hAnsi="Garamond" w:eastAsia="Times New Roman" w:cs="Times New Roman"/>
      <w:kern w:val="0"/>
      <w:lang w:eastAsia="pl-PL"/>
    </w:rPr>
  </w:style>
  <w:style w:type="paragraph" w:styleId="Tekstcofnity1" w:customStyle="1">
    <w:name w:val="Tekst_cofnięty"/>
    <w:basedOn w:val="Wyliczkreska"/>
    <w:qFormat/>
    <w:rsid w:val="00d13d37"/>
    <w:pPr>
      <w:ind w:left="540" w:hanging="0"/>
    </w:pPr>
    <w:rPr/>
  </w:style>
  <w:style w:type="paragraph" w:styleId="Standard" w:customStyle="1">
    <w:name w:val="Standard"/>
    <w:qFormat/>
    <w:rsid w:val="00c466b7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/>
      <w:color w:val="auto"/>
      <w:kern w:val="2"/>
      <w:sz w:val="22"/>
      <w:szCs w:val="22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2" w:customStyle="1">
    <w:name w:val="WW8Num12"/>
    <w:qFormat/>
  </w:style>
  <w:style w:type="numbering" w:styleId="WW8Num2" w:customStyle="1">
    <w:name w:val="WW8Num2"/>
    <w:qFormat/>
  </w:style>
  <w:style w:type="numbering" w:styleId="WW8Num10" w:customStyle="1">
    <w:name w:val="WW8Num10"/>
    <w:qFormat/>
  </w:style>
  <w:style w:type="numbering" w:styleId="WW8Num6" w:customStyle="1">
    <w:name w:val="WW8Num6"/>
    <w:qFormat/>
  </w:style>
  <w:style w:type="numbering" w:styleId="WW8Num1" w:customStyle="1">
    <w:name w:val="WW8Num1"/>
    <w:qFormat/>
  </w:style>
  <w:style w:type="numbering" w:styleId="WW8Num7" w:customStyle="1">
    <w:name w:val="WW8Num7"/>
    <w:qFormat/>
  </w:style>
  <w:style w:type="numbering" w:styleId="WW8Num3" w:customStyle="1">
    <w:name w:val="WW8Num3"/>
    <w:qFormat/>
  </w:style>
  <w:style w:type="numbering" w:styleId="WW8Num5" w:customStyle="1">
    <w:name w:val="WW8Num5"/>
    <w:qFormat/>
  </w:style>
  <w:style w:type="numbering" w:styleId="WW8Num9" w:customStyle="1">
    <w:name w:val="WW8Num9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d13d3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1448A-977B-4559-B9C5-AC9F1AC78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Application>LibreOffice/7.3.3.2$Windows_X86_64 LibreOffice_project/d1d0ea68f081ee2800a922cac8f79445e4603348</Application>
  <AppVersion>15.0000</AppVersion>
  <Pages>9</Pages>
  <Words>3151</Words>
  <Characters>19269</Characters>
  <CharactersWithSpaces>21903</CharactersWithSpaces>
  <Paragraphs>561</Paragraphs>
  <Company>SZ.O.K.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2026-07-30T12:19:00Z</dcterms:created>
  <dc:creator>Łukasz</dc:creator>
  <dc:description/>
  <dc:language>pl-PL</dc:language>
  <cp:lastModifiedBy/>
  <cp:lastPrinted>2026-07-13T13:15:00Z</cp:lastPrinted>
  <dcterms:modified xsi:type="dcterms:W3CDTF">2026-08-10T09:47:24Z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