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94BC9C" w14:textId="27B626DC" w:rsidR="001A64CE" w:rsidRPr="00CB0389" w:rsidRDefault="001A64CE" w:rsidP="00CB0389">
      <w:pPr>
        <w:spacing w:before="120" w:after="0" w:line="276" w:lineRule="auto"/>
        <w:rPr>
          <w:i/>
          <w:iCs/>
        </w:rPr>
      </w:pPr>
      <w:r w:rsidRPr="00CB0389">
        <w:rPr>
          <w:i/>
          <w:iCs/>
        </w:rPr>
        <w:t>Załącznik nr 4a – Szczegółowy opis przedmiotu zamówienia</w:t>
      </w:r>
    </w:p>
    <w:p w14:paraId="1714A3A9" w14:textId="171B1C06" w:rsidR="001A64CE" w:rsidRPr="00F510E6" w:rsidRDefault="00F510E6" w:rsidP="00CB0389">
      <w:pPr>
        <w:spacing w:before="120" w:after="0" w:line="276" w:lineRule="auto"/>
        <w:rPr>
          <w:b/>
          <w:bCs/>
        </w:rPr>
      </w:pPr>
      <w:r w:rsidRPr="00F510E6">
        <w:rPr>
          <w:b/>
          <w:bCs/>
        </w:rPr>
        <w:t>Część I: ściana wizyjna LED</w:t>
      </w:r>
    </w:p>
    <w:p w14:paraId="6416930A" w14:textId="6126DB3F" w:rsidR="00CB0389" w:rsidRDefault="001A64CE" w:rsidP="00CB0389">
      <w:pPr>
        <w:pStyle w:val="Akapitzlist"/>
        <w:numPr>
          <w:ilvl w:val="0"/>
          <w:numId w:val="1"/>
        </w:numPr>
        <w:spacing w:before="120" w:after="0" w:line="276" w:lineRule="auto"/>
        <w:ind w:left="426"/>
      </w:pPr>
      <w:r>
        <w:t>Główny element systemu to ekran wykonany w technologii SMD 3w1 o rozmiarze piksela poniżej 1.9 mm i maksymalnych wymiarach całkowitych ekranu</w:t>
      </w:r>
      <w:r w:rsidR="00752200">
        <w:t xml:space="preserve"> LED</w:t>
      </w:r>
      <w:r>
        <w:t xml:space="preserve">: </w:t>
      </w:r>
    </w:p>
    <w:p w14:paraId="023560CF" w14:textId="6A2B068B" w:rsidR="00CB0389" w:rsidRDefault="001A64CE" w:rsidP="00CB0389">
      <w:pPr>
        <w:spacing w:before="120" w:after="0" w:line="276" w:lineRule="auto"/>
        <w:ind w:left="708"/>
      </w:pPr>
      <w:r>
        <w:t>szerokoś</w:t>
      </w:r>
      <w:r w:rsidR="00CB0389">
        <w:t>ć</w:t>
      </w:r>
      <w:r>
        <w:t xml:space="preserve"> </w:t>
      </w:r>
      <w:r w:rsidR="001144CB">
        <w:t>3600</w:t>
      </w:r>
      <w:r>
        <w:t xml:space="preserve"> mm (+/- 10 mm), </w:t>
      </w:r>
    </w:p>
    <w:p w14:paraId="006CF55B" w14:textId="0FA6FE5B" w:rsidR="00CB0389" w:rsidRDefault="001A64CE" w:rsidP="00CB0389">
      <w:pPr>
        <w:spacing w:before="120" w:after="0" w:line="276" w:lineRule="auto"/>
        <w:ind w:left="708"/>
      </w:pPr>
      <w:r>
        <w:t>wysokoś</w:t>
      </w:r>
      <w:r w:rsidR="00CB0389">
        <w:t>ć</w:t>
      </w:r>
      <w:r>
        <w:t xml:space="preserve"> 2</w:t>
      </w:r>
      <w:r w:rsidR="001144CB">
        <w:t>025</w:t>
      </w:r>
      <w:r>
        <w:t xml:space="preserve"> mm (+/- 10 mm), </w:t>
      </w:r>
    </w:p>
    <w:p w14:paraId="3CBA02A8" w14:textId="7CCAF555" w:rsidR="00CB0389" w:rsidRDefault="001A64CE" w:rsidP="00CB0389">
      <w:pPr>
        <w:spacing w:before="120" w:after="0" w:line="276" w:lineRule="auto"/>
        <w:ind w:left="708"/>
      </w:pPr>
      <w:r>
        <w:t>głębokoś</w:t>
      </w:r>
      <w:r w:rsidR="00CB0389">
        <w:t>ć</w:t>
      </w:r>
      <w:r>
        <w:t xml:space="preserve"> maksymalnie </w:t>
      </w:r>
      <w:r w:rsidR="00813777">
        <w:t>31</w:t>
      </w:r>
      <w:r>
        <w:t xml:space="preserve"> mm (+/- </w:t>
      </w:r>
      <w:r w:rsidR="00813777">
        <w:t>2</w:t>
      </w:r>
      <w:r>
        <w:t xml:space="preserve"> mm)</w:t>
      </w:r>
    </w:p>
    <w:p w14:paraId="0DD74EF5" w14:textId="098E8CBE" w:rsidR="001A64CE" w:rsidRDefault="001A64CE" w:rsidP="00AA2B12">
      <w:pPr>
        <w:spacing w:before="120" w:after="0" w:line="276" w:lineRule="auto"/>
        <w:ind w:left="426"/>
      </w:pPr>
      <w:r>
        <w:t>Cała powierzchnia ekranu pozbawiona ramek w zakresie aktywnej przestrzeni roboczej, wyświetlacz zarówno z przodu, jak i z tyłu musi tworzyć jednolitą powierzchnię.</w:t>
      </w:r>
    </w:p>
    <w:p w14:paraId="57991309" w14:textId="18E129C9" w:rsidR="001A64CE" w:rsidRDefault="001A64CE" w:rsidP="00AA2B12">
      <w:pPr>
        <w:pStyle w:val="Akapitzlist"/>
        <w:numPr>
          <w:ilvl w:val="0"/>
          <w:numId w:val="1"/>
        </w:numPr>
        <w:spacing w:before="120" w:after="0" w:line="276" w:lineRule="auto"/>
        <w:ind w:left="426"/>
      </w:pPr>
      <w:r>
        <w:t xml:space="preserve">Ekran wyposażony w dedykowaną konstrukcję nośną tego samego producenta, pozwalającą </w:t>
      </w:r>
      <w:r w:rsidR="00B4184E">
        <w:t>na m</w:t>
      </w:r>
      <w:r w:rsidR="00B4184E" w:rsidRPr="00B4184E">
        <w:t xml:space="preserve">ontaż konstrukcji wsporczej pod ekran w </w:t>
      </w:r>
      <w:r w:rsidR="005539D4" w:rsidRPr="00B4184E">
        <w:t>odsunięciu</w:t>
      </w:r>
      <w:r w:rsidR="00B4184E" w:rsidRPr="00B4184E">
        <w:t xml:space="preserve"> (dystansie) </w:t>
      </w:r>
      <w:r w:rsidR="005539D4">
        <w:t xml:space="preserve">ok. </w:t>
      </w:r>
      <w:r w:rsidR="00131059">
        <w:t>3</w:t>
      </w:r>
      <w:r w:rsidR="00B4184E" w:rsidRPr="00B4184E">
        <w:t>0 cm od lica ściany</w:t>
      </w:r>
      <w:r>
        <w:t xml:space="preserve">. Dodatkowo do ekranu </w:t>
      </w:r>
      <w:r w:rsidR="00F510E6">
        <w:t>W</w:t>
      </w:r>
      <w:r>
        <w:t>ykonawca dostarczy aluminiową ramę okalającą</w:t>
      </w:r>
      <w:bookmarkStart w:id="0" w:name="_GoBack"/>
      <w:bookmarkEnd w:id="0"/>
      <w:r>
        <w:t xml:space="preserve"> i zabezpieczającą ekran tego samego producenta. Konstrukcja wraz z ekranem nie może przekroczyć wagi </w:t>
      </w:r>
      <w:r w:rsidR="00AC08ED">
        <w:t xml:space="preserve">250 </w:t>
      </w:r>
      <w:r>
        <w:t>kg (+/- 10 kg).</w:t>
      </w:r>
    </w:p>
    <w:p w14:paraId="01925AE4" w14:textId="3BE8E81D" w:rsidR="001A64CE" w:rsidRDefault="001A64CE" w:rsidP="00AA2B12">
      <w:pPr>
        <w:pStyle w:val="Akapitzlist"/>
        <w:numPr>
          <w:ilvl w:val="0"/>
          <w:numId w:val="1"/>
        </w:numPr>
        <w:spacing w:before="120" w:after="0" w:line="276" w:lineRule="auto"/>
        <w:ind w:left="426"/>
      </w:pPr>
      <w:r>
        <w:t xml:space="preserve">Ekran powinien wyświetlać obraz o minimalnej rozdzielczości natywnej </w:t>
      </w:r>
      <w:r w:rsidR="002C472A">
        <w:t>1920 x</w:t>
      </w:r>
      <w:r w:rsidR="007B6122">
        <w:t xml:space="preserve"> 1080</w:t>
      </w:r>
      <w:r>
        <w:t xml:space="preserve"> pikseli z</w:t>
      </w:r>
      <w:r w:rsidR="00AA2B12">
        <w:t> </w:t>
      </w:r>
      <w:r>
        <w:t xml:space="preserve">jasnością osiągającą 800nit przy zachowaniu kontrastu statycznego 5000:1. Jednocześnie, wraz z utrzymaniem wspomnianych wyżej parametrów, podczas wyświetlania białego tła na powierzchni całego ekranu, maksymalny pobór prądu w przeliczeniu na m2, nie może przekroczyć </w:t>
      </w:r>
      <w:r w:rsidR="0055460D">
        <w:t>385</w:t>
      </w:r>
      <w:r>
        <w:t>W. Żywotność ekranu, do osiągnięcia połowy z</w:t>
      </w:r>
      <w:r w:rsidR="00AA2B12">
        <w:t> </w:t>
      </w:r>
      <w:r>
        <w:t>nominalnej jasności, nie może być mniejsza niż 100 000 roboczogodzin.</w:t>
      </w:r>
    </w:p>
    <w:p w14:paraId="5F73663D" w14:textId="44265D27" w:rsidR="001A64CE" w:rsidRDefault="001A64CE" w:rsidP="00AA2B12">
      <w:pPr>
        <w:pStyle w:val="Akapitzlist"/>
        <w:numPr>
          <w:ilvl w:val="0"/>
          <w:numId w:val="1"/>
        </w:numPr>
        <w:spacing w:before="120" w:after="0" w:line="276" w:lineRule="auto"/>
        <w:ind w:left="426"/>
      </w:pPr>
      <w:r>
        <w:t>Ekran powinien umożliwiać sterowanie temperaturą barwową, płynnie w zakresie od 3000 do 9500 Kelvinów, przy zachowaniu stałej skorelowanej temperatury barwowej w całym zakresie jasności.</w:t>
      </w:r>
    </w:p>
    <w:p w14:paraId="76984BC9" w14:textId="77777777" w:rsidR="001A64CE" w:rsidRDefault="001A64CE" w:rsidP="00AA2B12">
      <w:pPr>
        <w:pStyle w:val="Akapitzlist"/>
        <w:numPr>
          <w:ilvl w:val="0"/>
          <w:numId w:val="1"/>
        </w:numPr>
        <w:spacing w:before="120" w:after="0" w:line="276" w:lineRule="auto"/>
        <w:ind w:left="426"/>
      </w:pPr>
      <w:r>
        <w:t>Ze względów bezpieczeństwa, ognioodporności, oraz lepszego odprowadzania ciepła, obudowa ekranu musi być wykonana w całości z aluminium. Połączenia pomiędzy elementami wyświetlacza, powinny być realizowane bez widocznego jakiegokolwiek okablowania sygnałowego oraz zasilającego. W szczególności połączenia pomiędzy modułami LED, a także wewnątrz modułów, czyli pomiędzy płytą główną, zasilaczem oraz kartą odbiorczą, powinny być realizowane za pomocą szybkozłączy lub systemowych przewodów producenta. Karty pikselowe montowane wyłącznie magnetycznie, bez użycia jakichkolwiek połączeń kablowych.</w:t>
      </w:r>
    </w:p>
    <w:p w14:paraId="61658CCC" w14:textId="775543A8" w:rsidR="001A64CE" w:rsidRDefault="001A64CE" w:rsidP="00AA2B12">
      <w:pPr>
        <w:pStyle w:val="Akapitzlist"/>
        <w:numPr>
          <w:ilvl w:val="0"/>
          <w:numId w:val="1"/>
        </w:numPr>
        <w:spacing w:before="120" w:after="0" w:line="276" w:lineRule="auto"/>
        <w:ind w:left="426"/>
      </w:pPr>
      <w:r>
        <w:t>Wymaga się, aby konstrukcja ekranu umożliwiała jego serwisowanie i wymianę wszystkich elementów elektronicznych z przodu. Z powodu zminimalizowania kosztów ewentualnego serwisu, wymaga się również, aby ekran umożliwiał serwis na poziomie pojedynczych diod. Również, mając na względzie chęć uprosz</w:t>
      </w:r>
      <w:r w:rsidR="00AA2B12">
        <w:t>cz</w:t>
      </w:r>
      <w:r>
        <w:t xml:space="preserve">enia serwisu, oraz zwiększenia wszechstronności skalowania, ekran powinien składać się z oddzielnych </w:t>
      </w:r>
      <w:r w:rsidR="0086638D">
        <w:t xml:space="preserve">kabinetów </w:t>
      </w:r>
      <w:r>
        <w:t xml:space="preserve">nie większych niż </w:t>
      </w:r>
      <w:r w:rsidR="00D820EC">
        <w:rPr>
          <w:b/>
          <w:bCs/>
        </w:rPr>
        <w:t>600x337,5x31mm</w:t>
      </w:r>
      <w:r>
        <w:t>, a każdy powinien zawierać płytę główną, jedną kartę odbiorczą, jeden zasilacz oraz cztery karty pikselowe z diodami SMD1</w:t>
      </w:r>
      <w:r w:rsidR="00461550">
        <w:t>5</w:t>
      </w:r>
      <w:r>
        <w:t xml:space="preserve">15 stanowiące całość. </w:t>
      </w:r>
      <w:r w:rsidR="00772E52">
        <w:t>Waga jedn</w:t>
      </w:r>
      <w:r w:rsidR="00C2540E">
        <w:t>ego</w:t>
      </w:r>
      <w:r w:rsidR="00772E52">
        <w:t xml:space="preserve"> kabinetu nie powinna być większa niż 4,</w:t>
      </w:r>
      <w:r w:rsidR="00725FDB">
        <w:t>8kg.</w:t>
      </w:r>
    </w:p>
    <w:p w14:paraId="62720CF8" w14:textId="6BC02B5E" w:rsidR="0041656A" w:rsidRPr="00752200" w:rsidRDefault="0041656A" w:rsidP="0041656A">
      <w:pPr>
        <w:pStyle w:val="Akapitzlist"/>
        <w:numPr>
          <w:ilvl w:val="0"/>
          <w:numId w:val="1"/>
        </w:numPr>
        <w:spacing w:before="120" w:after="0" w:line="276" w:lineRule="auto"/>
        <w:ind w:left="426"/>
      </w:pPr>
      <w:r w:rsidRPr="00752200">
        <w:lastRenderedPageBreak/>
        <w:t xml:space="preserve">Z poziomu obecnego systemu sterowania, należy zapewnić możliwość sterowania: włączanie i </w:t>
      </w:r>
      <w:r w:rsidR="00ED1F0F" w:rsidRPr="00752200">
        <w:t>wyłączanie</w:t>
      </w:r>
      <w:r w:rsidRPr="00752200">
        <w:t xml:space="preserve"> ekranu,</w:t>
      </w:r>
      <w:r w:rsidR="00ED1F0F" w:rsidRPr="00752200">
        <w:t xml:space="preserve"> zmiana źródeł sygnału,</w:t>
      </w:r>
      <w:r w:rsidRPr="00752200">
        <w:t xml:space="preserve"> poprzez zarządzanie dedykowanymi modułami prądowymi</w:t>
      </w:r>
      <w:r w:rsidR="000D3A16" w:rsidRPr="00752200">
        <w:t>.</w:t>
      </w:r>
    </w:p>
    <w:p w14:paraId="3E32401D" w14:textId="1CBF1653" w:rsidR="001A64CE" w:rsidRDefault="001A64CE" w:rsidP="00AA2B12">
      <w:pPr>
        <w:pStyle w:val="Akapitzlist"/>
        <w:numPr>
          <w:ilvl w:val="0"/>
          <w:numId w:val="1"/>
        </w:numPr>
        <w:spacing w:before="120" w:after="0" w:line="276" w:lineRule="auto"/>
        <w:ind w:left="426"/>
      </w:pPr>
      <w:r>
        <w:t>oraz odpowiednie złącza wyjściowe w kontrolerze LED do ich podłączenia.</w:t>
      </w:r>
    </w:p>
    <w:p w14:paraId="298F402C" w14:textId="77777777" w:rsidR="001A64CE" w:rsidRDefault="001A64CE" w:rsidP="00AA2B12">
      <w:pPr>
        <w:pStyle w:val="Akapitzlist"/>
        <w:numPr>
          <w:ilvl w:val="0"/>
          <w:numId w:val="1"/>
        </w:numPr>
        <w:spacing w:before="120" w:after="0" w:line="276" w:lineRule="auto"/>
        <w:ind w:left="426"/>
      </w:pPr>
      <w:r>
        <w:t>W celu zapewnienia jak najwyższej jakości prezentowanych treści, ekran LED powinien być skalibrowany w zakresie jednorodności wyświetlanego obrazu.</w:t>
      </w:r>
    </w:p>
    <w:p w14:paraId="779DAEAC" w14:textId="77777777" w:rsidR="001A64CE" w:rsidRDefault="001A64CE" w:rsidP="00AA2B12">
      <w:pPr>
        <w:pStyle w:val="Akapitzlist"/>
        <w:numPr>
          <w:ilvl w:val="0"/>
          <w:numId w:val="1"/>
        </w:numPr>
        <w:spacing w:before="120" w:after="0" w:line="276" w:lineRule="auto"/>
        <w:ind w:left="426"/>
      </w:pPr>
      <w:r>
        <w:t>Do ekranu należy dostarczyć:</w:t>
      </w:r>
    </w:p>
    <w:p w14:paraId="60CD9322" w14:textId="559D856E" w:rsidR="001A64CE" w:rsidRDefault="001A64CE" w:rsidP="00AA2B12">
      <w:pPr>
        <w:pStyle w:val="Akapitzlist"/>
        <w:numPr>
          <w:ilvl w:val="0"/>
          <w:numId w:val="4"/>
        </w:numPr>
        <w:spacing w:before="120" w:after="0" w:line="276" w:lineRule="auto"/>
      </w:pPr>
      <w:r>
        <w:t xml:space="preserve">Kontroler </w:t>
      </w:r>
      <w:r w:rsidR="00DD48AA">
        <w:t>Ekranu LED</w:t>
      </w:r>
      <w:r w:rsidR="006C44E0">
        <w:t xml:space="preserve"> </w:t>
      </w:r>
      <w:r>
        <w:t xml:space="preserve">posiadający </w:t>
      </w:r>
    </w:p>
    <w:p w14:paraId="6B13D644" w14:textId="5C94A6F6" w:rsidR="00DC0E2B" w:rsidRDefault="00DC0E2B" w:rsidP="00DC0E2B">
      <w:pPr>
        <w:pStyle w:val="Akapitzlist"/>
        <w:spacing w:before="120" w:after="0" w:line="276" w:lineRule="auto"/>
      </w:pPr>
      <w:r>
        <w:t>Złącza wejściowe:</w:t>
      </w:r>
    </w:p>
    <w:p w14:paraId="42D78847" w14:textId="77777777" w:rsidR="00DC0E2B" w:rsidRDefault="00DC0E2B" w:rsidP="000D3A16">
      <w:pPr>
        <w:pStyle w:val="Akapitzlist"/>
        <w:spacing w:before="120" w:after="0" w:line="276" w:lineRule="auto"/>
        <w:ind w:left="1416"/>
      </w:pPr>
      <w:r>
        <w:t>1× HDMI 2.0 (wejście i przelot)</w:t>
      </w:r>
    </w:p>
    <w:p w14:paraId="7F146998" w14:textId="77777777" w:rsidR="00DC0E2B" w:rsidRDefault="00DC0E2B" w:rsidP="000D3A16">
      <w:pPr>
        <w:pStyle w:val="Akapitzlist"/>
        <w:spacing w:before="120" w:after="0" w:line="276" w:lineRule="auto"/>
        <w:ind w:left="1416"/>
      </w:pPr>
      <w:r>
        <w:t>2× HDMI 1.3</w:t>
      </w:r>
    </w:p>
    <w:p w14:paraId="740F958D" w14:textId="77777777" w:rsidR="00DC0E2B" w:rsidRDefault="00DC0E2B" w:rsidP="000D3A16">
      <w:pPr>
        <w:pStyle w:val="Akapitzlist"/>
        <w:spacing w:before="120" w:after="0" w:line="276" w:lineRule="auto"/>
        <w:ind w:left="1416"/>
      </w:pPr>
      <w:r>
        <w:t>1× 3G-SDI (wejście i przelot)</w:t>
      </w:r>
    </w:p>
    <w:p w14:paraId="513C1D13" w14:textId="77777777" w:rsidR="00DC0E2B" w:rsidRDefault="00DC0E2B" w:rsidP="000D3A16">
      <w:pPr>
        <w:pStyle w:val="Akapitzlist"/>
        <w:spacing w:before="120" w:after="0" w:line="276" w:lineRule="auto"/>
        <w:ind w:left="1416"/>
      </w:pPr>
      <w:r>
        <w:t>1× port światłowodowy 10G (OPT 1)</w:t>
      </w:r>
    </w:p>
    <w:p w14:paraId="11605423" w14:textId="77777777" w:rsidR="00DC0E2B" w:rsidRDefault="00DC0E2B" w:rsidP="000D3A16">
      <w:pPr>
        <w:pStyle w:val="Akapitzlist"/>
        <w:spacing w:before="120" w:after="0" w:line="276" w:lineRule="auto"/>
        <w:ind w:left="1416"/>
      </w:pPr>
      <w:r>
        <w:t>1× USB 3.0 (obsługa odtwarzania z USB)</w:t>
      </w:r>
    </w:p>
    <w:p w14:paraId="0B4A4F09" w14:textId="77777777" w:rsidR="00DC0E2B" w:rsidRDefault="00DC0E2B" w:rsidP="00DC0E2B">
      <w:pPr>
        <w:pStyle w:val="Akapitzlist"/>
        <w:spacing w:before="120" w:after="0" w:line="276" w:lineRule="auto"/>
      </w:pPr>
      <w:r>
        <w:t>Złącza wyjściowe:</w:t>
      </w:r>
    </w:p>
    <w:p w14:paraId="2DE808E2" w14:textId="77777777" w:rsidR="00DC0E2B" w:rsidRDefault="00DC0E2B" w:rsidP="000D3A16">
      <w:pPr>
        <w:pStyle w:val="Akapitzlist"/>
        <w:spacing w:before="120" w:after="0" w:line="276" w:lineRule="auto"/>
        <w:ind w:left="1416"/>
      </w:pPr>
      <w:r>
        <w:t>6× portów Gigabit Ethernet (maks. 3,9 mln pikseli, szerokość: 10 240 pikseli, wysokość: 8192 piksele)</w:t>
      </w:r>
    </w:p>
    <w:p w14:paraId="374AC1B0" w14:textId="77777777" w:rsidR="00DC0E2B" w:rsidRDefault="00DC0E2B" w:rsidP="000D3A16">
      <w:pPr>
        <w:pStyle w:val="Akapitzlist"/>
        <w:spacing w:before="120" w:after="0" w:line="276" w:lineRule="auto"/>
        <w:ind w:left="1416"/>
      </w:pPr>
      <w:r>
        <w:t>2× wyjścia światłowodowe (OPT 1 i OPT 2 – kopia lub zapas)</w:t>
      </w:r>
    </w:p>
    <w:p w14:paraId="60ADA8E4" w14:textId="77777777" w:rsidR="00DC0E2B" w:rsidRDefault="00DC0E2B" w:rsidP="000D3A16">
      <w:pPr>
        <w:pStyle w:val="Akapitzlist"/>
        <w:spacing w:before="120" w:after="0" w:line="276" w:lineRule="auto"/>
        <w:ind w:left="1416"/>
      </w:pPr>
      <w:r>
        <w:t xml:space="preserve">1× HDMI 1.3 (do podglądu, 1920×1080@60 </w:t>
      </w:r>
      <w:proofErr w:type="spellStart"/>
      <w:r>
        <w:t>Hz</w:t>
      </w:r>
      <w:proofErr w:type="spellEnd"/>
      <w:r>
        <w:t>)</w:t>
      </w:r>
    </w:p>
    <w:p w14:paraId="6D0E1874" w14:textId="77777777" w:rsidR="00DC0E2B" w:rsidRDefault="00DC0E2B" w:rsidP="000D3A16">
      <w:pPr>
        <w:pStyle w:val="Akapitzlist"/>
        <w:spacing w:before="120" w:after="0" w:line="276" w:lineRule="auto"/>
        <w:ind w:left="1416"/>
      </w:pPr>
      <w:r>
        <w:t>1× złącze 3D (obsługa zewnętrznego emitera 3D)</w:t>
      </w:r>
    </w:p>
    <w:p w14:paraId="633CCFEF" w14:textId="77777777" w:rsidR="00DC0E2B" w:rsidRDefault="00DC0E2B" w:rsidP="00DC0E2B">
      <w:pPr>
        <w:pStyle w:val="Akapitzlist"/>
        <w:spacing w:before="120" w:after="0" w:line="276" w:lineRule="auto"/>
      </w:pPr>
      <w:r>
        <w:t>Wejście i wyjście audio:</w:t>
      </w:r>
    </w:p>
    <w:p w14:paraId="78451609" w14:textId="77777777" w:rsidR="00DC0E2B" w:rsidRDefault="00DC0E2B" w:rsidP="000D3A16">
      <w:pPr>
        <w:pStyle w:val="Akapitzlist"/>
        <w:spacing w:before="120" w:after="0" w:line="276" w:lineRule="auto"/>
        <w:ind w:left="1416"/>
      </w:pPr>
      <w:r>
        <w:t>Wejście audio przez HDMI</w:t>
      </w:r>
    </w:p>
    <w:p w14:paraId="688EFF92" w14:textId="77777777" w:rsidR="00DC0E2B" w:rsidRDefault="00DC0E2B" w:rsidP="000D3A16">
      <w:pPr>
        <w:pStyle w:val="Akapitzlist"/>
        <w:spacing w:before="120" w:after="0" w:line="276" w:lineRule="auto"/>
        <w:ind w:left="1416"/>
      </w:pPr>
      <w:r>
        <w:t>Niezależne wejście/wyjście audio 3,5 mm</w:t>
      </w:r>
    </w:p>
    <w:p w14:paraId="0A4A6E68" w14:textId="77777777" w:rsidR="00DC0E2B" w:rsidRDefault="00DC0E2B" w:rsidP="000D3A16">
      <w:pPr>
        <w:pStyle w:val="Akapitzlist"/>
        <w:spacing w:before="120" w:after="0" w:line="276" w:lineRule="auto"/>
        <w:ind w:left="1416"/>
      </w:pPr>
      <w:r>
        <w:t>Regulacja głośności wyjścia</w:t>
      </w:r>
    </w:p>
    <w:p w14:paraId="3EE28F48" w14:textId="77777777" w:rsidR="00DC0E2B" w:rsidRDefault="00DC0E2B" w:rsidP="00DC0E2B">
      <w:pPr>
        <w:pStyle w:val="Akapitzlist"/>
        <w:spacing w:before="120" w:after="0" w:line="276" w:lineRule="auto"/>
      </w:pPr>
      <w:r>
        <w:t>Wydajność:</w:t>
      </w:r>
    </w:p>
    <w:p w14:paraId="48373468" w14:textId="77777777" w:rsidR="00DC0E2B" w:rsidRDefault="00DC0E2B" w:rsidP="000D3A16">
      <w:pPr>
        <w:pStyle w:val="Akapitzlist"/>
        <w:numPr>
          <w:ilvl w:val="0"/>
          <w:numId w:val="40"/>
        </w:numPr>
        <w:spacing w:before="120" w:after="0" w:line="276" w:lineRule="auto"/>
      </w:pPr>
      <w:r>
        <w:t xml:space="preserve">Maksymalna rozdzielczość wejściowa: 4096×2160@60 </w:t>
      </w:r>
      <w:proofErr w:type="spellStart"/>
      <w:r>
        <w:t>Hz</w:t>
      </w:r>
      <w:proofErr w:type="spellEnd"/>
      <w:r>
        <w:t xml:space="preserve"> (HDMI 2.0)</w:t>
      </w:r>
    </w:p>
    <w:p w14:paraId="6BF1407A" w14:textId="77777777" w:rsidR="00DC0E2B" w:rsidRDefault="00DC0E2B" w:rsidP="000D3A16">
      <w:pPr>
        <w:pStyle w:val="Akapitzlist"/>
        <w:numPr>
          <w:ilvl w:val="0"/>
          <w:numId w:val="40"/>
        </w:numPr>
        <w:spacing w:before="120" w:after="0" w:line="276" w:lineRule="auto"/>
      </w:pPr>
      <w:r>
        <w:t xml:space="preserve">Obsługa sygnałów wideo 8/10/12-bit oraz formatów kolorów RGB 4:4:4, </w:t>
      </w:r>
      <w:proofErr w:type="spellStart"/>
      <w:r>
        <w:t>YCbCr</w:t>
      </w:r>
      <w:proofErr w:type="spellEnd"/>
      <w:r>
        <w:t xml:space="preserve"> 4:4:4 i 4:2:2</w:t>
      </w:r>
    </w:p>
    <w:p w14:paraId="34C5866D" w14:textId="77777777" w:rsidR="00DC0E2B" w:rsidRDefault="00DC0E2B" w:rsidP="000D3A16">
      <w:pPr>
        <w:pStyle w:val="Akapitzlist"/>
        <w:numPr>
          <w:ilvl w:val="0"/>
          <w:numId w:val="40"/>
        </w:numPr>
        <w:spacing w:before="120" w:after="0" w:line="276" w:lineRule="auto"/>
      </w:pPr>
      <w:r>
        <w:t xml:space="preserve">Zerowa latencja przy włączonym trybie niskiego opóźnienia i </w:t>
      </w:r>
      <w:proofErr w:type="spellStart"/>
      <w:r>
        <w:t>ByPass</w:t>
      </w:r>
      <w:proofErr w:type="spellEnd"/>
    </w:p>
    <w:p w14:paraId="0800747E" w14:textId="77777777" w:rsidR="00DC0E2B" w:rsidRDefault="00DC0E2B" w:rsidP="000D3A16">
      <w:pPr>
        <w:pStyle w:val="Akapitzlist"/>
        <w:numPr>
          <w:ilvl w:val="0"/>
          <w:numId w:val="40"/>
        </w:numPr>
        <w:spacing w:before="120" w:after="0" w:line="276" w:lineRule="auto"/>
      </w:pPr>
      <w:r>
        <w:t xml:space="preserve">Synchronizacja wyjścia z użyciem wewnętrznego lub zewnętrznego źródła </w:t>
      </w:r>
      <w:proofErr w:type="spellStart"/>
      <w:r>
        <w:t>Genlock</w:t>
      </w:r>
      <w:proofErr w:type="spellEnd"/>
    </w:p>
    <w:p w14:paraId="4D93161B" w14:textId="77777777" w:rsidR="00DC0E2B" w:rsidRDefault="00DC0E2B" w:rsidP="000D3A16">
      <w:pPr>
        <w:pStyle w:val="Akapitzlist"/>
        <w:numPr>
          <w:ilvl w:val="0"/>
          <w:numId w:val="40"/>
        </w:numPr>
        <w:spacing w:before="120" w:after="0" w:line="276" w:lineRule="auto"/>
      </w:pPr>
      <w:r>
        <w:t>Kalibracja jasności i chrominancji na poziomie piksela dla lepszej spójności obrazu</w:t>
      </w:r>
    </w:p>
    <w:p w14:paraId="5C7143EE" w14:textId="77777777" w:rsidR="00DC0E2B" w:rsidRDefault="00DC0E2B" w:rsidP="000D3A16">
      <w:pPr>
        <w:pStyle w:val="Akapitzlist"/>
        <w:numPr>
          <w:ilvl w:val="0"/>
          <w:numId w:val="40"/>
        </w:numPr>
        <w:spacing w:before="120" w:after="0" w:line="276" w:lineRule="auto"/>
      </w:pPr>
      <w:r>
        <w:t>Elastyczna konfiguracja ekranu:</w:t>
      </w:r>
    </w:p>
    <w:p w14:paraId="644C95C0" w14:textId="77777777" w:rsidR="00DC0E2B" w:rsidRDefault="00DC0E2B" w:rsidP="000D3A16">
      <w:pPr>
        <w:pStyle w:val="Akapitzlist"/>
        <w:numPr>
          <w:ilvl w:val="0"/>
          <w:numId w:val="40"/>
        </w:numPr>
        <w:spacing w:before="120" w:after="0" w:line="276" w:lineRule="auto"/>
      </w:pPr>
      <w:r>
        <w:t>Obsługa do 6 warstw z regulacją rozmiaru, położenia, priorytetu i proporcji</w:t>
      </w:r>
    </w:p>
    <w:p w14:paraId="1C4BDD6D" w14:textId="63F17038" w:rsidR="00DC0E2B" w:rsidRDefault="00DC0E2B" w:rsidP="000D3A16">
      <w:pPr>
        <w:pStyle w:val="Akapitzlist"/>
        <w:numPr>
          <w:ilvl w:val="0"/>
          <w:numId w:val="40"/>
        </w:numPr>
        <w:spacing w:before="120" w:after="0" w:line="276" w:lineRule="auto"/>
      </w:pPr>
      <w:r>
        <w:t xml:space="preserve">Łatwe zapisywanie i wczytywanie </w:t>
      </w:r>
      <w:proofErr w:type="spellStart"/>
      <w:r>
        <w:t>presetów</w:t>
      </w:r>
      <w:proofErr w:type="spellEnd"/>
      <w:r>
        <w:t xml:space="preserve"> (do 256)</w:t>
      </w:r>
    </w:p>
    <w:p w14:paraId="0E6F76BA" w14:textId="406AF3A7" w:rsidR="00DC0E2B" w:rsidRDefault="00DC0E2B" w:rsidP="000D3A16">
      <w:pPr>
        <w:pStyle w:val="Akapitzlist"/>
        <w:numPr>
          <w:ilvl w:val="0"/>
          <w:numId w:val="40"/>
        </w:numPr>
        <w:spacing w:before="120" w:after="0" w:line="276" w:lineRule="auto"/>
      </w:pPr>
      <w:r>
        <w:t>Personalizowane skalowanie obrazu: pełny ekran, piksel do piksela, własne</w:t>
      </w:r>
    </w:p>
    <w:p w14:paraId="101DEB56" w14:textId="464CA158" w:rsidR="001A64CE" w:rsidRPr="00752200" w:rsidRDefault="001A64CE" w:rsidP="00AA2B12">
      <w:pPr>
        <w:pStyle w:val="Akapitzlist"/>
        <w:numPr>
          <w:ilvl w:val="0"/>
          <w:numId w:val="4"/>
        </w:numPr>
        <w:spacing w:before="120" w:after="0" w:line="276" w:lineRule="auto"/>
      </w:pPr>
      <w:r w:rsidRPr="00752200">
        <w:t>Moduły prądowe, ograniczające prąd udarowy, od tego samego producenta co ekran LED, w</w:t>
      </w:r>
      <w:r w:rsidR="00AA2B12" w:rsidRPr="00752200">
        <w:t> </w:t>
      </w:r>
      <w:r w:rsidRPr="00752200">
        <w:t>ilości adekwatnej do obsługi wszystkich modułów LED jednocześnie.</w:t>
      </w:r>
    </w:p>
    <w:p w14:paraId="3CFAB960" w14:textId="7053A3E1" w:rsidR="00013CA6" w:rsidRDefault="00013CA6" w:rsidP="00AA2B12">
      <w:pPr>
        <w:pStyle w:val="Akapitzlist"/>
        <w:numPr>
          <w:ilvl w:val="0"/>
          <w:numId w:val="4"/>
        </w:numPr>
        <w:spacing w:before="120" w:after="0" w:line="276" w:lineRule="auto"/>
      </w:pPr>
      <w:r w:rsidRPr="00013CA6">
        <w:t>Dwa pasywne głośniki dwudrożne z przetwornikiem 12". Moc ciągł</w:t>
      </w:r>
      <w:r w:rsidR="007248C8">
        <w:t>a</w:t>
      </w:r>
      <w:r w:rsidRPr="00013CA6">
        <w:t xml:space="preserve"> ≥400 W AES, impedancj</w:t>
      </w:r>
      <w:r w:rsidR="007248C8">
        <w:t>a</w:t>
      </w:r>
      <w:r w:rsidRPr="00013CA6">
        <w:t xml:space="preserve"> </w:t>
      </w:r>
      <w:r w:rsidR="00093167">
        <w:t>=</w:t>
      </w:r>
      <w:r w:rsidRPr="00013CA6">
        <w:t xml:space="preserve"> 8 Ω, skuteczność ≥</w:t>
      </w:r>
      <w:r w:rsidR="00093167">
        <w:t xml:space="preserve"> </w:t>
      </w:r>
      <w:r w:rsidRPr="00013CA6">
        <w:t xml:space="preserve">99 </w:t>
      </w:r>
      <w:proofErr w:type="spellStart"/>
      <w:r w:rsidRPr="00013CA6">
        <w:t>dB</w:t>
      </w:r>
      <w:proofErr w:type="spellEnd"/>
      <w:r w:rsidR="00C2540E" w:rsidRPr="00C2540E">
        <w:t xml:space="preserve"> (1W/1m)</w:t>
      </w:r>
      <w:r w:rsidRPr="00013CA6">
        <w:t xml:space="preserve"> oraz pasmo przenoszenia 58 </w:t>
      </w:r>
      <w:proofErr w:type="spellStart"/>
      <w:r w:rsidRPr="00013CA6">
        <w:t>Hz</w:t>
      </w:r>
      <w:proofErr w:type="spellEnd"/>
      <w:r w:rsidRPr="00013CA6">
        <w:t>–20 kHz</w:t>
      </w:r>
      <w:r w:rsidR="00C2540E">
        <w:t xml:space="preserve"> </w:t>
      </w:r>
      <w:r w:rsidR="00C2540E" w:rsidRPr="00C2540E">
        <w:t xml:space="preserve">(± 3 </w:t>
      </w:r>
      <w:proofErr w:type="spellStart"/>
      <w:r w:rsidR="00C2540E" w:rsidRPr="00C2540E">
        <w:t>dB</w:t>
      </w:r>
      <w:proofErr w:type="spellEnd"/>
      <w:r w:rsidR="00C2540E" w:rsidRPr="00C2540E">
        <w:t>)</w:t>
      </w:r>
      <w:r w:rsidRPr="00013CA6">
        <w:t>. Maksymalny poziom SPL ≥</w:t>
      </w:r>
      <w:r w:rsidR="00093167">
        <w:t xml:space="preserve"> </w:t>
      </w:r>
      <w:r w:rsidRPr="00013CA6">
        <w:t xml:space="preserve">128 </w:t>
      </w:r>
      <w:proofErr w:type="spellStart"/>
      <w:r w:rsidRPr="00013CA6">
        <w:t>dB</w:t>
      </w:r>
      <w:proofErr w:type="spellEnd"/>
      <w:r w:rsidRPr="00013CA6">
        <w:t>.</w:t>
      </w:r>
      <w:r w:rsidR="00B61B4A">
        <w:t xml:space="preserve"> </w:t>
      </w:r>
      <w:r w:rsidRPr="00013CA6">
        <w:t xml:space="preserve">W zestawie Uchwyt ścienny z regulacją obrotu głośnika w osi uchwytu w zakresie od -90° do 35°. Demontaż istniejących głośników, </w:t>
      </w:r>
      <w:r w:rsidR="007248C8">
        <w:t>m</w:t>
      </w:r>
      <w:r w:rsidRPr="00013CA6">
        <w:t xml:space="preserve">ontaż głośników na ścianie obok ekranu LED oraz </w:t>
      </w:r>
      <w:r w:rsidR="007248C8">
        <w:t>p</w:t>
      </w:r>
      <w:r w:rsidRPr="00013CA6">
        <w:t>odłączenie głośników do istniejących kabli audio.</w:t>
      </w:r>
    </w:p>
    <w:p w14:paraId="5EC53185" w14:textId="4113E5B0" w:rsidR="001A64CE" w:rsidRDefault="001A64CE" w:rsidP="00AA2B12">
      <w:pPr>
        <w:pStyle w:val="Akapitzlist"/>
        <w:numPr>
          <w:ilvl w:val="0"/>
          <w:numId w:val="4"/>
        </w:numPr>
        <w:spacing w:before="120" w:after="0" w:line="276" w:lineRule="auto"/>
      </w:pPr>
      <w:r>
        <w:t xml:space="preserve">2% części zamiennych w zestawie, </w:t>
      </w:r>
    </w:p>
    <w:p w14:paraId="59206E1A" w14:textId="7346F92F" w:rsidR="00B05C1F" w:rsidRDefault="00B05C1F" w:rsidP="00AA2B12">
      <w:pPr>
        <w:pStyle w:val="Akapitzlist"/>
        <w:numPr>
          <w:ilvl w:val="0"/>
          <w:numId w:val="4"/>
        </w:numPr>
        <w:spacing w:before="120" w:after="0" w:line="276" w:lineRule="auto"/>
      </w:pPr>
      <w:r w:rsidRPr="00B05C1F">
        <w:lastRenderedPageBreak/>
        <w:t>Urządzenie przenośne przeznaczone do chwytania, przenoszenia, serwisowania oraz demontażu modułów LED i innych płaskich elementów konstrukcyjnych za pomocą podciśnienia</w:t>
      </w:r>
      <w:r>
        <w:t xml:space="preserve">. </w:t>
      </w:r>
      <w:r w:rsidRPr="00B05C1F">
        <w:t>Urządzenie powinno być zasilane akumulatorowo, wyposażone w elektryczną pompę próżniową oraz czujnik ciśnienia automatycznie utrzymujący wymagany poziom podciśnienia. Powinno umożliwiać szybkie zwolnienie chwytu za pomocą przycisku oraz posiadać sygnalizację ostrzegawczą w przypadku spadku ciśnienia.</w:t>
      </w:r>
    </w:p>
    <w:p w14:paraId="48E80431" w14:textId="76D409F1" w:rsidR="00752200" w:rsidRDefault="00752200" w:rsidP="00F510E6">
      <w:pPr>
        <w:spacing w:before="120" w:after="0" w:line="276" w:lineRule="auto"/>
        <w:ind w:left="709" w:hanging="709"/>
        <w:rPr>
          <w:b/>
          <w:bCs/>
        </w:rPr>
      </w:pPr>
    </w:p>
    <w:p w14:paraId="20B6A244" w14:textId="19A77DA7" w:rsidR="00F510E6" w:rsidRPr="00F510E6" w:rsidRDefault="00F510E6" w:rsidP="00F510E6">
      <w:pPr>
        <w:spacing w:before="120" w:after="0" w:line="276" w:lineRule="auto"/>
        <w:ind w:left="709" w:hanging="709"/>
        <w:rPr>
          <w:b/>
          <w:bCs/>
        </w:rPr>
      </w:pPr>
      <w:r w:rsidRPr="00F510E6">
        <w:rPr>
          <w:b/>
          <w:bCs/>
        </w:rPr>
        <w:t>Część I</w:t>
      </w:r>
      <w:r>
        <w:rPr>
          <w:b/>
          <w:bCs/>
        </w:rPr>
        <w:t>I</w:t>
      </w:r>
      <w:r w:rsidRPr="00F510E6">
        <w:rPr>
          <w:b/>
          <w:bCs/>
        </w:rPr>
        <w:t>: modernizacja systemu audiowizualnego, elektrycznego i teletechnicznego w sali wykładowej E</w:t>
      </w:r>
      <w:r w:rsidR="009C55F4">
        <w:rPr>
          <w:b/>
          <w:bCs/>
        </w:rPr>
        <w:t>1</w:t>
      </w:r>
    </w:p>
    <w:p w14:paraId="752EC32C" w14:textId="11140D1E" w:rsidR="00A31A1C" w:rsidRDefault="00A31A1C" w:rsidP="000A14C1">
      <w:pPr>
        <w:pStyle w:val="Akapitzlist"/>
        <w:numPr>
          <w:ilvl w:val="0"/>
          <w:numId w:val="6"/>
        </w:numPr>
        <w:spacing w:before="120" w:after="0" w:line="276" w:lineRule="auto"/>
        <w:ind w:left="283" w:hanging="357"/>
      </w:pPr>
      <w:r>
        <w:t>Opis ogólny</w:t>
      </w:r>
    </w:p>
    <w:p w14:paraId="1E02624D" w14:textId="5DCE1480" w:rsidR="00A31A1C" w:rsidRDefault="00A31A1C" w:rsidP="00A31A1C">
      <w:pPr>
        <w:spacing w:before="120" w:after="0" w:line="276" w:lineRule="auto"/>
      </w:pPr>
      <w:r>
        <w:t>Przedmiotem zamówienia jest modernizacja istniejącej sali wykładowej E</w:t>
      </w:r>
      <w:r w:rsidR="005D4EE6">
        <w:t>1</w:t>
      </w:r>
      <w:r>
        <w:t>, obejmująca:</w:t>
      </w:r>
    </w:p>
    <w:p w14:paraId="5C81EC6D" w14:textId="5D80AD31" w:rsidR="00A31A1C" w:rsidRDefault="00A31A1C" w:rsidP="00A31A1C">
      <w:pPr>
        <w:pStyle w:val="Akapitzlist"/>
        <w:numPr>
          <w:ilvl w:val="0"/>
          <w:numId w:val="7"/>
        </w:numPr>
        <w:spacing w:before="120" w:after="0" w:line="276" w:lineRule="auto"/>
      </w:pPr>
      <w:r>
        <w:t>opracowanie projektu wykonawczego i rysunku montażowego,</w:t>
      </w:r>
    </w:p>
    <w:p w14:paraId="7F58043C" w14:textId="2C812790" w:rsidR="00A31A1C" w:rsidRDefault="00A31A1C" w:rsidP="00A31A1C">
      <w:pPr>
        <w:pStyle w:val="Akapitzlist"/>
        <w:numPr>
          <w:ilvl w:val="0"/>
          <w:numId w:val="7"/>
        </w:numPr>
        <w:spacing w:before="120" w:after="0" w:line="276" w:lineRule="auto"/>
      </w:pPr>
      <w:r>
        <w:t>przygotowanie i uzgodnienie harmonogramu realizacji,</w:t>
      </w:r>
    </w:p>
    <w:p w14:paraId="6EA76E8D" w14:textId="71D79554" w:rsidR="00A31A1C" w:rsidRDefault="00A31A1C" w:rsidP="00A31A1C">
      <w:pPr>
        <w:pStyle w:val="Akapitzlist"/>
        <w:numPr>
          <w:ilvl w:val="0"/>
          <w:numId w:val="7"/>
        </w:numPr>
        <w:spacing w:before="120" w:after="0" w:line="276" w:lineRule="auto"/>
      </w:pPr>
      <w:r>
        <w:t>demontaż istniejącego projektora i ekranu wraz z ich zabezpieczeniem i transportem,</w:t>
      </w:r>
    </w:p>
    <w:p w14:paraId="284901B3" w14:textId="7688A56F" w:rsidR="00A31A1C" w:rsidRDefault="00A31A1C" w:rsidP="00A31A1C">
      <w:pPr>
        <w:pStyle w:val="Akapitzlist"/>
        <w:numPr>
          <w:ilvl w:val="0"/>
          <w:numId w:val="7"/>
        </w:numPr>
        <w:spacing w:before="120" w:after="0" w:line="276" w:lineRule="auto"/>
      </w:pPr>
      <w:r>
        <w:t>wykonanie nowych obwodów elektrycznych oraz sieci teletechnicznej,</w:t>
      </w:r>
    </w:p>
    <w:p w14:paraId="13D2E7DA" w14:textId="712A987F" w:rsidR="00A31A1C" w:rsidRDefault="00A31A1C" w:rsidP="00A31A1C">
      <w:pPr>
        <w:pStyle w:val="Akapitzlist"/>
        <w:numPr>
          <w:ilvl w:val="0"/>
          <w:numId w:val="7"/>
        </w:numPr>
        <w:spacing w:before="120" w:after="0" w:line="276" w:lineRule="auto"/>
      </w:pPr>
      <w:r>
        <w:t>montaż nowego ekranu ściennego typu LED wraz z konstrukcją nośną, kontrolerem i monitor</w:t>
      </w:r>
      <w:r w:rsidR="00716963">
        <w:t>em</w:t>
      </w:r>
      <w:r>
        <w:t xml:space="preserve"> podglądowym,</w:t>
      </w:r>
    </w:p>
    <w:p w14:paraId="1D155609" w14:textId="71453552" w:rsidR="00A31A1C" w:rsidRDefault="00A31A1C" w:rsidP="00A31A1C">
      <w:pPr>
        <w:pStyle w:val="Akapitzlist"/>
        <w:numPr>
          <w:ilvl w:val="0"/>
          <w:numId w:val="7"/>
        </w:numPr>
        <w:spacing w:before="120" w:after="0" w:line="276" w:lineRule="auto"/>
      </w:pPr>
      <w:r>
        <w:t xml:space="preserve">modernizację posiadanego przez Zamawiającego systemu sterowania oświetleniem i urządzeniami audiowizualnymi </w:t>
      </w:r>
    </w:p>
    <w:p w14:paraId="49A5A0E1" w14:textId="5B96A9AF" w:rsidR="00A31A1C" w:rsidRDefault="00A31A1C" w:rsidP="00A31A1C">
      <w:pPr>
        <w:pStyle w:val="Akapitzlist"/>
        <w:numPr>
          <w:ilvl w:val="0"/>
          <w:numId w:val="7"/>
        </w:numPr>
        <w:spacing w:before="120" w:after="0" w:line="276" w:lineRule="auto"/>
      </w:pPr>
      <w:r>
        <w:t>uruchomienie, kalibrację, szkolenie użytkownika oraz opracowanie dokumentacji powykonawczej.</w:t>
      </w:r>
    </w:p>
    <w:p w14:paraId="60847801" w14:textId="5F0675ED" w:rsidR="00A31A1C" w:rsidRDefault="00A31A1C" w:rsidP="000A14C1">
      <w:pPr>
        <w:pStyle w:val="Akapitzlist"/>
        <w:numPr>
          <w:ilvl w:val="0"/>
          <w:numId w:val="6"/>
        </w:numPr>
        <w:spacing w:before="120" w:after="0" w:line="276" w:lineRule="auto"/>
        <w:ind w:left="283" w:hanging="357"/>
      </w:pPr>
      <w:r>
        <w:t>Dokumentacja projektowa i harmonogram</w:t>
      </w:r>
    </w:p>
    <w:p w14:paraId="54FC98CD" w14:textId="5CF7F45D" w:rsidR="00A31A1C" w:rsidRDefault="00A31A1C" w:rsidP="00A31A1C">
      <w:pPr>
        <w:pStyle w:val="Akapitzlist"/>
        <w:numPr>
          <w:ilvl w:val="0"/>
          <w:numId w:val="9"/>
        </w:numPr>
        <w:spacing w:before="120" w:after="0" w:line="276" w:lineRule="auto"/>
      </w:pPr>
      <w:r>
        <w:t>wykonawca zobowiązany jest opracować projekt wykonawczy obejmujący:</w:t>
      </w:r>
    </w:p>
    <w:p w14:paraId="797ED386" w14:textId="2F668C1F" w:rsidR="00A31A1C" w:rsidRDefault="00A31A1C" w:rsidP="00C02B47">
      <w:pPr>
        <w:pStyle w:val="Akapitzlist"/>
        <w:numPr>
          <w:ilvl w:val="1"/>
          <w:numId w:val="10"/>
        </w:numPr>
        <w:spacing w:before="120" w:after="0" w:line="276" w:lineRule="auto"/>
      </w:pPr>
      <w:r>
        <w:t>rysunek montażowy sali z rozmieszczeniem wszystkich urządzeń i punktów instalacyjnych,</w:t>
      </w:r>
    </w:p>
    <w:p w14:paraId="1185C0D5" w14:textId="0C1A502A" w:rsidR="00A31A1C" w:rsidRDefault="00A31A1C" w:rsidP="00C02B47">
      <w:pPr>
        <w:pStyle w:val="Akapitzlist"/>
        <w:numPr>
          <w:ilvl w:val="1"/>
          <w:numId w:val="10"/>
        </w:numPr>
        <w:spacing w:before="120" w:after="0" w:line="276" w:lineRule="auto"/>
      </w:pPr>
      <w:r>
        <w:t>schematy połączeń elektrycznych, teletechnicznych i sterujących,</w:t>
      </w:r>
    </w:p>
    <w:p w14:paraId="53435650" w14:textId="688218FF" w:rsidR="00A31A1C" w:rsidRDefault="00A31A1C" w:rsidP="00C02B47">
      <w:pPr>
        <w:pStyle w:val="Akapitzlist"/>
        <w:numPr>
          <w:ilvl w:val="1"/>
          <w:numId w:val="10"/>
        </w:numPr>
        <w:spacing w:before="120" w:after="0" w:line="276" w:lineRule="auto"/>
      </w:pPr>
      <w:r>
        <w:t>opis funkcjonalny systemu sterowania i interfejsu użytkownika,</w:t>
      </w:r>
    </w:p>
    <w:p w14:paraId="595317F9" w14:textId="6205E240" w:rsidR="00A31A1C" w:rsidRDefault="00A31A1C" w:rsidP="00C02B47">
      <w:pPr>
        <w:pStyle w:val="Akapitzlist"/>
        <w:numPr>
          <w:ilvl w:val="1"/>
          <w:numId w:val="10"/>
        </w:numPr>
        <w:spacing w:before="120" w:after="0" w:line="276" w:lineRule="auto"/>
      </w:pPr>
      <w:r>
        <w:t>zestawienie urządzeń, materiałów i tras kablowych;</w:t>
      </w:r>
    </w:p>
    <w:p w14:paraId="63CB8E49" w14:textId="16C59582" w:rsidR="00A31A1C" w:rsidRDefault="00A31A1C" w:rsidP="00A31A1C">
      <w:pPr>
        <w:pStyle w:val="Akapitzlist"/>
        <w:numPr>
          <w:ilvl w:val="0"/>
          <w:numId w:val="9"/>
        </w:numPr>
        <w:spacing w:before="120" w:after="0" w:line="276" w:lineRule="auto"/>
      </w:pPr>
      <w:r>
        <w:t>projekt należy przedłożyć Zamawiającemu do akceptacji przed rozpoczęciem montażu;</w:t>
      </w:r>
    </w:p>
    <w:p w14:paraId="131E76C4" w14:textId="3505510D" w:rsidR="00A31A1C" w:rsidRDefault="00A31A1C" w:rsidP="00A31A1C">
      <w:pPr>
        <w:pStyle w:val="Akapitzlist"/>
        <w:numPr>
          <w:ilvl w:val="0"/>
          <w:numId w:val="9"/>
        </w:numPr>
        <w:spacing w:before="120" w:after="0" w:line="276" w:lineRule="auto"/>
      </w:pPr>
      <w:r>
        <w:t>wykonawca opracuje harmonogram realizacji z wyszczególnieniem etapów, terminów z uwzględnieniem harmonogramu użycia sali</w:t>
      </w:r>
    </w:p>
    <w:p w14:paraId="12BEF46E" w14:textId="28033BBD" w:rsidR="00A31A1C" w:rsidRDefault="00A31A1C" w:rsidP="00A31A1C">
      <w:pPr>
        <w:pStyle w:val="Akapitzlist"/>
        <w:numPr>
          <w:ilvl w:val="0"/>
          <w:numId w:val="9"/>
        </w:numPr>
        <w:spacing w:before="120" w:after="0" w:line="276" w:lineRule="auto"/>
      </w:pPr>
      <w:r>
        <w:t>rozpoczęcie robót możliwe jest wyłącznie po zatwierdzeniu dokumentacji i harmonogramu przez Zamawiającego.</w:t>
      </w:r>
    </w:p>
    <w:p w14:paraId="0702AA07" w14:textId="14948C63" w:rsidR="00A31A1C" w:rsidRDefault="00A31A1C" w:rsidP="000A14C1">
      <w:pPr>
        <w:pStyle w:val="Akapitzlist"/>
        <w:numPr>
          <w:ilvl w:val="0"/>
          <w:numId w:val="6"/>
        </w:numPr>
        <w:spacing w:before="120" w:after="0" w:line="276" w:lineRule="auto"/>
        <w:ind w:left="284" w:hanging="357"/>
      </w:pPr>
      <w:r>
        <w:t>Demontaż istniejącego wyposażenia</w:t>
      </w:r>
    </w:p>
    <w:p w14:paraId="0C418924" w14:textId="4158EEDE" w:rsidR="00A31A1C" w:rsidRDefault="00A31A1C" w:rsidP="00624CB8">
      <w:pPr>
        <w:pStyle w:val="Akapitzlist"/>
        <w:numPr>
          <w:ilvl w:val="0"/>
          <w:numId w:val="12"/>
        </w:numPr>
        <w:spacing w:before="120" w:after="0" w:line="276" w:lineRule="auto"/>
      </w:pPr>
      <w:r>
        <w:t>zdemontować projektor, ekran projekcyjny i elementy montażowe,</w:t>
      </w:r>
    </w:p>
    <w:p w14:paraId="4936DF34" w14:textId="0BD083DB" w:rsidR="00A31A1C" w:rsidRDefault="00A31A1C" w:rsidP="00624CB8">
      <w:pPr>
        <w:pStyle w:val="Akapitzlist"/>
        <w:numPr>
          <w:ilvl w:val="0"/>
          <w:numId w:val="12"/>
        </w:numPr>
        <w:spacing w:before="120" w:after="0" w:line="276" w:lineRule="auto"/>
      </w:pPr>
      <w:r>
        <w:t>odłączyć urządzenia od istniejącej instalacji zgodnie z dokumentacją inwentaryzacyjną,</w:t>
      </w:r>
    </w:p>
    <w:p w14:paraId="591D9F69" w14:textId="595F2DCB" w:rsidR="00A31A1C" w:rsidRDefault="00A31A1C" w:rsidP="00624CB8">
      <w:pPr>
        <w:pStyle w:val="Akapitzlist"/>
        <w:numPr>
          <w:ilvl w:val="0"/>
          <w:numId w:val="12"/>
        </w:numPr>
        <w:spacing w:before="120" w:after="0" w:line="276" w:lineRule="auto"/>
      </w:pPr>
      <w:r>
        <w:t>zabezpieczyć sprzęt (folia, pianka, opakowania transportowe) i przetransportować we wskazane przez Zamawiającego miejsce,</w:t>
      </w:r>
    </w:p>
    <w:p w14:paraId="607970F5" w14:textId="5B332F79" w:rsidR="00A31A1C" w:rsidRDefault="00A31A1C" w:rsidP="00624CB8">
      <w:pPr>
        <w:pStyle w:val="Akapitzlist"/>
        <w:numPr>
          <w:ilvl w:val="0"/>
          <w:numId w:val="12"/>
        </w:numPr>
        <w:spacing w:before="120" w:after="0" w:line="276" w:lineRule="auto"/>
      </w:pPr>
      <w:r>
        <w:t>uporządkować i przygotować miejsce pod montaż nowego ekranu ściennego</w:t>
      </w:r>
      <w:r w:rsidR="00624CB8">
        <w:t xml:space="preserve"> LED</w:t>
      </w:r>
      <w:r>
        <w:t>.</w:t>
      </w:r>
    </w:p>
    <w:p w14:paraId="53D5D3BF" w14:textId="55C8A66D" w:rsidR="00A31A1C" w:rsidRDefault="00A31A1C" w:rsidP="000A14C1">
      <w:pPr>
        <w:pStyle w:val="Akapitzlist"/>
        <w:numPr>
          <w:ilvl w:val="0"/>
          <w:numId w:val="6"/>
        </w:numPr>
        <w:spacing w:before="120" w:after="0" w:line="276" w:lineRule="auto"/>
        <w:ind w:left="284" w:hanging="357"/>
      </w:pPr>
      <w:r>
        <w:t>Instalacja elektryczna</w:t>
      </w:r>
    </w:p>
    <w:p w14:paraId="4D291968" w14:textId="1FDF3A6B" w:rsidR="00A31A1C" w:rsidRDefault="00A31A1C" w:rsidP="00624CB8">
      <w:pPr>
        <w:pStyle w:val="Akapitzlist"/>
        <w:numPr>
          <w:ilvl w:val="0"/>
          <w:numId w:val="14"/>
        </w:numPr>
        <w:spacing w:before="120" w:after="0" w:line="276" w:lineRule="auto"/>
      </w:pPr>
      <w:r>
        <w:t>wykonać nowe obwody zasilające 230 V AC dla urządzeń systemu audiowizualnego,</w:t>
      </w:r>
    </w:p>
    <w:p w14:paraId="3CC08E83" w14:textId="51D0DB89" w:rsidR="00A31A1C" w:rsidRDefault="00A31A1C" w:rsidP="00624CB8">
      <w:pPr>
        <w:pStyle w:val="Akapitzlist"/>
        <w:numPr>
          <w:ilvl w:val="0"/>
          <w:numId w:val="14"/>
        </w:numPr>
        <w:spacing w:before="120" w:after="0" w:line="276" w:lineRule="auto"/>
      </w:pPr>
      <w:r>
        <w:lastRenderedPageBreak/>
        <w:t xml:space="preserve">zastosować przewody o przekroju dostosowanym do mocy odbiorników prowadzone w </w:t>
      </w:r>
      <w:proofErr w:type="spellStart"/>
      <w:r>
        <w:t>peszlach</w:t>
      </w:r>
      <w:proofErr w:type="spellEnd"/>
      <w:r>
        <w:t xml:space="preserve"> lub kanałach instalacyjnych</w:t>
      </w:r>
    </w:p>
    <w:p w14:paraId="4228085D" w14:textId="5482E73E" w:rsidR="00A31A1C" w:rsidRDefault="00A31A1C" w:rsidP="00624CB8">
      <w:pPr>
        <w:pStyle w:val="Akapitzlist"/>
        <w:numPr>
          <w:ilvl w:val="0"/>
          <w:numId w:val="14"/>
        </w:numPr>
        <w:spacing w:before="120" w:after="0" w:line="276" w:lineRule="auto"/>
      </w:pPr>
      <w:r>
        <w:t>wszystkie gniazda przyłączeniowe wykonać jako podtynkowe, z estetycznym wykończeniem i trwałym opisem funkcji,</w:t>
      </w:r>
    </w:p>
    <w:p w14:paraId="14D5AA49" w14:textId="3CEE1283" w:rsidR="00A31A1C" w:rsidRDefault="00A31A1C" w:rsidP="00624CB8">
      <w:pPr>
        <w:pStyle w:val="Akapitzlist"/>
        <w:numPr>
          <w:ilvl w:val="0"/>
          <w:numId w:val="14"/>
        </w:numPr>
        <w:spacing w:before="120" w:after="0" w:line="276" w:lineRule="auto"/>
      </w:pPr>
      <w:r>
        <w:t>obwody zabezpieczyć wyłącznikami nadprądowymi i różnicowoprądowymi odpowiednio dobranymi do obciążenia,</w:t>
      </w:r>
    </w:p>
    <w:p w14:paraId="63F26578" w14:textId="1448EF07" w:rsidR="00A31A1C" w:rsidRDefault="00A31A1C" w:rsidP="00624CB8">
      <w:pPr>
        <w:pStyle w:val="Akapitzlist"/>
        <w:numPr>
          <w:ilvl w:val="0"/>
          <w:numId w:val="14"/>
        </w:numPr>
        <w:spacing w:before="120" w:after="0" w:line="276" w:lineRule="auto"/>
      </w:pPr>
      <w:r>
        <w:t>wszystkie aparaty elektryczne i gniazda oznaczyć trwałymi etykietami zgodnie z dokumentacją,</w:t>
      </w:r>
    </w:p>
    <w:p w14:paraId="652B9A36" w14:textId="4D06A54D" w:rsidR="00A31A1C" w:rsidRDefault="00A31A1C" w:rsidP="00624CB8">
      <w:pPr>
        <w:pStyle w:val="Akapitzlist"/>
        <w:numPr>
          <w:ilvl w:val="0"/>
          <w:numId w:val="14"/>
        </w:numPr>
        <w:spacing w:before="120" w:after="0" w:line="276" w:lineRule="auto"/>
      </w:pPr>
      <w:r>
        <w:t>wykonać obowiązkowe pomiary elektryczne, obejmujące:</w:t>
      </w:r>
    </w:p>
    <w:p w14:paraId="54C7FFDA" w14:textId="130058F0" w:rsidR="00A31A1C" w:rsidRDefault="00A31A1C" w:rsidP="00624CB8">
      <w:pPr>
        <w:pStyle w:val="Akapitzlist"/>
        <w:numPr>
          <w:ilvl w:val="1"/>
          <w:numId w:val="15"/>
        </w:numPr>
        <w:spacing w:before="120" w:after="0" w:line="276" w:lineRule="auto"/>
      </w:pPr>
      <w:r>
        <w:t>ciągłość przewodów ochronnych,</w:t>
      </w:r>
    </w:p>
    <w:p w14:paraId="17AF402A" w14:textId="0F609A20" w:rsidR="00A31A1C" w:rsidRDefault="00A31A1C" w:rsidP="00624CB8">
      <w:pPr>
        <w:pStyle w:val="Akapitzlist"/>
        <w:numPr>
          <w:ilvl w:val="1"/>
          <w:numId w:val="15"/>
        </w:numPr>
        <w:spacing w:before="120" w:after="0" w:line="276" w:lineRule="auto"/>
      </w:pPr>
      <w:r>
        <w:t>rezystancję izolacji,</w:t>
      </w:r>
    </w:p>
    <w:p w14:paraId="393D494D" w14:textId="0805742D" w:rsidR="00A31A1C" w:rsidRDefault="00A31A1C" w:rsidP="00624CB8">
      <w:pPr>
        <w:pStyle w:val="Akapitzlist"/>
        <w:numPr>
          <w:ilvl w:val="1"/>
          <w:numId w:val="15"/>
        </w:numPr>
        <w:spacing w:before="120" w:after="0" w:line="276" w:lineRule="auto"/>
      </w:pPr>
      <w:r>
        <w:t>impedancję pętli zwarcia,</w:t>
      </w:r>
    </w:p>
    <w:p w14:paraId="7F31D1BB" w14:textId="54469ED0" w:rsidR="00A31A1C" w:rsidRDefault="00A31A1C" w:rsidP="00624CB8">
      <w:pPr>
        <w:pStyle w:val="Akapitzlist"/>
        <w:numPr>
          <w:ilvl w:val="1"/>
          <w:numId w:val="15"/>
        </w:numPr>
        <w:spacing w:before="120" w:after="0" w:line="276" w:lineRule="auto"/>
      </w:pPr>
      <w:r>
        <w:t>skuteczność ochrony przeciwporażeniowej;</w:t>
      </w:r>
    </w:p>
    <w:p w14:paraId="3547ED11" w14:textId="344781CE" w:rsidR="00A31A1C" w:rsidRDefault="00A31A1C" w:rsidP="00624CB8">
      <w:pPr>
        <w:pStyle w:val="Akapitzlist"/>
        <w:numPr>
          <w:ilvl w:val="0"/>
          <w:numId w:val="14"/>
        </w:numPr>
        <w:spacing w:before="120" w:after="0" w:line="276" w:lineRule="auto"/>
      </w:pPr>
      <w:r>
        <w:t>wyniki pomiarów należy ująć w protokołach pomiarowych i załączyć do dokumentacji powykonawczej.</w:t>
      </w:r>
    </w:p>
    <w:p w14:paraId="71C8C6A3" w14:textId="11C8A2BA" w:rsidR="00A31A1C" w:rsidRDefault="00A31A1C" w:rsidP="000A14C1">
      <w:pPr>
        <w:pStyle w:val="Akapitzlist"/>
        <w:numPr>
          <w:ilvl w:val="1"/>
          <w:numId w:val="15"/>
        </w:numPr>
        <w:spacing w:before="120" w:after="0" w:line="276" w:lineRule="auto"/>
        <w:ind w:left="284" w:hanging="357"/>
      </w:pPr>
      <w:r>
        <w:t>Sieć teletechniczna</w:t>
      </w:r>
    </w:p>
    <w:p w14:paraId="3E795EDD" w14:textId="7CFE232B" w:rsidR="00A31A1C" w:rsidRDefault="00A31A1C" w:rsidP="00624CB8">
      <w:pPr>
        <w:pStyle w:val="Akapitzlist"/>
        <w:numPr>
          <w:ilvl w:val="0"/>
          <w:numId w:val="17"/>
        </w:numPr>
        <w:spacing w:before="120" w:after="0" w:line="276" w:lineRule="auto"/>
      </w:pPr>
      <w:r>
        <w:t>wykonać nowe okablowanie teletechniczne kategorii 6, ekranowane, zgodnie z obowiązującymi normami,</w:t>
      </w:r>
    </w:p>
    <w:p w14:paraId="513923AB" w14:textId="79E94A07" w:rsidR="00A31A1C" w:rsidRDefault="00A31A1C" w:rsidP="00624CB8">
      <w:pPr>
        <w:pStyle w:val="Akapitzlist"/>
        <w:numPr>
          <w:ilvl w:val="0"/>
          <w:numId w:val="17"/>
        </w:numPr>
        <w:spacing w:before="120" w:after="0" w:line="276" w:lineRule="auto"/>
      </w:pPr>
      <w:r>
        <w:t>zakończyć przewody:</w:t>
      </w:r>
    </w:p>
    <w:p w14:paraId="181A39BB" w14:textId="3C9821C8" w:rsidR="00A31A1C" w:rsidRDefault="00A31A1C" w:rsidP="00624CB8">
      <w:pPr>
        <w:pStyle w:val="Akapitzlist"/>
        <w:numPr>
          <w:ilvl w:val="1"/>
          <w:numId w:val="18"/>
        </w:numPr>
        <w:spacing w:before="120" w:after="0" w:line="276" w:lineRule="auto"/>
      </w:pPr>
      <w:r>
        <w:t>w sali wykładowej – na podtynkowych gniazdach RJ45 kategorii 6</w:t>
      </w:r>
    </w:p>
    <w:p w14:paraId="41256FE8" w14:textId="3354C48F" w:rsidR="00A31A1C" w:rsidRDefault="00A31A1C" w:rsidP="00624CB8">
      <w:pPr>
        <w:pStyle w:val="Akapitzlist"/>
        <w:numPr>
          <w:ilvl w:val="1"/>
          <w:numId w:val="18"/>
        </w:numPr>
        <w:spacing w:before="120" w:after="0" w:line="276" w:lineRule="auto"/>
      </w:pPr>
      <w:r>
        <w:t>okablowanie kat.</w:t>
      </w:r>
      <w:r w:rsidR="00483250">
        <w:t>6</w:t>
      </w:r>
      <w:r>
        <w:t xml:space="preserve"> ekranowane,</w:t>
      </w:r>
    </w:p>
    <w:p w14:paraId="5443013B" w14:textId="678E175F" w:rsidR="00A31A1C" w:rsidRDefault="00A31A1C" w:rsidP="00624CB8">
      <w:pPr>
        <w:pStyle w:val="Akapitzlist"/>
        <w:numPr>
          <w:ilvl w:val="1"/>
          <w:numId w:val="18"/>
        </w:numPr>
        <w:spacing w:before="120" w:after="0" w:line="276" w:lineRule="auto"/>
      </w:pPr>
      <w:r>
        <w:t xml:space="preserve">w serwerowni – na nowym panelu krosowym, </w:t>
      </w:r>
    </w:p>
    <w:p w14:paraId="29930821" w14:textId="57A9AFAA" w:rsidR="00A31A1C" w:rsidRDefault="00A31A1C" w:rsidP="00624CB8">
      <w:pPr>
        <w:pStyle w:val="Akapitzlist"/>
        <w:numPr>
          <w:ilvl w:val="0"/>
          <w:numId w:val="17"/>
        </w:numPr>
        <w:spacing w:before="120" w:after="0" w:line="276" w:lineRule="auto"/>
      </w:pPr>
      <w:r>
        <w:t>wszystkie tory oznaczyć trwałymi etykietami,</w:t>
      </w:r>
    </w:p>
    <w:p w14:paraId="08ABAFB6" w14:textId="23C4DEBB" w:rsidR="00A31A1C" w:rsidRDefault="00A31A1C" w:rsidP="00624CB8">
      <w:pPr>
        <w:pStyle w:val="Akapitzlist"/>
        <w:numPr>
          <w:ilvl w:val="0"/>
          <w:numId w:val="17"/>
        </w:numPr>
        <w:spacing w:before="120" w:after="0" w:line="276" w:lineRule="auto"/>
      </w:pPr>
      <w:r>
        <w:t>wykonać pomiary certyfikacyjne oraz załączyć raporty pomiarowe do dokumentacji powykonawczej</w:t>
      </w:r>
    </w:p>
    <w:p w14:paraId="06738258" w14:textId="17F2217C" w:rsidR="00A31A1C" w:rsidRDefault="00A31A1C" w:rsidP="00624CB8">
      <w:pPr>
        <w:pStyle w:val="Akapitzlist"/>
        <w:numPr>
          <w:ilvl w:val="0"/>
          <w:numId w:val="17"/>
        </w:numPr>
        <w:spacing w:before="120" w:after="0" w:line="276" w:lineRule="auto"/>
      </w:pPr>
      <w:r>
        <w:t>zastosować i dostarczyć komplet kabli krosowych LAN o długościach dopasowanych do konfiguracji systemu,</w:t>
      </w:r>
    </w:p>
    <w:p w14:paraId="185C2397" w14:textId="3EFB5F4C" w:rsidR="00A31A1C" w:rsidRDefault="00A31A1C" w:rsidP="00624CB8">
      <w:pPr>
        <w:pStyle w:val="Akapitzlist"/>
        <w:numPr>
          <w:ilvl w:val="0"/>
          <w:numId w:val="17"/>
        </w:numPr>
        <w:spacing w:before="120" w:after="0" w:line="276" w:lineRule="auto"/>
      </w:pPr>
      <w:r>
        <w:t>wszystkie tory oznaczyć trwałymi etykietami zgodnie z dokumentacją,</w:t>
      </w:r>
    </w:p>
    <w:p w14:paraId="72628F73" w14:textId="5D381EFE" w:rsidR="00A31A1C" w:rsidRDefault="00A31A1C" w:rsidP="000A14C1">
      <w:pPr>
        <w:pStyle w:val="Akapitzlist"/>
        <w:numPr>
          <w:ilvl w:val="1"/>
          <w:numId w:val="15"/>
        </w:numPr>
        <w:spacing w:before="120" w:after="0" w:line="276" w:lineRule="auto"/>
        <w:ind w:left="284" w:hanging="357"/>
      </w:pPr>
      <w:r>
        <w:t>Montaż urządzeń i integracja systemu</w:t>
      </w:r>
    </w:p>
    <w:p w14:paraId="4A26332D" w14:textId="6D7AD22D" w:rsidR="00A31A1C" w:rsidRDefault="00A31A1C" w:rsidP="00624CB8">
      <w:pPr>
        <w:pStyle w:val="Akapitzlist"/>
        <w:numPr>
          <w:ilvl w:val="0"/>
          <w:numId w:val="20"/>
        </w:numPr>
        <w:spacing w:before="120" w:after="0" w:line="276" w:lineRule="auto"/>
      </w:pPr>
      <w:r>
        <w:t>zamontować konstrukcję nośną oraz ekran ścienny LED zgodnie z projektem wykonawczym,</w:t>
      </w:r>
    </w:p>
    <w:p w14:paraId="36861DB0" w14:textId="2734D68E" w:rsidR="00A31A1C" w:rsidRDefault="00A31A1C" w:rsidP="00624CB8">
      <w:pPr>
        <w:pStyle w:val="Akapitzlist"/>
        <w:numPr>
          <w:ilvl w:val="0"/>
          <w:numId w:val="20"/>
        </w:numPr>
        <w:spacing w:before="120" w:after="0" w:line="276" w:lineRule="auto"/>
      </w:pPr>
      <w:r>
        <w:t>zainstalować kontroler, monitor podglądow</w:t>
      </w:r>
      <w:r w:rsidR="003F6999">
        <w:t>y</w:t>
      </w:r>
      <w:r>
        <w:t xml:space="preserve"> oraz pozostałe urządzenia systemu,</w:t>
      </w:r>
    </w:p>
    <w:p w14:paraId="522DC8B2" w14:textId="29229D68" w:rsidR="00A31A1C" w:rsidRDefault="00A31A1C" w:rsidP="00624CB8">
      <w:pPr>
        <w:pStyle w:val="Akapitzlist"/>
        <w:numPr>
          <w:ilvl w:val="0"/>
          <w:numId w:val="20"/>
        </w:numPr>
        <w:spacing w:before="120" w:after="0" w:line="276" w:lineRule="auto"/>
      </w:pPr>
      <w:r>
        <w:t>wykonać połączenia sygnałowe, sieciowe i sterujące,</w:t>
      </w:r>
    </w:p>
    <w:p w14:paraId="417933C0" w14:textId="28B32CD3" w:rsidR="00A31A1C" w:rsidRDefault="00A31A1C" w:rsidP="00624CB8">
      <w:pPr>
        <w:pStyle w:val="Akapitzlist"/>
        <w:numPr>
          <w:ilvl w:val="0"/>
          <w:numId w:val="20"/>
        </w:numPr>
        <w:spacing w:before="120" w:after="0" w:line="276" w:lineRule="auto"/>
      </w:pPr>
      <w:r>
        <w:t>przeprowadzić testy komunikacji i wstępne uruchomienie całości.</w:t>
      </w:r>
    </w:p>
    <w:p w14:paraId="13CF4182" w14:textId="4391963A" w:rsidR="00A31A1C" w:rsidRDefault="00A31A1C" w:rsidP="000A14C1">
      <w:pPr>
        <w:pStyle w:val="Akapitzlist"/>
        <w:numPr>
          <w:ilvl w:val="1"/>
          <w:numId w:val="15"/>
        </w:numPr>
        <w:spacing w:before="120" w:after="0" w:line="276" w:lineRule="auto"/>
        <w:ind w:left="284" w:hanging="357"/>
      </w:pPr>
      <w:r>
        <w:t>Modernizacja systemu sterowania</w:t>
      </w:r>
    </w:p>
    <w:p w14:paraId="1110DA51" w14:textId="6557C02D" w:rsidR="00A31A1C" w:rsidRDefault="00A31A1C" w:rsidP="00624CB8">
      <w:pPr>
        <w:pStyle w:val="Akapitzlist"/>
        <w:numPr>
          <w:ilvl w:val="0"/>
          <w:numId w:val="22"/>
        </w:numPr>
        <w:spacing w:before="120" w:after="0" w:line="276" w:lineRule="auto"/>
      </w:pPr>
      <w:r>
        <w:t>zaktualizować konfigurację istniejącego systemu sterowania oświetleniem i urządzeniami AV,</w:t>
      </w:r>
    </w:p>
    <w:p w14:paraId="4E9410D8" w14:textId="7633E66A" w:rsidR="00A31A1C" w:rsidRDefault="00A31A1C" w:rsidP="00624CB8">
      <w:pPr>
        <w:pStyle w:val="Akapitzlist"/>
        <w:numPr>
          <w:ilvl w:val="0"/>
          <w:numId w:val="22"/>
        </w:numPr>
        <w:spacing w:before="120" w:after="0" w:line="276" w:lineRule="auto"/>
      </w:pPr>
      <w:r>
        <w:t>opracować nowy interfejs użytkownika dopasowany funkcjonalnie i graficznie do nowego ekranu</w:t>
      </w:r>
    </w:p>
    <w:p w14:paraId="215709E2" w14:textId="193DB4EC" w:rsidR="00A31A1C" w:rsidRDefault="00A31A1C" w:rsidP="00624CB8">
      <w:pPr>
        <w:pStyle w:val="Akapitzlist"/>
        <w:numPr>
          <w:ilvl w:val="0"/>
          <w:numId w:val="22"/>
        </w:numPr>
        <w:spacing w:before="120" w:after="0" w:line="276" w:lineRule="auto"/>
      </w:pPr>
      <w:r>
        <w:t>zachować możliwości sterowania</w:t>
      </w:r>
      <w:r w:rsidR="00624CB8">
        <w:t>:</w:t>
      </w:r>
    </w:p>
    <w:p w14:paraId="2322EDA8" w14:textId="3E86C87A" w:rsidR="00A31A1C" w:rsidRDefault="00A31A1C" w:rsidP="00624CB8">
      <w:pPr>
        <w:pStyle w:val="Akapitzlist"/>
        <w:numPr>
          <w:ilvl w:val="1"/>
          <w:numId w:val="23"/>
        </w:numPr>
        <w:spacing w:before="120" w:after="0" w:line="276" w:lineRule="auto"/>
      </w:pPr>
      <w:r>
        <w:t xml:space="preserve">pozostałych </w:t>
      </w:r>
      <w:r w:rsidR="00624CB8">
        <w:t>urządzeń</w:t>
      </w:r>
      <w:r>
        <w:t xml:space="preserve"> A/V,</w:t>
      </w:r>
    </w:p>
    <w:p w14:paraId="0E04159C" w14:textId="4E8188DC" w:rsidR="00A31A1C" w:rsidRDefault="00A31A1C" w:rsidP="00624CB8">
      <w:pPr>
        <w:pStyle w:val="Akapitzlist"/>
        <w:numPr>
          <w:ilvl w:val="1"/>
          <w:numId w:val="23"/>
        </w:numPr>
        <w:spacing w:before="120" w:after="0" w:line="276" w:lineRule="auto"/>
      </w:pPr>
      <w:r>
        <w:t>wyborem źródeł sygnału,</w:t>
      </w:r>
    </w:p>
    <w:p w14:paraId="4DBDB167" w14:textId="0871972A" w:rsidR="00A31A1C" w:rsidRDefault="00A31A1C" w:rsidP="00624CB8">
      <w:pPr>
        <w:pStyle w:val="Akapitzlist"/>
        <w:numPr>
          <w:ilvl w:val="1"/>
          <w:numId w:val="23"/>
        </w:numPr>
        <w:spacing w:before="120" w:after="0" w:line="276" w:lineRule="auto"/>
      </w:pPr>
      <w:r>
        <w:t>oświetleniem, roletami i scenariuszami prezentacyjnymi,</w:t>
      </w:r>
    </w:p>
    <w:p w14:paraId="014B8AF2" w14:textId="6C2573AB" w:rsidR="00A31A1C" w:rsidRDefault="00A31A1C" w:rsidP="00624CB8">
      <w:pPr>
        <w:pStyle w:val="Akapitzlist"/>
        <w:numPr>
          <w:ilvl w:val="0"/>
          <w:numId w:val="22"/>
        </w:numPr>
        <w:spacing w:before="120" w:after="0" w:line="276" w:lineRule="auto"/>
      </w:pPr>
      <w:r>
        <w:t>przeprowadzić testy funkcjonalne oraz szkolenie użytkowników.</w:t>
      </w:r>
    </w:p>
    <w:p w14:paraId="01D1CB36" w14:textId="69327F3D" w:rsidR="00A31A1C" w:rsidRDefault="00A31A1C" w:rsidP="000A14C1">
      <w:pPr>
        <w:pStyle w:val="Akapitzlist"/>
        <w:numPr>
          <w:ilvl w:val="1"/>
          <w:numId w:val="15"/>
        </w:numPr>
        <w:spacing w:before="120" w:after="0" w:line="276" w:lineRule="auto"/>
        <w:ind w:left="284" w:hanging="357"/>
      </w:pPr>
      <w:r>
        <w:t>Uruchomienie, kalibracja i odbiory</w:t>
      </w:r>
    </w:p>
    <w:p w14:paraId="686D77BC" w14:textId="2C9575E9" w:rsidR="00A31A1C" w:rsidRDefault="00A31A1C" w:rsidP="000A14C1">
      <w:pPr>
        <w:pStyle w:val="Akapitzlist"/>
        <w:numPr>
          <w:ilvl w:val="0"/>
          <w:numId w:val="25"/>
        </w:numPr>
        <w:spacing w:before="120" w:after="0" w:line="276" w:lineRule="auto"/>
      </w:pPr>
      <w:r>
        <w:lastRenderedPageBreak/>
        <w:t>przeprowadzić testy poprawności połączeń,</w:t>
      </w:r>
    </w:p>
    <w:p w14:paraId="4A974C14" w14:textId="355442D7" w:rsidR="00A31A1C" w:rsidRDefault="00A31A1C" w:rsidP="000A14C1">
      <w:pPr>
        <w:pStyle w:val="Akapitzlist"/>
        <w:numPr>
          <w:ilvl w:val="0"/>
          <w:numId w:val="25"/>
        </w:numPr>
        <w:spacing w:before="120" w:after="0" w:line="276" w:lineRule="auto"/>
      </w:pPr>
      <w:r>
        <w:t>uruchomić ekran, kontroler i urządzenia towarzyszące,</w:t>
      </w:r>
    </w:p>
    <w:p w14:paraId="294E7183" w14:textId="7E458595" w:rsidR="00A31A1C" w:rsidRDefault="00A31A1C" w:rsidP="000A14C1">
      <w:pPr>
        <w:pStyle w:val="Akapitzlist"/>
        <w:numPr>
          <w:ilvl w:val="0"/>
          <w:numId w:val="25"/>
        </w:numPr>
        <w:spacing w:before="120" w:after="0" w:line="276" w:lineRule="auto"/>
      </w:pPr>
      <w:r>
        <w:t>wykonać kalibrację jasności, kontrastu i temperatury barwowej ekranu oraz monitorów podglądowych,</w:t>
      </w:r>
    </w:p>
    <w:p w14:paraId="416564B0" w14:textId="657B9EA9" w:rsidR="00A31A1C" w:rsidRDefault="00A31A1C" w:rsidP="000A14C1">
      <w:pPr>
        <w:pStyle w:val="Akapitzlist"/>
        <w:numPr>
          <w:ilvl w:val="0"/>
          <w:numId w:val="25"/>
        </w:numPr>
        <w:spacing w:before="120" w:after="0" w:line="276" w:lineRule="auto"/>
      </w:pPr>
      <w:r>
        <w:t>zweryfikować działanie systemu sterowania i jego integrację z oświetleniem,</w:t>
      </w:r>
    </w:p>
    <w:p w14:paraId="69D49352" w14:textId="7BCF177C" w:rsidR="00A31A1C" w:rsidRDefault="00A31A1C" w:rsidP="000A14C1">
      <w:pPr>
        <w:pStyle w:val="Akapitzlist"/>
        <w:numPr>
          <w:ilvl w:val="0"/>
          <w:numId w:val="25"/>
        </w:numPr>
        <w:spacing w:before="120" w:after="0" w:line="276" w:lineRule="auto"/>
      </w:pPr>
      <w:r>
        <w:t>sporządzić protokoły uruchomienia, pomiarów i odbioru.</w:t>
      </w:r>
    </w:p>
    <w:p w14:paraId="286BD207" w14:textId="689B5381" w:rsidR="00A31A1C" w:rsidRDefault="00A31A1C" w:rsidP="000A14C1">
      <w:pPr>
        <w:pStyle w:val="Akapitzlist"/>
        <w:numPr>
          <w:ilvl w:val="1"/>
          <w:numId w:val="15"/>
        </w:numPr>
        <w:spacing w:before="120" w:after="0" w:line="276" w:lineRule="auto"/>
        <w:ind w:left="284" w:hanging="357"/>
      </w:pPr>
      <w:r>
        <w:t>Dokumentacja powykonawcza</w:t>
      </w:r>
    </w:p>
    <w:p w14:paraId="4B6510E9" w14:textId="77777777" w:rsidR="00A31A1C" w:rsidRDefault="00A31A1C" w:rsidP="00A31A1C">
      <w:pPr>
        <w:spacing w:before="120" w:after="0" w:line="276" w:lineRule="auto"/>
      </w:pPr>
      <w:r>
        <w:t>Dokumentacja powykonawcza powinna zawierać:</w:t>
      </w:r>
    </w:p>
    <w:p w14:paraId="7F46A796" w14:textId="4180DD6F" w:rsidR="00A31A1C" w:rsidRDefault="00A31A1C" w:rsidP="000A14C1">
      <w:pPr>
        <w:pStyle w:val="Akapitzlist"/>
        <w:numPr>
          <w:ilvl w:val="0"/>
          <w:numId w:val="29"/>
        </w:numPr>
        <w:spacing w:before="120" w:after="0" w:line="276" w:lineRule="auto"/>
      </w:pPr>
      <w:r>
        <w:t>rysunki montażowe i schematy połączeń,</w:t>
      </w:r>
    </w:p>
    <w:p w14:paraId="549829BD" w14:textId="487F39D4" w:rsidR="00A31A1C" w:rsidRDefault="00A31A1C" w:rsidP="000A14C1">
      <w:pPr>
        <w:pStyle w:val="Akapitzlist"/>
        <w:numPr>
          <w:ilvl w:val="0"/>
          <w:numId w:val="29"/>
        </w:numPr>
        <w:spacing w:before="120" w:after="0" w:line="276" w:lineRule="auto"/>
      </w:pPr>
      <w:r>
        <w:t>raporty z pomiarów elektrycznych i teletechnicznych,</w:t>
      </w:r>
    </w:p>
    <w:p w14:paraId="6C86286D" w14:textId="791212C3" w:rsidR="00A31A1C" w:rsidRDefault="00A31A1C" w:rsidP="000A14C1">
      <w:pPr>
        <w:pStyle w:val="Akapitzlist"/>
        <w:numPr>
          <w:ilvl w:val="0"/>
          <w:numId w:val="29"/>
        </w:numPr>
        <w:spacing w:before="120" w:after="0" w:line="276" w:lineRule="auto"/>
      </w:pPr>
      <w:r>
        <w:t>wykaz urządzeń i materiałów użytych w instalacji,</w:t>
      </w:r>
    </w:p>
    <w:p w14:paraId="71C9C598" w14:textId="12C84993" w:rsidR="00A31A1C" w:rsidRDefault="00A31A1C" w:rsidP="000A14C1">
      <w:pPr>
        <w:pStyle w:val="Akapitzlist"/>
        <w:numPr>
          <w:ilvl w:val="0"/>
          <w:numId w:val="29"/>
        </w:numPr>
        <w:spacing w:before="120" w:after="0" w:line="276" w:lineRule="auto"/>
      </w:pPr>
      <w:r>
        <w:t>instrukcję użytkowania systemu sterowania,</w:t>
      </w:r>
    </w:p>
    <w:p w14:paraId="64AE5CEA" w14:textId="31D394D1" w:rsidR="00A31A1C" w:rsidRDefault="00A31A1C" w:rsidP="000A14C1">
      <w:pPr>
        <w:pStyle w:val="Akapitzlist"/>
        <w:numPr>
          <w:ilvl w:val="0"/>
          <w:numId w:val="29"/>
        </w:numPr>
        <w:spacing w:before="120" w:after="0" w:line="276" w:lineRule="auto"/>
      </w:pPr>
      <w:r>
        <w:t>certyfikaty zgodności i bezpieczeństwa,</w:t>
      </w:r>
    </w:p>
    <w:p w14:paraId="102F713A" w14:textId="47CFE5D1" w:rsidR="00A31A1C" w:rsidRDefault="00A31A1C" w:rsidP="000A14C1">
      <w:pPr>
        <w:pStyle w:val="Akapitzlist"/>
        <w:numPr>
          <w:ilvl w:val="0"/>
          <w:numId w:val="29"/>
        </w:numPr>
        <w:spacing w:before="120" w:after="0" w:line="276" w:lineRule="auto"/>
      </w:pPr>
      <w:r>
        <w:t>protokoły uruchomienia i odbioru,</w:t>
      </w:r>
    </w:p>
    <w:p w14:paraId="071766FC" w14:textId="3F965763" w:rsidR="00A31A1C" w:rsidRDefault="00A31A1C" w:rsidP="000A14C1">
      <w:pPr>
        <w:pStyle w:val="Akapitzlist"/>
        <w:numPr>
          <w:ilvl w:val="0"/>
          <w:numId w:val="29"/>
        </w:numPr>
        <w:spacing w:before="120" w:after="0" w:line="276" w:lineRule="auto"/>
      </w:pPr>
      <w:r>
        <w:t>karty gwarancyjne.</w:t>
      </w:r>
    </w:p>
    <w:p w14:paraId="27D68BC5" w14:textId="1871F486" w:rsidR="00A31A1C" w:rsidRDefault="00A31A1C" w:rsidP="000A14C1">
      <w:pPr>
        <w:pStyle w:val="Akapitzlist"/>
        <w:numPr>
          <w:ilvl w:val="1"/>
          <w:numId w:val="15"/>
        </w:numPr>
        <w:spacing w:before="120" w:after="0" w:line="276" w:lineRule="auto"/>
        <w:ind w:left="284" w:hanging="357"/>
      </w:pPr>
      <w:r>
        <w:t>Wymagania kwalifikacyjne dla wykonawcy</w:t>
      </w:r>
    </w:p>
    <w:p w14:paraId="6CBCBD36" w14:textId="77777777" w:rsidR="00A31A1C" w:rsidRDefault="00A31A1C" w:rsidP="00A31A1C">
      <w:pPr>
        <w:spacing w:before="120" w:after="0" w:line="276" w:lineRule="auto"/>
      </w:pPr>
      <w:r>
        <w:t>Wykonawca zobowiązany jest do zapewnienia, aby wszystkie prace były prowadzone przez osoby posiadające odpowiednie kwalifikacje, uprawnienia i autoryzacje, w tym:</w:t>
      </w:r>
    </w:p>
    <w:p w14:paraId="1FB3A6BF" w14:textId="35BE4C39" w:rsidR="00A31A1C" w:rsidRDefault="00A31A1C" w:rsidP="000A14C1">
      <w:pPr>
        <w:pStyle w:val="Akapitzlist"/>
        <w:numPr>
          <w:ilvl w:val="0"/>
          <w:numId w:val="31"/>
        </w:numPr>
        <w:spacing w:before="120" w:after="0" w:line="276" w:lineRule="auto"/>
      </w:pPr>
      <w:r>
        <w:t xml:space="preserve">uprawnienia elektryczne w zakresie eksploatacji i dozoru urządzeń, instalacji oraz sieci elektroenergetycznych do 1 </w:t>
      </w:r>
      <w:proofErr w:type="spellStart"/>
      <w:r>
        <w:t>kV</w:t>
      </w:r>
      <w:proofErr w:type="spellEnd"/>
      <w:r>
        <w:t>, zgodnie z obowiązującymi przepisami,</w:t>
      </w:r>
    </w:p>
    <w:p w14:paraId="4A10B70A" w14:textId="1BC78DC3" w:rsidR="00A31A1C" w:rsidRDefault="00A31A1C" w:rsidP="000A14C1">
      <w:pPr>
        <w:pStyle w:val="Akapitzlist"/>
        <w:numPr>
          <w:ilvl w:val="0"/>
          <w:numId w:val="31"/>
        </w:numPr>
        <w:spacing w:before="120" w:after="0" w:line="276" w:lineRule="auto"/>
      </w:pPr>
      <w:r>
        <w:t>certyfikat instalatora systemów okablowania strukturalnego (LAN), potwierdzający znajomość zasad montażu i pomiarów sieci kategorii 6,</w:t>
      </w:r>
    </w:p>
    <w:p w14:paraId="7E4AE9AC" w14:textId="61F02CEF" w:rsidR="00A31A1C" w:rsidRDefault="00A31A1C" w:rsidP="000A14C1">
      <w:pPr>
        <w:pStyle w:val="Akapitzlist"/>
        <w:numPr>
          <w:ilvl w:val="0"/>
          <w:numId w:val="31"/>
        </w:numPr>
        <w:spacing w:before="120" w:after="0" w:line="276" w:lineRule="auto"/>
      </w:pPr>
      <w:r>
        <w:t>autoryzację producenta ekranu ściennego potwierdzającą przeszkolenie w zakresie montażu, konfiguracji i serwisowania dostarczanego systemu.</w:t>
      </w:r>
    </w:p>
    <w:p w14:paraId="122193B6" w14:textId="6359D8AE" w:rsidR="00F510E6" w:rsidRDefault="00A31A1C" w:rsidP="00A31A1C">
      <w:pPr>
        <w:spacing w:before="120" w:after="0" w:line="276" w:lineRule="auto"/>
      </w:pPr>
      <w:r>
        <w:t>Zamawiający ma prawo żądać przedstawienia kopii stosownych uprawnień i certyfikatów przed rozpoczęciem prac.</w:t>
      </w:r>
    </w:p>
    <w:p w14:paraId="08DA7790" w14:textId="7005D784" w:rsidR="00B37B5A" w:rsidRDefault="00B37B5A" w:rsidP="00A31A1C">
      <w:pPr>
        <w:spacing w:before="120" w:after="0" w:line="276" w:lineRule="auto"/>
        <w:rPr>
          <w:b/>
          <w:bCs/>
        </w:rPr>
      </w:pPr>
      <w:r w:rsidRPr="002B746B">
        <w:rPr>
          <w:b/>
          <w:bCs/>
        </w:rPr>
        <w:t>Część III: wymiana jednostki centralnego sterowania systemem audiowizualnym, oświetleniem oraz żaluzjami/roletami.</w:t>
      </w:r>
    </w:p>
    <w:p w14:paraId="2B29D9B7" w14:textId="646F4828" w:rsidR="00B37B5A" w:rsidRDefault="00B37B5A" w:rsidP="007D706F">
      <w:pPr>
        <w:pStyle w:val="Akapitzlist"/>
        <w:numPr>
          <w:ilvl w:val="0"/>
          <w:numId w:val="41"/>
        </w:numPr>
        <w:spacing w:before="120" w:after="0" w:line="276" w:lineRule="auto"/>
        <w:ind w:left="284"/>
      </w:pPr>
      <w:r w:rsidRPr="00B37B5A">
        <w:t>Jednostka sterująca</w:t>
      </w:r>
    </w:p>
    <w:p w14:paraId="1C302157" w14:textId="58B644E0" w:rsidR="00B37B5A" w:rsidRDefault="00B37B5A" w:rsidP="007D706F">
      <w:pPr>
        <w:spacing w:before="120" w:after="0" w:line="276" w:lineRule="auto"/>
        <w:ind w:left="-76"/>
      </w:pPr>
      <w:r w:rsidRPr="00B37B5A">
        <w:t>Należy dostarczyć, zamontować, skonfigurować i uruchomić programowalną, sieciową jednostkę centralnego sterowania systemem audiowizualnym, oświetleniem oraz żaluzjami/roletami. Urządzenie ma zapewniać integrację urządzeń AV, sterowników oświetlenia, napędów osłon okiennych oraz urządzeń peryferyjnych w ramach jednego systemu automatyki, który Zamawiający już posiada.</w:t>
      </w:r>
    </w:p>
    <w:p w14:paraId="637D31F2" w14:textId="36FAD930" w:rsidR="00B37B5A" w:rsidRDefault="00B37B5A" w:rsidP="007D706F">
      <w:pPr>
        <w:pStyle w:val="Akapitzlist"/>
        <w:numPr>
          <w:ilvl w:val="0"/>
          <w:numId w:val="41"/>
        </w:numPr>
        <w:spacing w:before="120" w:after="0" w:line="276" w:lineRule="auto"/>
        <w:ind w:left="284"/>
      </w:pPr>
      <w:r w:rsidRPr="00B37B5A">
        <w:t>Wymagania funkcjonalne</w:t>
      </w:r>
    </w:p>
    <w:p w14:paraId="506ADBC8" w14:textId="65F4C6C1" w:rsidR="00B37B5A" w:rsidRDefault="00B37B5A" w:rsidP="007D706F">
      <w:pPr>
        <w:spacing w:before="120" w:after="0" w:line="276" w:lineRule="auto"/>
        <w:ind w:left="-76"/>
      </w:pPr>
      <w:r w:rsidRPr="00B37B5A">
        <w:t>Nowa jednostka sterująca musi zastąpić starą jednostkę sterującą – w tym całą jej obecną funkcjonalność.</w:t>
      </w:r>
    </w:p>
    <w:p w14:paraId="7A79C2A3" w14:textId="66217272" w:rsidR="00B37B5A" w:rsidRDefault="00B37B5A" w:rsidP="007D706F">
      <w:pPr>
        <w:pStyle w:val="Akapitzlist"/>
        <w:numPr>
          <w:ilvl w:val="0"/>
          <w:numId w:val="41"/>
        </w:numPr>
        <w:spacing w:before="120" w:after="0" w:line="276" w:lineRule="auto"/>
        <w:ind w:left="284"/>
      </w:pPr>
      <w:r w:rsidRPr="00B37B5A">
        <w:t>Minimalne wymagania techniczne</w:t>
      </w:r>
    </w:p>
    <w:p w14:paraId="7600E4CE" w14:textId="724385F5" w:rsidR="00B37B5A" w:rsidRDefault="00B37B5A" w:rsidP="002B746B">
      <w:pPr>
        <w:pStyle w:val="Akapitzlist"/>
        <w:numPr>
          <w:ilvl w:val="1"/>
          <w:numId w:val="41"/>
        </w:numPr>
        <w:spacing w:before="120" w:after="0" w:line="276" w:lineRule="auto"/>
        <w:ind w:left="567" w:hanging="354"/>
      </w:pPr>
      <w:r>
        <w:t>Programowalna jednostka sterująca do integracji urządzeń AV, oświetlenia i żaluzji/rolet.</w:t>
      </w:r>
    </w:p>
    <w:p w14:paraId="1B56B284" w14:textId="3083389E" w:rsidR="00B37B5A" w:rsidRDefault="00B37B5A" w:rsidP="002B746B">
      <w:pPr>
        <w:pStyle w:val="Akapitzlist"/>
        <w:numPr>
          <w:ilvl w:val="1"/>
          <w:numId w:val="41"/>
        </w:numPr>
        <w:spacing w:before="120" w:after="0" w:line="276" w:lineRule="auto"/>
        <w:ind w:left="567" w:hanging="354"/>
      </w:pPr>
      <w:r>
        <w:lastRenderedPageBreak/>
        <w:t>Minimum 1 port sieciowy Ethernet 10/100/1000 Base-T, RJ-45, umożliwiający dwukierunkową komunikację IP.</w:t>
      </w:r>
    </w:p>
    <w:p w14:paraId="680B3935" w14:textId="4E09D60B" w:rsidR="00B37B5A" w:rsidRDefault="00B37B5A" w:rsidP="002B746B">
      <w:pPr>
        <w:pStyle w:val="Akapitzlist"/>
        <w:numPr>
          <w:ilvl w:val="1"/>
          <w:numId w:val="41"/>
        </w:numPr>
        <w:spacing w:before="120" w:after="0" w:line="276" w:lineRule="auto"/>
        <w:ind w:left="567" w:hanging="354"/>
      </w:pPr>
      <w:r>
        <w:t>Minimum 4 dwukierunkowe porty komunikacji szeregowej RS-232/RS-485.</w:t>
      </w:r>
    </w:p>
    <w:p w14:paraId="119E9C7E" w14:textId="719E6DE8" w:rsidR="00B37B5A" w:rsidRDefault="00B37B5A" w:rsidP="002B746B">
      <w:pPr>
        <w:pStyle w:val="Akapitzlist"/>
        <w:numPr>
          <w:ilvl w:val="1"/>
          <w:numId w:val="41"/>
        </w:numPr>
        <w:spacing w:before="120" w:after="0" w:line="276" w:lineRule="auto"/>
        <w:ind w:left="567" w:hanging="354"/>
      </w:pPr>
      <w:r>
        <w:t>Minimum 8 portów uniwersalnych.</w:t>
      </w:r>
    </w:p>
    <w:p w14:paraId="0CE65961" w14:textId="243596AD" w:rsidR="00B37B5A" w:rsidRDefault="00B37B5A" w:rsidP="002B746B">
      <w:pPr>
        <w:pStyle w:val="Akapitzlist"/>
        <w:numPr>
          <w:ilvl w:val="1"/>
          <w:numId w:val="41"/>
        </w:numPr>
        <w:spacing w:before="120" w:after="0" w:line="276" w:lineRule="auto"/>
        <w:ind w:left="567" w:hanging="354"/>
      </w:pPr>
      <w:r>
        <w:t>Minimum 2 niskonapięciowe wyjścia przekaźnikowe.</w:t>
      </w:r>
    </w:p>
    <w:p w14:paraId="7BFF9C47" w14:textId="4CC43E61" w:rsidR="00B37B5A" w:rsidRDefault="00B37B5A" w:rsidP="002B746B">
      <w:pPr>
        <w:pStyle w:val="Akapitzlist"/>
        <w:numPr>
          <w:ilvl w:val="1"/>
          <w:numId w:val="41"/>
        </w:numPr>
        <w:spacing w:before="120" w:after="0" w:line="276" w:lineRule="auto"/>
        <w:ind w:left="567" w:hanging="354"/>
      </w:pPr>
      <w:r>
        <w:t>Wbudowana możliwość przechwytywania kodów sterowania IR.</w:t>
      </w:r>
    </w:p>
    <w:p w14:paraId="181B38EC" w14:textId="34BEFF74" w:rsidR="00B37B5A" w:rsidRDefault="00B37B5A" w:rsidP="002B746B">
      <w:pPr>
        <w:pStyle w:val="Akapitzlist"/>
        <w:numPr>
          <w:ilvl w:val="1"/>
          <w:numId w:val="41"/>
        </w:numPr>
        <w:spacing w:before="120" w:after="0" w:line="276" w:lineRule="auto"/>
        <w:ind w:left="567" w:hanging="354"/>
      </w:pPr>
      <w:r>
        <w:t>Wbudowany zegar czasu rzeczywistego z podtrzymaniem bateryjnym.</w:t>
      </w:r>
    </w:p>
    <w:p w14:paraId="67636337" w14:textId="3098A99A" w:rsidR="00B37B5A" w:rsidRDefault="00B37B5A" w:rsidP="002B746B">
      <w:pPr>
        <w:pStyle w:val="Akapitzlist"/>
        <w:numPr>
          <w:ilvl w:val="1"/>
          <w:numId w:val="41"/>
        </w:numPr>
        <w:spacing w:before="120" w:after="0" w:line="276" w:lineRule="auto"/>
        <w:ind w:left="567" w:hanging="354"/>
      </w:pPr>
      <w:r>
        <w:t>Minimum 2 GB pamięci RAM.</w:t>
      </w:r>
    </w:p>
    <w:p w14:paraId="6AE218A2" w14:textId="73301F81" w:rsidR="00B37B5A" w:rsidRDefault="00B37B5A" w:rsidP="002B746B">
      <w:pPr>
        <w:pStyle w:val="Akapitzlist"/>
        <w:numPr>
          <w:ilvl w:val="1"/>
          <w:numId w:val="41"/>
        </w:numPr>
        <w:spacing w:before="120" w:after="0" w:line="276" w:lineRule="auto"/>
        <w:ind w:left="567" w:hanging="354"/>
      </w:pPr>
      <w:r>
        <w:t xml:space="preserve">Minimum 16 GB nieulotnej pamięci </w:t>
      </w:r>
      <w:proofErr w:type="spellStart"/>
      <w:r>
        <w:t>eMMC</w:t>
      </w:r>
      <w:proofErr w:type="spellEnd"/>
      <w:r>
        <w:t>.</w:t>
      </w:r>
    </w:p>
    <w:p w14:paraId="7ED7EF04" w14:textId="36CB47FE" w:rsidR="00B37B5A" w:rsidRDefault="00B37B5A" w:rsidP="002B746B">
      <w:pPr>
        <w:pStyle w:val="Akapitzlist"/>
        <w:numPr>
          <w:ilvl w:val="1"/>
          <w:numId w:val="41"/>
        </w:numPr>
        <w:spacing w:before="120" w:after="0" w:line="276" w:lineRule="auto"/>
        <w:ind w:left="567" w:hanging="354"/>
      </w:pPr>
      <w:r>
        <w:t>Konfiguracja i administracja przez przeglądarkę internetową.</w:t>
      </w:r>
    </w:p>
    <w:p w14:paraId="3CF96982" w14:textId="3B7B3889" w:rsidR="00B37B5A" w:rsidRDefault="00B37B5A" w:rsidP="002B746B">
      <w:pPr>
        <w:pStyle w:val="Akapitzlist"/>
        <w:numPr>
          <w:ilvl w:val="1"/>
          <w:numId w:val="41"/>
        </w:numPr>
        <w:spacing w:before="120" w:after="0" w:line="276" w:lineRule="auto"/>
        <w:ind w:left="567" w:hanging="354"/>
      </w:pPr>
      <w:r>
        <w:t xml:space="preserve">Zasilanie napięciem stałym w zakresie 12–28 VDC lub przez </w:t>
      </w:r>
      <w:proofErr w:type="spellStart"/>
      <w:r>
        <w:t>PoE</w:t>
      </w:r>
      <w:proofErr w:type="spellEnd"/>
      <w:r>
        <w:t xml:space="preserve"> zgodne z IEEE 802.3af.</w:t>
      </w:r>
    </w:p>
    <w:p w14:paraId="47518036" w14:textId="7DEB48F8" w:rsidR="00B37B5A" w:rsidRDefault="00B37B5A" w:rsidP="002B746B">
      <w:pPr>
        <w:pStyle w:val="Akapitzlist"/>
        <w:numPr>
          <w:ilvl w:val="1"/>
          <w:numId w:val="41"/>
        </w:numPr>
        <w:spacing w:before="120" w:after="0" w:line="276" w:lineRule="auto"/>
        <w:ind w:left="567" w:hanging="354"/>
      </w:pPr>
      <w:r>
        <w:t>Pobór mocy maksymalnie 4 W.</w:t>
      </w:r>
    </w:p>
    <w:p w14:paraId="1CB0653F" w14:textId="719A6A99" w:rsidR="00B37B5A" w:rsidRDefault="00B37B5A" w:rsidP="002B746B">
      <w:pPr>
        <w:pStyle w:val="Akapitzlist"/>
        <w:numPr>
          <w:ilvl w:val="1"/>
          <w:numId w:val="41"/>
        </w:numPr>
        <w:spacing w:before="120" w:after="0" w:line="276" w:lineRule="auto"/>
        <w:ind w:left="567" w:hanging="354"/>
      </w:pPr>
      <w:r>
        <w:t xml:space="preserve">Obudowa metalowa, umożliwiająca montaż na blacie lub w szafie </w:t>
      </w:r>
      <w:proofErr w:type="spellStart"/>
      <w:r>
        <w:t>rack</w:t>
      </w:r>
      <w:proofErr w:type="spellEnd"/>
      <w:r>
        <w:t xml:space="preserve"> 19 cali.</w:t>
      </w:r>
    </w:p>
    <w:p w14:paraId="3628DC42" w14:textId="2B8AE3B8" w:rsidR="00B37B5A" w:rsidRDefault="00B37B5A" w:rsidP="002B746B">
      <w:pPr>
        <w:pStyle w:val="Akapitzlist"/>
        <w:numPr>
          <w:ilvl w:val="1"/>
          <w:numId w:val="41"/>
        </w:numPr>
        <w:spacing w:before="120" w:after="0" w:line="276" w:lineRule="auto"/>
        <w:ind w:left="567" w:hanging="354"/>
      </w:pPr>
      <w:r>
        <w:t>Wysokość nie więcej niż 1U</w:t>
      </w:r>
    </w:p>
    <w:p w14:paraId="5896968F" w14:textId="175422EC" w:rsidR="00B37B5A" w:rsidRDefault="00B37B5A" w:rsidP="002B746B">
      <w:pPr>
        <w:pStyle w:val="Akapitzlist"/>
        <w:numPr>
          <w:ilvl w:val="1"/>
          <w:numId w:val="41"/>
        </w:numPr>
        <w:spacing w:before="120" w:after="0" w:line="276" w:lineRule="auto"/>
        <w:ind w:left="567" w:hanging="354"/>
      </w:pPr>
      <w:r>
        <w:t>Waga nie więcej niż 0,3 kg</w:t>
      </w:r>
    </w:p>
    <w:p w14:paraId="2C307E92" w14:textId="015B4B08" w:rsidR="00B37B5A" w:rsidRDefault="00B37B5A" w:rsidP="007D706F">
      <w:pPr>
        <w:pStyle w:val="Akapitzlist"/>
        <w:numPr>
          <w:ilvl w:val="1"/>
          <w:numId w:val="41"/>
        </w:numPr>
        <w:spacing w:before="120" w:after="0" w:line="276" w:lineRule="auto"/>
        <w:ind w:left="567" w:hanging="354"/>
      </w:pPr>
      <w:r>
        <w:t>Sygnalizacja LED stanu zasilania, sieci, procesora oraz portów sterujących.</w:t>
      </w:r>
    </w:p>
    <w:p w14:paraId="265A1F2A" w14:textId="7634DAC6" w:rsidR="00B37B5A" w:rsidRDefault="00B37B5A" w:rsidP="007D706F">
      <w:pPr>
        <w:pStyle w:val="Akapitzlist"/>
        <w:numPr>
          <w:ilvl w:val="0"/>
          <w:numId w:val="41"/>
        </w:numPr>
        <w:spacing w:before="120" w:after="0" w:line="276" w:lineRule="auto"/>
        <w:ind w:left="284"/>
      </w:pPr>
      <w:r w:rsidRPr="00B37B5A">
        <w:t>Funkcjonalność aplikacji sterującej</w:t>
      </w:r>
    </w:p>
    <w:p w14:paraId="64B9E15A" w14:textId="780A5D7D" w:rsidR="00B37B5A" w:rsidRDefault="00B37B5A" w:rsidP="007D706F">
      <w:pPr>
        <w:spacing w:before="120" w:after="0" w:line="276" w:lineRule="auto"/>
        <w:ind w:left="-76"/>
      </w:pPr>
      <w:r w:rsidRPr="00B37B5A">
        <w:t xml:space="preserve">Do jednostki sterującej </w:t>
      </w:r>
      <w:r>
        <w:t xml:space="preserve">dostarczyć </w:t>
      </w:r>
      <w:r w:rsidRPr="00B37B5A">
        <w:t>dożywotni</w:t>
      </w:r>
      <w:r>
        <w:t>ą</w:t>
      </w:r>
      <w:r w:rsidRPr="00B37B5A">
        <w:t xml:space="preserve"> licencj</w:t>
      </w:r>
      <w:r>
        <w:t>ę</w:t>
      </w:r>
      <w:r w:rsidRPr="00B37B5A">
        <w:t xml:space="preserve"> na PC z systemem Windows</w:t>
      </w:r>
      <w:r>
        <w:t>.</w:t>
      </w:r>
    </w:p>
    <w:p w14:paraId="7D8EF0CA" w14:textId="25B05D0A" w:rsidR="007D706F" w:rsidRDefault="007D706F" w:rsidP="002B746B">
      <w:pPr>
        <w:pStyle w:val="Akapitzlist"/>
        <w:numPr>
          <w:ilvl w:val="1"/>
          <w:numId w:val="41"/>
        </w:numPr>
        <w:spacing w:before="120" w:after="0" w:line="276" w:lineRule="auto"/>
        <w:ind w:left="567" w:hanging="354"/>
      </w:pPr>
      <w:r>
        <w:t>Aplikacja sterująca przeznaczona do instalacji na komputerze PC z systemem Microsoft Windows.</w:t>
      </w:r>
    </w:p>
    <w:p w14:paraId="6FB87C8D" w14:textId="513953C6" w:rsidR="007D706F" w:rsidRDefault="007D706F" w:rsidP="002B746B">
      <w:pPr>
        <w:pStyle w:val="Akapitzlist"/>
        <w:numPr>
          <w:ilvl w:val="1"/>
          <w:numId w:val="41"/>
        </w:numPr>
        <w:spacing w:before="120" w:after="0" w:line="276" w:lineRule="auto"/>
        <w:ind w:left="567" w:hanging="354"/>
      </w:pPr>
      <w:r>
        <w:t xml:space="preserve">Możliwość wykorzystania komputera PC jako panelu sterującego systemem automatyki. </w:t>
      </w:r>
    </w:p>
    <w:p w14:paraId="138F2124" w14:textId="64A810B6" w:rsidR="007D706F" w:rsidRDefault="007D706F" w:rsidP="002B746B">
      <w:pPr>
        <w:pStyle w:val="Akapitzlist"/>
        <w:numPr>
          <w:ilvl w:val="1"/>
          <w:numId w:val="41"/>
        </w:numPr>
        <w:spacing w:before="120" w:after="0" w:line="276" w:lineRule="auto"/>
        <w:ind w:left="567" w:hanging="354"/>
      </w:pPr>
      <w:r>
        <w:t>Możliwość obsługi indywidualnie zaprojektowanego graficznego interfejsu użytkownika.</w:t>
      </w:r>
    </w:p>
    <w:p w14:paraId="74F7158D" w14:textId="6A8B4319" w:rsidR="007D706F" w:rsidRDefault="007D706F" w:rsidP="002B746B">
      <w:pPr>
        <w:pStyle w:val="Akapitzlist"/>
        <w:numPr>
          <w:ilvl w:val="1"/>
          <w:numId w:val="41"/>
        </w:numPr>
        <w:spacing w:before="120" w:after="0" w:line="276" w:lineRule="auto"/>
        <w:ind w:left="567" w:hanging="354"/>
      </w:pPr>
      <w:r>
        <w:t xml:space="preserve">Komunikacja z jednostką sterującą przez przewodową sieć Ethernet lub bezprzewodową sieć </w:t>
      </w:r>
      <w:proofErr w:type="spellStart"/>
      <w:r>
        <w:t>Wi</w:t>
      </w:r>
      <w:proofErr w:type="spellEnd"/>
      <w:r>
        <w:t xml:space="preserve"> Fi.</w:t>
      </w:r>
    </w:p>
    <w:p w14:paraId="4602BA42" w14:textId="0457B52F" w:rsidR="007D706F" w:rsidRDefault="007D706F" w:rsidP="002B746B">
      <w:pPr>
        <w:pStyle w:val="Akapitzlist"/>
        <w:numPr>
          <w:ilvl w:val="1"/>
          <w:numId w:val="41"/>
        </w:numPr>
        <w:spacing w:before="120" w:after="0" w:line="276" w:lineRule="auto"/>
        <w:ind w:left="567" w:hanging="354"/>
      </w:pPr>
      <w:r>
        <w:t>Obsługa komunikacji sieciowej z wykorzystaniem protokołu TCP/UDP.</w:t>
      </w:r>
    </w:p>
    <w:p w14:paraId="71B04F83" w14:textId="02B9B02D" w:rsidR="007D706F" w:rsidRDefault="007D706F" w:rsidP="002B746B">
      <w:pPr>
        <w:pStyle w:val="Akapitzlist"/>
        <w:numPr>
          <w:ilvl w:val="1"/>
          <w:numId w:val="41"/>
        </w:numPr>
        <w:spacing w:before="120" w:after="0" w:line="276" w:lineRule="auto"/>
        <w:ind w:left="567" w:hanging="354"/>
      </w:pPr>
      <w:r>
        <w:t>Możliwość pobierania aplikacji sterującej z centralnej jednostki sterującej lub panelu systemowego pełniącego funkcję serwera aplikacji i licencji.</w:t>
      </w:r>
    </w:p>
    <w:p w14:paraId="13E7571E" w14:textId="518898A7" w:rsidR="007D706F" w:rsidRDefault="007D706F" w:rsidP="002B746B">
      <w:pPr>
        <w:pStyle w:val="Akapitzlist"/>
        <w:numPr>
          <w:ilvl w:val="1"/>
          <w:numId w:val="41"/>
        </w:numPr>
        <w:spacing w:before="120" w:after="0" w:line="276" w:lineRule="auto"/>
        <w:ind w:left="567" w:hanging="354"/>
      </w:pPr>
      <w:r>
        <w:t>Obsługa licencji pływających przechowywanych na centralnej jednostce sterującej lub kompatybilnym panelu systemowym.</w:t>
      </w:r>
    </w:p>
    <w:p w14:paraId="2D05DD8F" w14:textId="3207A527" w:rsidR="007D706F" w:rsidRDefault="007D706F" w:rsidP="002B746B">
      <w:pPr>
        <w:pStyle w:val="Akapitzlist"/>
        <w:numPr>
          <w:ilvl w:val="1"/>
          <w:numId w:val="41"/>
        </w:numPr>
        <w:spacing w:before="120" w:after="0" w:line="276" w:lineRule="auto"/>
        <w:ind w:left="567" w:hanging="354"/>
      </w:pPr>
      <w:r>
        <w:t>Możliwość pracy w trybie pełnoekranowym.</w:t>
      </w:r>
    </w:p>
    <w:p w14:paraId="5511919D" w14:textId="251C9888" w:rsidR="007D706F" w:rsidRDefault="007D706F" w:rsidP="002B746B">
      <w:pPr>
        <w:pStyle w:val="Akapitzlist"/>
        <w:numPr>
          <w:ilvl w:val="1"/>
          <w:numId w:val="41"/>
        </w:numPr>
        <w:spacing w:before="120" w:after="0" w:line="276" w:lineRule="auto"/>
        <w:ind w:left="567" w:hanging="354"/>
      </w:pPr>
      <w:r>
        <w:t>Możliwość wyświetlania strumienia wideo na żywo.</w:t>
      </w:r>
    </w:p>
    <w:p w14:paraId="1E0C05A2" w14:textId="5179EDE0" w:rsidR="007D706F" w:rsidRDefault="007D706F" w:rsidP="002B746B">
      <w:pPr>
        <w:pStyle w:val="Akapitzlist"/>
        <w:numPr>
          <w:ilvl w:val="1"/>
          <w:numId w:val="41"/>
        </w:numPr>
        <w:spacing w:before="120" w:after="0" w:line="276" w:lineRule="auto"/>
        <w:ind w:left="567" w:hanging="354"/>
      </w:pPr>
      <w:r>
        <w:t>Obsługa strumieni wideo z wykorzystaniem co najmniej protokołów HTTP, RTSP, RTP i SDP oraz formatu MJPEG.</w:t>
      </w:r>
    </w:p>
    <w:p w14:paraId="4E40EA46" w14:textId="4AE3B147" w:rsidR="007D706F" w:rsidRDefault="007D706F" w:rsidP="002B746B">
      <w:pPr>
        <w:pStyle w:val="Akapitzlist"/>
        <w:numPr>
          <w:ilvl w:val="1"/>
          <w:numId w:val="41"/>
        </w:numPr>
        <w:spacing w:before="120" w:after="0" w:line="276" w:lineRule="auto"/>
        <w:ind w:left="567" w:hanging="354"/>
      </w:pPr>
      <w:r>
        <w:t>Możliwość wysyłania komend IP do urządzeń sterowanych przez sieć.</w:t>
      </w:r>
    </w:p>
    <w:p w14:paraId="2B6851C7" w14:textId="4E6939C3" w:rsidR="007D706F" w:rsidRDefault="007D706F" w:rsidP="002B746B">
      <w:pPr>
        <w:pStyle w:val="Akapitzlist"/>
        <w:numPr>
          <w:ilvl w:val="1"/>
          <w:numId w:val="41"/>
        </w:numPr>
        <w:spacing w:before="120" w:after="0" w:line="276" w:lineRule="auto"/>
        <w:ind w:left="567" w:hanging="354"/>
      </w:pPr>
      <w:r>
        <w:t>Interfejs musi umożliwiać sterowanie podstawowymi funkcjami systemu AV, w szczególności włączaniem i wyłączaniem urządzeń, wyborem źródeł sygnału, sterowaniem projektorem lub monitorem, ekranem projekcyjnym, przełączaniem sygnałów oraz regulacją parametrów urządzeń.</w:t>
      </w:r>
    </w:p>
    <w:p w14:paraId="5C160AAB" w14:textId="6E798ED2" w:rsidR="007D706F" w:rsidRDefault="007D706F" w:rsidP="002B746B">
      <w:pPr>
        <w:pStyle w:val="Akapitzlist"/>
        <w:numPr>
          <w:ilvl w:val="1"/>
          <w:numId w:val="41"/>
        </w:numPr>
        <w:spacing w:before="120" w:after="0" w:line="276" w:lineRule="auto"/>
        <w:ind w:left="567" w:hanging="354"/>
      </w:pPr>
      <w:r>
        <w:t>Aplikacja musi umożliwiać sterowanie oświetleniem, w tym co najmniej włączanie i wyłączanie obwodów, wywoływanie zdefiniowanych scen świetlnych oraz regulację poziomu oświetlenia, jeśli funkcję taką obsługuje zintegrowany system oświetleniowy.</w:t>
      </w:r>
    </w:p>
    <w:p w14:paraId="54A437FB" w14:textId="16115CCA" w:rsidR="007D706F" w:rsidRDefault="007D706F" w:rsidP="002B746B">
      <w:pPr>
        <w:pStyle w:val="Akapitzlist"/>
        <w:numPr>
          <w:ilvl w:val="1"/>
          <w:numId w:val="41"/>
        </w:numPr>
        <w:spacing w:before="120" w:after="0" w:line="276" w:lineRule="auto"/>
        <w:ind w:left="567" w:hanging="354"/>
      </w:pPr>
      <w:r>
        <w:lastRenderedPageBreak/>
        <w:t>Aplikacja musi umożliwiać sterowanie żaluzjami i roletami, w szczególności podnoszenie, opuszczanie, zatrzymanie oraz wybór zaprogramowanych położeń, jeżeli funkcje te są obsługiwane przez zastosowane napędy i system automatyki.</w:t>
      </w:r>
    </w:p>
    <w:p w14:paraId="3B048DAC" w14:textId="7CCE8FFA" w:rsidR="007D706F" w:rsidRDefault="007D706F" w:rsidP="002B746B">
      <w:pPr>
        <w:pStyle w:val="Akapitzlist"/>
        <w:numPr>
          <w:ilvl w:val="1"/>
          <w:numId w:val="41"/>
        </w:numPr>
        <w:spacing w:before="120" w:after="0" w:line="276" w:lineRule="auto"/>
        <w:ind w:left="567" w:hanging="354"/>
      </w:pPr>
      <w:r>
        <w:t>Aplikacja musi umożliwiać wyświetlanie aktualnych stanów systemu, w tym co najmniej informacji o dostępności urządzeń, stanie pracy urządzeń AV, aktywnym źródle, wybranej scenie oraz stanie elementów sterowanych.</w:t>
      </w:r>
    </w:p>
    <w:sectPr w:rsidR="007D706F">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742754" w14:textId="77777777" w:rsidR="007178BC" w:rsidRDefault="007178BC" w:rsidP="00125EFE">
      <w:pPr>
        <w:spacing w:after="0" w:line="240" w:lineRule="auto"/>
      </w:pPr>
      <w:r>
        <w:separator/>
      </w:r>
    </w:p>
  </w:endnote>
  <w:endnote w:type="continuationSeparator" w:id="0">
    <w:p w14:paraId="5351BF97" w14:textId="77777777" w:rsidR="007178BC" w:rsidRDefault="007178BC" w:rsidP="00125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744FBB" w14:textId="77777777" w:rsidR="007178BC" w:rsidRDefault="007178BC" w:rsidP="00125EFE">
      <w:pPr>
        <w:spacing w:after="0" w:line="240" w:lineRule="auto"/>
      </w:pPr>
      <w:r>
        <w:separator/>
      </w:r>
    </w:p>
  </w:footnote>
  <w:footnote w:type="continuationSeparator" w:id="0">
    <w:p w14:paraId="18534633" w14:textId="77777777" w:rsidR="007178BC" w:rsidRDefault="007178BC" w:rsidP="00125E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773643" w14:textId="4B45B03A" w:rsidR="000C39E5" w:rsidRDefault="000C39E5" w:rsidP="000C39E5">
    <w:pPr>
      <w:pStyle w:val="Nagwek"/>
      <w:jc w:val="center"/>
    </w:pPr>
    <w:r>
      <w:rPr>
        <w:noProof/>
        <w:lang w:eastAsia="pl-PL"/>
      </w:rPr>
      <w:drawing>
        <wp:inline distT="0" distB="0" distL="0" distR="0" wp14:anchorId="68C94A11" wp14:editId="3B835C43">
          <wp:extent cx="4322445" cy="734695"/>
          <wp:effectExtent l="0" t="0" r="1905"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2445" cy="73469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01B85"/>
    <w:multiLevelType w:val="hybridMultilevel"/>
    <w:tmpl w:val="07080F34"/>
    <w:lvl w:ilvl="0" w:tplc="1D8AB694">
      <w:start w:val="1"/>
      <w:numFmt w:val="lowerLetter"/>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1AC47FC"/>
    <w:multiLevelType w:val="hybridMultilevel"/>
    <w:tmpl w:val="B322A3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1D87B3F"/>
    <w:multiLevelType w:val="hybridMultilevel"/>
    <w:tmpl w:val="D4A8F10A"/>
    <w:lvl w:ilvl="0" w:tplc="1D8AB694">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2663E3B"/>
    <w:multiLevelType w:val="hybridMultilevel"/>
    <w:tmpl w:val="3DC07568"/>
    <w:lvl w:ilvl="0" w:tplc="1D8AB694">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4F979DF"/>
    <w:multiLevelType w:val="hybridMultilevel"/>
    <w:tmpl w:val="5BA2F2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7700372"/>
    <w:multiLevelType w:val="hybridMultilevel"/>
    <w:tmpl w:val="A7C6F0A0"/>
    <w:lvl w:ilvl="0" w:tplc="0415000F">
      <w:start w:val="1"/>
      <w:numFmt w:val="decimal"/>
      <w:lvlText w:val="%1."/>
      <w:lvlJc w:val="left"/>
      <w:pPr>
        <w:ind w:left="720" w:hanging="360"/>
      </w:pPr>
      <w:rPr>
        <w:rFonts w:hint="default"/>
      </w:rPr>
    </w:lvl>
    <w:lvl w:ilvl="1" w:tplc="2D3008E4">
      <w:numFmt w:val="bullet"/>
      <w:lvlText w:val="•"/>
      <w:lvlJc w:val="left"/>
      <w:pPr>
        <w:ind w:left="1490" w:hanging="780"/>
      </w:pPr>
      <w:rPr>
        <w:rFonts w:ascii="Calibri" w:eastAsiaTheme="minorHAnsi" w:hAnsi="Calibri" w:cs="Calibr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7E922AD"/>
    <w:multiLevelType w:val="hybridMultilevel"/>
    <w:tmpl w:val="1272E5CA"/>
    <w:lvl w:ilvl="0" w:tplc="1D8AB694">
      <w:start w:val="1"/>
      <w:numFmt w:val="lowerLetter"/>
      <w:lvlText w:val="%1)"/>
      <w:lvlJc w:val="left"/>
      <w:pPr>
        <w:ind w:left="720" w:hanging="360"/>
      </w:pPr>
      <w:rPr>
        <w:rFonts w:hint="default"/>
        <w:b w:val="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1662064"/>
    <w:multiLevelType w:val="multilevel"/>
    <w:tmpl w:val="9FB2E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6F2057A"/>
    <w:multiLevelType w:val="hybridMultilevel"/>
    <w:tmpl w:val="730E4C88"/>
    <w:lvl w:ilvl="0" w:tplc="1D8AB694">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8897E0B"/>
    <w:multiLevelType w:val="hybridMultilevel"/>
    <w:tmpl w:val="8294E62E"/>
    <w:lvl w:ilvl="0" w:tplc="1D8AB694">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AF30F98"/>
    <w:multiLevelType w:val="hybridMultilevel"/>
    <w:tmpl w:val="7904FCF6"/>
    <w:lvl w:ilvl="0" w:tplc="1D8AB694">
      <w:start w:val="1"/>
      <w:numFmt w:val="lowerLetter"/>
      <w:lvlText w:val="%1)"/>
      <w:lvlJc w:val="left"/>
      <w:pPr>
        <w:ind w:left="720" w:hanging="360"/>
      </w:pPr>
      <w:rPr>
        <w:rFonts w:hint="default"/>
        <w:b w:val="0"/>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56F5713"/>
    <w:multiLevelType w:val="hybridMultilevel"/>
    <w:tmpl w:val="5F8870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AB06CAB"/>
    <w:multiLevelType w:val="hybridMultilevel"/>
    <w:tmpl w:val="52948C8A"/>
    <w:lvl w:ilvl="0" w:tplc="1D8AB694">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D0146DF"/>
    <w:multiLevelType w:val="hybridMultilevel"/>
    <w:tmpl w:val="230628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E9133DF"/>
    <w:multiLevelType w:val="hybridMultilevel"/>
    <w:tmpl w:val="5A2A6C62"/>
    <w:lvl w:ilvl="0" w:tplc="1D8AB694">
      <w:start w:val="1"/>
      <w:numFmt w:val="lowerLetter"/>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2970126"/>
    <w:multiLevelType w:val="hybridMultilevel"/>
    <w:tmpl w:val="7F8453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2BD396F"/>
    <w:multiLevelType w:val="hybridMultilevel"/>
    <w:tmpl w:val="499EA7E0"/>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7">
    <w:nsid w:val="34EF644D"/>
    <w:multiLevelType w:val="multilevel"/>
    <w:tmpl w:val="62723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5F53342"/>
    <w:multiLevelType w:val="hybridMultilevel"/>
    <w:tmpl w:val="3F4824DA"/>
    <w:lvl w:ilvl="0" w:tplc="1D8AB694">
      <w:start w:val="1"/>
      <w:numFmt w:val="lowerLetter"/>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7382940"/>
    <w:multiLevelType w:val="hybridMultilevel"/>
    <w:tmpl w:val="6FFA52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7533D17"/>
    <w:multiLevelType w:val="hybridMultilevel"/>
    <w:tmpl w:val="D158D0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8BB1878"/>
    <w:multiLevelType w:val="hybridMultilevel"/>
    <w:tmpl w:val="F490F4D6"/>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2">
    <w:nsid w:val="391F11DB"/>
    <w:multiLevelType w:val="hybridMultilevel"/>
    <w:tmpl w:val="67AC94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941402E"/>
    <w:multiLevelType w:val="hybridMultilevel"/>
    <w:tmpl w:val="C2362130"/>
    <w:lvl w:ilvl="0" w:tplc="1D8AB694">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D511A26"/>
    <w:multiLevelType w:val="hybridMultilevel"/>
    <w:tmpl w:val="6C961A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3E0A5180"/>
    <w:multiLevelType w:val="hybridMultilevel"/>
    <w:tmpl w:val="AD645A4E"/>
    <w:lvl w:ilvl="0" w:tplc="1D8AB694">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3F2A0199"/>
    <w:multiLevelType w:val="hybridMultilevel"/>
    <w:tmpl w:val="134C9F6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nsid w:val="40BC38FD"/>
    <w:multiLevelType w:val="hybridMultilevel"/>
    <w:tmpl w:val="03DC4EB2"/>
    <w:lvl w:ilvl="0" w:tplc="1D8AB694">
      <w:start w:val="1"/>
      <w:numFmt w:val="lowerLetter"/>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87209DA"/>
    <w:multiLevelType w:val="hybridMultilevel"/>
    <w:tmpl w:val="2C54E4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F3322B2"/>
    <w:multiLevelType w:val="hybridMultilevel"/>
    <w:tmpl w:val="86EC6AD2"/>
    <w:lvl w:ilvl="0" w:tplc="1D8AB694">
      <w:start w:val="1"/>
      <w:numFmt w:val="lowerLetter"/>
      <w:lvlText w:val="%1)"/>
      <w:lvlJc w:val="left"/>
      <w:pPr>
        <w:ind w:left="720" w:hanging="360"/>
      </w:pPr>
      <w:rPr>
        <w:rFonts w:hint="default"/>
        <w:b w:val="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A775387"/>
    <w:multiLevelType w:val="hybridMultilevel"/>
    <w:tmpl w:val="54C6AF10"/>
    <w:lvl w:ilvl="0" w:tplc="1D8AB694">
      <w:start w:val="1"/>
      <w:numFmt w:val="lowerLetter"/>
      <w:lvlText w:val="%1)"/>
      <w:lvlJc w:val="left"/>
      <w:pPr>
        <w:ind w:left="720" w:hanging="360"/>
      </w:pPr>
      <w:rPr>
        <w:rFonts w:hint="default"/>
        <w:b w:val="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B9D6E6A"/>
    <w:multiLevelType w:val="multilevel"/>
    <w:tmpl w:val="5E9CF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5CE75412"/>
    <w:multiLevelType w:val="hybridMultilevel"/>
    <w:tmpl w:val="FE7EDB14"/>
    <w:lvl w:ilvl="0" w:tplc="1D8AB694">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D7C2F16"/>
    <w:multiLevelType w:val="hybridMultilevel"/>
    <w:tmpl w:val="5B0899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06551A1"/>
    <w:multiLevelType w:val="multilevel"/>
    <w:tmpl w:val="931AB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E910A0E"/>
    <w:multiLevelType w:val="hybridMultilevel"/>
    <w:tmpl w:val="F992009E"/>
    <w:lvl w:ilvl="0" w:tplc="1D8AB694">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F0279B0"/>
    <w:multiLevelType w:val="hybridMultilevel"/>
    <w:tmpl w:val="3E9659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281028F"/>
    <w:multiLevelType w:val="multilevel"/>
    <w:tmpl w:val="932CA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730F69DF"/>
    <w:multiLevelType w:val="multilevel"/>
    <w:tmpl w:val="AC9A0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74827B29"/>
    <w:multiLevelType w:val="hybridMultilevel"/>
    <w:tmpl w:val="3BCA15C2"/>
    <w:lvl w:ilvl="0" w:tplc="6F1AB842">
      <w:numFmt w:val="bullet"/>
      <w:lvlText w:val="-"/>
      <w:lvlJc w:val="left"/>
      <w:pPr>
        <w:ind w:left="1440" w:hanging="360"/>
      </w:pPr>
      <w:rPr>
        <w:rFonts w:ascii="Calibri" w:eastAsia="Times New Roman" w:hAnsi="Calibri" w:cs="Calibr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0">
    <w:nsid w:val="77FD673E"/>
    <w:multiLevelType w:val="hybridMultilevel"/>
    <w:tmpl w:val="0728EC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AB41203"/>
    <w:multiLevelType w:val="multilevel"/>
    <w:tmpl w:val="8280C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7D3B0419"/>
    <w:multiLevelType w:val="hybridMultilevel"/>
    <w:tmpl w:val="E878F4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1"/>
  </w:num>
  <w:num w:numId="3">
    <w:abstractNumId w:val="40"/>
  </w:num>
  <w:num w:numId="4">
    <w:abstractNumId w:val="8"/>
  </w:num>
  <w:num w:numId="5">
    <w:abstractNumId w:val="12"/>
  </w:num>
  <w:num w:numId="6">
    <w:abstractNumId w:val="24"/>
  </w:num>
  <w:num w:numId="7">
    <w:abstractNumId w:val="23"/>
  </w:num>
  <w:num w:numId="8">
    <w:abstractNumId w:val="19"/>
  </w:num>
  <w:num w:numId="9">
    <w:abstractNumId w:val="18"/>
  </w:num>
  <w:num w:numId="10">
    <w:abstractNumId w:val="29"/>
  </w:num>
  <w:num w:numId="11">
    <w:abstractNumId w:val="20"/>
  </w:num>
  <w:num w:numId="12">
    <w:abstractNumId w:val="9"/>
  </w:num>
  <w:num w:numId="13">
    <w:abstractNumId w:val="42"/>
  </w:num>
  <w:num w:numId="14">
    <w:abstractNumId w:val="27"/>
  </w:num>
  <w:num w:numId="15">
    <w:abstractNumId w:val="10"/>
  </w:num>
  <w:num w:numId="16">
    <w:abstractNumId w:val="22"/>
  </w:num>
  <w:num w:numId="17">
    <w:abstractNumId w:val="0"/>
  </w:num>
  <w:num w:numId="18">
    <w:abstractNumId w:val="30"/>
  </w:num>
  <w:num w:numId="19">
    <w:abstractNumId w:val="33"/>
  </w:num>
  <w:num w:numId="20">
    <w:abstractNumId w:val="32"/>
  </w:num>
  <w:num w:numId="21">
    <w:abstractNumId w:val="28"/>
  </w:num>
  <w:num w:numId="22">
    <w:abstractNumId w:val="14"/>
  </w:num>
  <w:num w:numId="23">
    <w:abstractNumId w:val="6"/>
  </w:num>
  <w:num w:numId="24">
    <w:abstractNumId w:val="36"/>
  </w:num>
  <w:num w:numId="25">
    <w:abstractNumId w:val="2"/>
  </w:num>
  <w:num w:numId="26">
    <w:abstractNumId w:val="13"/>
  </w:num>
  <w:num w:numId="27">
    <w:abstractNumId w:val="3"/>
  </w:num>
  <w:num w:numId="28">
    <w:abstractNumId w:val="15"/>
  </w:num>
  <w:num w:numId="29">
    <w:abstractNumId w:val="35"/>
  </w:num>
  <w:num w:numId="30">
    <w:abstractNumId w:val="1"/>
  </w:num>
  <w:num w:numId="31">
    <w:abstractNumId w:val="25"/>
  </w:num>
  <w:num w:numId="32">
    <w:abstractNumId w:val="31"/>
  </w:num>
  <w:num w:numId="33">
    <w:abstractNumId w:val="34"/>
  </w:num>
  <w:num w:numId="34">
    <w:abstractNumId w:val="7"/>
  </w:num>
  <w:num w:numId="35">
    <w:abstractNumId w:val="41"/>
  </w:num>
  <w:num w:numId="36">
    <w:abstractNumId w:val="38"/>
  </w:num>
  <w:num w:numId="37">
    <w:abstractNumId w:val="37"/>
  </w:num>
  <w:num w:numId="38">
    <w:abstractNumId w:val="17"/>
  </w:num>
  <w:num w:numId="39">
    <w:abstractNumId w:val="26"/>
  </w:num>
  <w:num w:numId="40">
    <w:abstractNumId w:val="39"/>
  </w:num>
  <w:num w:numId="41">
    <w:abstractNumId w:val="5"/>
  </w:num>
  <w:num w:numId="42">
    <w:abstractNumId w:val="16"/>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4CE"/>
    <w:rsid w:val="00013B88"/>
    <w:rsid w:val="00013CA6"/>
    <w:rsid w:val="00025CF4"/>
    <w:rsid w:val="000571FB"/>
    <w:rsid w:val="00080A4D"/>
    <w:rsid w:val="00081FA8"/>
    <w:rsid w:val="00093167"/>
    <w:rsid w:val="000A14C1"/>
    <w:rsid w:val="000B5ED8"/>
    <w:rsid w:val="000C39E5"/>
    <w:rsid w:val="000D3A16"/>
    <w:rsid w:val="000F4233"/>
    <w:rsid w:val="0010209C"/>
    <w:rsid w:val="00104DCE"/>
    <w:rsid w:val="001144CB"/>
    <w:rsid w:val="00125EFE"/>
    <w:rsid w:val="00131059"/>
    <w:rsid w:val="00164676"/>
    <w:rsid w:val="001765B1"/>
    <w:rsid w:val="00177291"/>
    <w:rsid w:val="001A64CE"/>
    <w:rsid w:val="001B7B43"/>
    <w:rsid w:val="001D143C"/>
    <w:rsid w:val="00222128"/>
    <w:rsid w:val="0025191D"/>
    <w:rsid w:val="00254669"/>
    <w:rsid w:val="00275A75"/>
    <w:rsid w:val="002A38F7"/>
    <w:rsid w:val="002A534A"/>
    <w:rsid w:val="002B746B"/>
    <w:rsid w:val="002C472A"/>
    <w:rsid w:val="00317BCB"/>
    <w:rsid w:val="00325055"/>
    <w:rsid w:val="0033238D"/>
    <w:rsid w:val="00350693"/>
    <w:rsid w:val="0036256B"/>
    <w:rsid w:val="00385383"/>
    <w:rsid w:val="00391641"/>
    <w:rsid w:val="003B4A08"/>
    <w:rsid w:val="003F27E0"/>
    <w:rsid w:val="003F6999"/>
    <w:rsid w:val="0041656A"/>
    <w:rsid w:val="0043047F"/>
    <w:rsid w:val="00442EE8"/>
    <w:rsid w:val="00444A80"/>
    <w:rsid w:val="00445A56"/>
    <w:rsid w:val="004543F0"/>
    <w:rsid w:val="00461550"/>
    <w:rsid w:val="00464E76"/>
    <w:rsid w:val="00476CFA"/>
    <w:rsid w:val="004823F0"/>
    <w:rsid w:val="00483250"/>
    <w:rsid w:val="004A3189"/>
    <w:rsid w:val="004A4EE7"/>
    <w:rsid w:val="004C1D36"/>
    <w:rsid w:val="0051319B"/>
    <w:rsid w:val="00523356"/>
    <w:rsid w:val="0053025E"/>
    <w:rsid w:val="005539D4"/>
    <w:rsid w:val="0055460D"/>
    <w:rsid w:val="005A5035"/>
    <w:rsid w:val="005B3E92"/>
    <w:rsid w:val="005C7E31"/>
    <w:rsid w:val="005D3A4D"/>
    <w:rsid w:val="005D4EE6"/>
    <w:rsid w:val="005D7339"/>
    <w:rsid w:val="005F1361"/>
    <w:rsid w:val="006010E3"/>
    <w:rsid w:val="00624CB8"/>
    <w:rsid w:val="00662DEC"/>
    <w:rsid w:val="006C44E0"/>
    <w:rsid w:val="006F569E"/>
    <w:rsid w:val="00716963"/>
    <w:rsid w:val="007178BC"/>
    <w:rsid w:val="00721D70"/>
    <w:rsid w:val="007248C8"/>
    <w:rsid w:val="00725FDB"/>
    <w:rsid w:val="00752200"/>
    <w:rsid w:val="00772E52"/>
    <w:rsid w:val="007740E4"/>
    <w:rsid w:val="00776674"/>
    <w:rsid w:val="00782730"/>
    <w:rsid w:val="00797668"/>
    <w:rsid w:val="007B6122"/>
    <w:rsid w:val="007D706F"/>
    <w:rsid w:val="008048BE"/>
    <w:rsid w:val="00807AC7"/>
    <w:rsid w:val="00813777"/>
    <w:rsid w:val="0083720C"/>
    <w:rsid w:val="0086638D"/>
    <w:rsid w:val="008A230D"/>
    <w:rsid w:val="008A4187"/>
    <w:rsid w:val="0091790B"/>
    <w:rsid w:val="00981BD3"/>
    <w:rsid w:val="00984668"/>
    <w:rsid w:val="00986056"/>
    <w:rsid w:val="009C55F4"/>
    <w:rsid w:val="009C6D2B"/>
    <w:rsid w:val="00A2732E"/>
    <w:rsid w:val="00A31A1C"/>
    <w:rsid w:val="00A6003C"/>
    <w:rsid w:val="00A84D15"/>
    <w:rsid w:val="00AA2B12"/>
    <w:rsid w:val="00AC08ED"/>
    <w:rsid w:val="00AC1FB3"/>
    <w:rsid w:val="00AE3658"/>
    <w:rsid w:val="00B05C1F"/>
    <w:rsid w:val="00B2372C"/>
    <w:rsid w:val="00B37B5A"/>
    <w:rsid w:val="00B4184E"/>
    <w:rsid w:val="00B61B4A"/>
    <w:rsid w:val="00B914F5"/>
    <w:rsid w:val="00BC74D0"/>
    <w:rsid w:val="00BF3687"/>
    <w:rsid w:val="00C02B47"/>
    <w:rsid w:val="00C2540E"/>
    <w:rsid w:val="00CB0389"/>
    <w:rsid w:val="00D119EA"/>
    <w:rsid w:val="00D37889"/>
    <w:rsid w:val="00D63859"/>
    <w:rsid w:val="00D820EC"/>
    <w:rsid w:val="00D9265F"/>
    <w:rsid w:val="00D96E78"/>
    <w:rsid w:val="00DA29E7"/>
    <w:rsid w:val="00DC0E2B"/>
    <w:rsid w:val="00DD48AA"/>
    <w:rsid w:val="00E33D95"/>
    <w:rsid w:val="00E343F0"/>
    <w:rsid w:val="00E56B3F"/>
    <w:rsid w:val="00ED1F0F"/>
    <w:rsid w:val="00F266DB"/>
    <w:rsid w:val="00F510E6"/>
    <w:rsid w:val="00F7231E"/>
    <w:rsid w:val="00F74E49"/>
    <w:rsid w:val="00F90264"/>
    <w:rsid w:val="00FB2CED"/>
    <w:rsid w:val="00FC7136"/>
    <w:rsid w:val="00FD6F33"/>
    <w:rsid w:val="00FD7E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DB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2">
    <w:name w:val="heading 2"/>
    <w:basedOn w:val="Normalny"/>
    <w:next w:val="Normalny"/>
    <w:link w:val="Nagwek2Znak"/>
    <w:uiPriority w:val="9"/>
    <w:semiHidden/>
    <w:unhideWhenUsed/>
    <w:qFormat/>
    <w:rsid w:val="00DD4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B0389"/>
    <w:pPr>
      <w:ind w:left="720"/>
      <w:contextualSpacing/>
    </w:pPr>
  </w:style>
  <w:style w:type="character" w:styleId="Odwoaniedokomentarza">
    <w:name w:val="annotation reference"/>
    <w:basedOn w:val="Domylnaczcionkaakapitu"/>
    <w:uiPriority w:val="99"/>
    <w:semiHidden/>
    <w:unhideWhenUsed/>
    <w:rsid w:val="0025191D"/>
    <w:rPr>
      <w:sz w:val="16"/>
      <w:szCs w:val="16"/>
    </w:rPr>
  </w:style>
  <w:style w:type="paragraph" w:styleId="Tekstkomentarza">
    <w:name w:val="annotation text"/>
    <w:basedOn w:val="Normalny"/>
    <w:link w:val="TekstkomentarzaZnak"/>
    <w:uiPriority w:val="99"/>
    <w:unhideWhenUsed/>
    <w:rsid w:val="0025191D"/>
    <w:pPr>
      <w:spacing w:line="240" w:lineRule="auto"/>
    </w:pPr>
    <w:rPr>
      <w:sz w:val="20"/>
      <w:szCs w:val="20"/>
    </w:rPr>
  </w:style>
  <w:style w:type="character" w:customStyle="1" w:styleId="TekstkomentarzaZnak">
    <w:name w:val="Tekst komentarza Znak"/>
    <w:basedOn w:val="Domylnaczcionkaakapitu"/>
    <w:link w:val="Tekstkomentarza"/>
    <w:uiPriority w:val="99"/>
    <w:rsid w:val="0025191D"/>
    <w:rPr>
      <w:sz w:val="20"/>
      <w:szCs w:val="20"/>
    </w:rPr>
  </w:style>
  <w:style w:type="paragraph" w:styleId="Tematkomentarza">
    <w:name w:val="annotation subject"/>
    <w:basedOn w:val="Tekstkomentarza"/>
    <w:next w:val="Tekstkomentarza"/>
    <w:link w:val="TematkomentarzaZnak"/>
    <w:uiPriority w:val="99"/>
    <w:semiHidden/>
    <w:unhideWhenUsed/>
    <w:rsid w:val="0025191D"/>
    <w:rPr>
      <w:b/>
      <w:bCs/>
    </w:rPr>
  </w:style>
  <w:style w:type="character" w:customStyle="1" w:styleId="TematkomentarzaZnak">
    <w:name w:val="Temat komentarza Znak"/>
    <w:basedOn w:val="TekstkomentarzaZnak"/>
    <w:link w:val="Tematkomentarza"/>
    <w:uiPriority w:val="99"/>
    <w:semiHidden/>
    <w:rsid w:val="0025191D"/>
    <w:rPr>
      <w:b/>
      <w:bCs/>
      <w:sz w:val="20"/>
      <w:szCs w:val="20"/>
    </w:rPr>
  </w:style>
  <w:style w:type="paragraph" w:styleId="Nagwek">
    <w:name w:val="header"/>
    <w:basedOn w:val="Normalny"/>
    <w:link w:val="NagwekZnak"/>
    <w:uiPriority w:val="99"/>
    <w:unhideWhenUsed/>
    <w:rsid w:val="00125EF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25EFE"/>
  </w:style>
  <w:style w:type="paragraph" w:styleId="Stopka">
    <w:name w:val="footer"/>
    <w:basedOn w:val="Normalny"/>
    <w:link w:val="StopkaZnak"/>
    <w:uiPriority w:val="99"/>
    <w:unhideWhenUsed/>
    <w:rsid w:val="00125EF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25EFE"/>
  </w:style>
  <w:style w:type="paragraph" w:styleId="Poprawka">
    <w:name w:val="Revision"/>
    <w:hidden/>
    <w:uiPriority w:val="99"/>
    <w:semiHidden/>
    <w:rsid w:val="00782730"/>
    <w:pPr>
      <w:spacing w:after="0" w:line="240" w:lineRule="auto"/>
    </w:pPr>
  </w:style>
  <w:style w:type="character" w:customStyle="1" w:styleId="Nagwek2Znak">
    <w:name w:val="Nagłówek 2 Znak"/>
    <w:basedOn w:val="Domylnaczcionkaakapitu"/>
    <w:link w:val="Nagwek2"/>
    <w:uiPriority w:val="9"/>
    <w:semiHidden/>
    <w:rsid w:val="00DD48AA"/>
    <w:rPr>
      <w:rFonts w:asciiTheme="majorHAnsi" w:eastAsiaTheme="majorEastAsia" w:hAnsiTheme="majorHAnsi" w:cstheme="majorBidi"/>
      <w:color w:val="2F5496" w:themeColor="accent1" w:themeShade="BF"/>
      <w:sz w:val="26"/>
      <w:szCs w:val="26"/>
    </w:rPr>
  </w:style>
  <w:style w:type="paragraph" w:styleId="Tekstdymka">
    <w:name w:val="Balloon Text"/>
    <w:basedOn w:val="Normalny"/>
    <w:link w:val="TekstdymkaZnak"/>
    <w:uiPriority w:val="99"/>
    <w:semiHidden/>
    <w:unhideWhenUsed/>
    <w:rsid w:val="0091790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1790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2">
    <w:name w:val="heading 2"/>
    <w:basedOn w:val="Normalny"/>
    <w:next w:val="Normalny"/>
    <w:link w:val="Nagwek2Znak"/>
    <w:uiPriority w:val="9"/>
    <w:semiHidden/>
    <w:unhideWhenUsed/>
    <w:qFormat/>
    <w:rsid w:val="00DD4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B0389"/>
    <w:pPr>
      <w:ind w:left="720"/>
      <w:contextualSpacing/>
    </w:pPr>
  </w:style>
  <w:style w:type="character" w:styleId="Odwoaniedokomentarza">
    <w:name w:val="annotation reference"/>
    <w:basedOn w:val="Domylnaczcionkaakapitu"/>
    <w:uiPriority w:val="99"/>
    <w:semiHidden/>
    <w:unhideWhenUsed/>
    <w:rsid w:val="0025191D"/>
    <w:rPr>
      <w:sz w:val="16"/>
      <w:szCs w:val="16"/>
    </w:rPr>
  </w:style>
  <w:style w:type="paragraph" w:styleId="Tekstkomentarza">
    <w:name w:val="annotation text"/>
    <w:basedOn w:val="Normalny"/>
    <w:link w:val="TekstkomentarzaZnak"/>
    <w:uiPriority w:val="99"/>
    <w:unhideWhenUsed/>
    <w:rsid w:val="0025191D"/>
    <w:pPr>
      <w:spacing w:line="240" w:lineRule="auto"/>
    </w:pPr>
    <w:rPr>
      <w:sz w:val="20"/>
      <w:szCs w:val="20"/>
    </w:rPr>
  </w:style>
  <w:style w:type="character" w:customStyle="1" w:styleId="TekstkomentarzaZnak">
    <w:name w:val="Tekst komentarza Znak"/>
    <w:basedOn w:val="Domylnaczcionkaakapitu"/>
    <w:link w:val="Tekstkomentarza"/>
    <w:uiPriority w:val="99"/>
    <w:rsid w:val="0025191D"/>
    <w:rPr>
      <w:sz w:val="20"/>
      <w:szCs w:val="20"/>
    </w:rPr>
  </w:style>
  <w:style w:type="paragraph" w:styleId="Tematkomentarza">
    <w:name w:val="annotation subject"/>
    <w:basedOn w:val="Tekstkomentarza"/>
    <w:next w:val="Tekstkomentarza"/>
    <w:link w:val="TematkomentarzaZnak"/>
    <w:uiPriority w:val="99"/>
    <w:semiHidden/>
    <w:unhideWhenUsed/>
    <w:rsid w:val="0025191D"/>
    <w:rPr>
      <w:b/>
      <w:bCs/>
    </w:rPr>
  </w:style>
  <w:style w:type="character" w:customStyle="1" w:styleId="TematkomentarzaZnak">
    <w:name w:val="Temat komentarza Znak"/>
    <w:basedOn w:val="TekstkomentarzaZnak"/>
    <w:link w:val="Tematkomentarza"/>
    <w:uiPriority w:val="99"/>
    <w:semiHidden/>
    <w:rsid w:val="0025191D"/>
    <w:rPr>
      <w:b/>
      <w:bCs/>
      <w:sz w:val="20"/>
      <w:szCs w:val="20"/>
    </w:rPr>
  </w:style>
  <w:style w:type="paragraph" w:styleId="Nagwek">
    <w:name w:val="header"/>
    <w:basedOn w:val="Normalny"/>
    <w:link w:val="NagwekZnak"/>
    <w:uiPriority w:val="99"/>
    <w:unhideWhenUsed/>
    <w:rsid w:val="00125EF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25EFE"/>
  </w:style>
  <w:style w:type="paragraph" w:styleId="Stopka">
    <w:name w:val="footer"/>
    <w:basedOn w:val="Normalny"/>
    <w:link w:val="StopkaZnak"/>
    <w:uiPriority w:val="99"/>
    <w:unhideWhenUsed/>
    <w:rsid w:val="00125EF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25EFE"/>
  </w:style>
  <w:style w:type="paragraph" w:styleId="Poprawka">
    <w:name w:val="Revision"/>
    <w:hidden/>
    <w:uiPriority w:val="99"/>
    <w:semiHidden/>
    <w:rsid w:val="00782730"/>
    <w:pPr>
      <w:spacing w:after="0" w:line="240" w:lineRule="auto"/>
    </w:pPr>
  </w:style>
  <w:style w:type="character" w:customStyle="1" w:styleId="Nagwek2Znak">
    <w:name w:val="Nagłówek 2 Znak"/>
    <w:basedOn w:val="Domylnaczcionkaakapitu"/>
    <w:link w:val="Nagwek2"/>
    <w:uiPriority w:val="9"/>
    <w:semiHidden/>
    <w:rsid w:val="00DD48AA"/>
    <w:rPr>
      <w:rFonts w:asciiTheme="majorHAnsi" w:eastAsiaTheme="majorEastAsia" w:hAnsiTheme="majorHAnsi" w:cstheme="majorBidi"/>
      <w:color w:val="2F5496" w:themeColor="accent1" w:themeShade="BF"/>
      <w:sz w:val="26"/>
      <w:szCs w:val="26"/>
    </w:rPr>
  </w:style>
  <w:style w:type="paragraph" w:styleId="Tekstdymka">
    <w:name w:val="Balloon Text"/>
    <w:basedOn w:val="Normalny"/>
    <w:link w:val="TekstdymkaZnak"/>
    <w:uiPriority w:val="99"/>
    <w:semiHidden/>
    <w:unhideWhenUsed/>
    <w:rsid w:val="0091790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179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2068</Words>
  <Characters>12408</Characters>
  <Application>Microsoft Office Word</Application>
  <DocSecurity>0</DocSecurity>
  <Lines>103</Lines>
  <Paragraphs>28</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14448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2026-08-07T09:03:00Z</dcterms:created>
  <dcterms:modified xsi:type="dcterms:W3CDTF">2026-08-07T09:03:00Z</dcterms:modified>
</cp:coreProperties>
</file>