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D03" w:rsidRDefault="003B7D03" w:rsidP="003B7D03">
      <w:pPr>
        <w:spacing w:after="0" w:line="240" w:lineRule="auto"/>
        <w:jc w:val="center"/>
        <w:rPr>
          <w:rFonts w:ascii="Verdana" w:eastAsia="Times New Roman" w:hAnsi="Verdana" w:cs="Times New Roman"/>
          <w:b/>
          <w:sz w:val="14"/>
          <w:szCs w:val="14"/>
        </w:rPr>
      </w:pPr>
    </w:p>
    <w:p w:rsidR="003B7D03" w:rsidRPr="00491B0E" w:rsidRDefault="003B7D03" w:rsidP="003B7D03">
      <w:pPr>
        <w:spacing w:after="0" w:line="240" w:lineRule="auto"/>
        <w:jc w:val="center"/>
        <w:rPr>
          <w:rFonts w:ascii="Verdana" w:eastAsia="Times New Roman" w:hAnsi="Verdana" w:cs="Times New Roman"/>
          <w:b/>
          <w:sz w:val="14"/>
          <w:szCs w:val="14"/>
        </w:rPr>
      </w:pPr>
      <w:r w:rsidRPr="00491B0E">
        <w:rPr>
          <w:rFonts w:ascii="Verdana" w:eastAsia="Times New Roman" w:hAnsi="Verdana" w:cs="Times New Roman"/>
          <w:b/>
          <w:sz w:val="14"/>
          <w:szCs w:val="14"/>
        </w:rPr>
        <w:t>POŁĄCZENIE  NOWEJ  KONSTRUKCJI  NAWIERZCHNI  Z NAWIERZCHNIĄ  ISTNIEJĄCĄ</w:t>
      </w:r>
    </w:p>
    <w:p w:rsidR="003B7D03"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0" w:name="_Toc404150096"/>
      <w:bookmarkStart w:id="1" w:name="_Toc416830698"/>
      <w:bookmarkStart w:id="2" w:name="_Toc250368191"/>
      <w:r w:rsidRPr="00491B0E">
        <w:rPr>
          <w:rFonts w:ascii="Verdana" w:eastAsia="Times New Roman" w:hAnsi="Verdana" w:cs="Times New Roman"/>
          <w:b/>
          <w:bCs/>
          <w:kern w:val="36"/>
          <w:sz w:val="14"/>
          <w:szCs w:val="14"/>
        </w:rPr>
        <w:t>1. WSTĘP</w:t>
      </w:r>
      <w:bookmarkEnd w:id="0"/>
      <w:bookmarkEnd w:id="1"/>
      <w:bookmarkEnd w:id="2"/>
    </w:p>
    <w:p w:rsidR="003B7D03" w:rsidRPr="00491B0E" w:rsidRDefault="003B7D03" w:rsidP="003B7D03">
      <w:pPr>
        <w:spacing w:after="0" w:line="240" w:lineRule="auto"/>
        <w:outlineLvl w:val="1"/>
        <w:rPr>
          <w:rFonts w:ascii="Verdana" w:eastAsia="Times New Roman" w:hAnsi="Verdana" w:cs="Times New Roman"/>
          <w:b/>
          <w:bCs/>
          <w:sz w:val="14"/>
          <w:szCs w:val="14"/>
        </w:rPr>
      </w:pPr>
      <w:bookmarkStart w:id="3" w:name="_Toc405615031"/>
      <w:bookmarkStart w:id="4" w:name="_Toc407161179"/>
      <w:r w:rsidRPr="00491B0E">
        <w:rPr>
          <w:rFonts w:ascii="Verdana" w:eastAsia="Times New Roman" w:hAnsi="Verdana" w:cs="Times New Roman"/>
          <w:b/>
          <w:bCs/>
          <w:sz w:val="14"/>
          <w:szCs w:val="14"/>
        </w:rPr>
        <w:t>1.1. Przedmiot ST</w:t>
      </w:r>
      <w:bookmarkEnd w:id="3"/>
      <w:bookmarkEnd w:id="4"/>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Przedmiotem niniejszej </w:t>
      </w:r>
      <w:r>
        <w:rPr>
          <w:rFonts w:ascii="Verdana" w:eastAsia="Times New Roman" w:hAnsi="Verdana" w:cs="Times New Roman"/>
          <w:sz w:val="14"/>
          <w:szCs w:val="14"/>
        </w:rPr>
        <w:t>specyfikacji technicznej (</w:t>
      </w:r>
      <w:r w:rsidRPr="00491B0E">
        <w:rPr>
          <w:rFonts w:ascii="Verdana" w:eastAsia="Times New Roman" w:hAnsi="Verdana" w:cs="Times New Roman"/>
          <w:sz w:val="14"/>
          <w:szCs w:val="14"/>
        </w:rPr>
        <w:t>ST) są wymagania dotyczące wykonania i odbioru robót związanych z połączeniem nowej konstrukcji nawierzchni z nawierzchnią istniejącą.</w:t>
      </w:r>
    </w:p>
    <w:p w:rsidR="003B7D03" w:rsidRPr="00491B0E" w:rsidRDefault="003B7D03" w:rsidP="00347763">
      <w:pPr>
        <w:spacing w:after="0" w:line="240" w:lineRule="auto"/>
        <w:jc w:val="both"/>
        <w:outlineLvl w:val="1"/>
        <w:rPr>
          <w:rFonts w:ascii="Verdana" w:eastAsia="Times New Roman" w:hAnsi="Verdana" w:cs="Times New Roman"/>
          <w:b/>
          <w:bCs/>
          <w:sz w:val="14"/>
          <w:szCs w:val="14"/>
        </w:rPr>
      </w:pPr>
      <w:bookmarkStart w:id="5" w:name="_Toc405615032"/>
      <w:bookmarkStart w:id="6" w:name="_Toc407161180"/>
      <w:r>
        <w:rPr>
          <w:rFonts w:ascii="Verdana" w:eastAsia="Times New Roman" w:hAnsi="Verdana" w:cs="Times New Roman"/>
          <w:b/>
          <w:bCs/>
          <w:sz w:val="14"/>
          <w:szCs w:val="14"/>
        </w:rPr>
        <w:t xml:space="preserve">1.2. Zakres stosowania </w:t>
      </w:r>
      <w:r w:rsidRPr="00491B0E">
        <w:rPr>
          <w:rFonts w:ascii="Verdana" w:eastAsia="Times New Roman" w:hAnsi="Verdana" w:cs="Times New Roman"/>
          <w:b/>
          <w:bCs/>
          <w:sz w:val="14"/>
          <w:szCs w:val="14"/>
        </w:rPr>
        <w:t>ST</w:t>
      </w:r>
      <w:bookmarkEnd w:id="5"/>
      <w:bookmarkEnd w:id="6"/>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Specyfikacja</w:t>
      </w:r>
      <w:r>
        <w:rPr>
          <w:rFonts w:ascii="Verdana" w:eastAsia="Times New Roman" w:hAnsi="Verdana" w:cs="Times New Roman"/>
          <w:sz w:val="14"/>
          <w:szCs w:val="14"/>
        </w:rPr>
        <w:t xml:space="preserve"> </w:t>
      </w:r>
      <w:r w:rsidRPr="00491B0E">
        <w:rPr>
          <w:rFonts w:ascii="Verdana" w:eastAsia="Times New Roman" w:hAnsi="Verdana" w:cs="Times New Roman"/>
          <w:sz w:val="14"/>
          <w:szCs w:val="14"/>
        </w:rPr>
        <w:t xml:space="preserve">techniczna (ST) jest materiałem pomocniczym do  opracowania specyfikacji technicznej wykonania i odbioru robót budowlanych (ST) stosowanej jako dokument przetargowy i kontraktowy przy zlecaniu i realizacji robót na drogach </w:t>
      </w:r>
      <w:r>
        <w:rPr>
          <w:rFonts w:ascii="Verdana" w:eastAsia="Times New Roman" w:hAnsi="Verdana" w:cs="Times New Roman"/>
          <w:sz w:val="14"/>
          <w:szCs w:val="14"/>
        </w:rPr>
        <w:t xml:space="preserve"> powiatowych</w:t>
      </w:r>
      <w:r w:rsidRPr="00491B0E">
        <w:rPr>
          <w:rFonts w:ascii="Verdana" w:eastAsia="Times New Roman" w:hAnsi="Verdana" w:cs="Times New Roman"/>
          <w:sz w:val="14"/>
          <w:szCs w:val="14"/>
        </w:rPr>
        <w:t>.</w:t>
      </w:r>
    </w:p>
    <w:p w:rsidR="003B7D03" w:rsidRPr="00491B0E" w:rsidRDefault="003B7D03" w:rsidP="00347763">
      <w:pPr>
        <w:spacing w:after="0" w:line="240" w:lineRule="auto"/>
        <w:jc w:val="both"/>
        <w:outlineLvl w:val="1"/>
        <w:rPr>
          <w:rFonts w:ascii="Verdana" w:eastAsia="Times New Roman" w:hAnsi="Verdana" w:cs="Times New Roman"/>
          <w:b/>
          <w:bCs/>
          <w:sz w:val="14"/>
          <w:szCs w:val="14"/>
        </w:rPr>
      </w:pPr>
      <w:bookmarkStart w:id="7" w:name="_Toc405615033"/>
      <w:bookmarkStart w:id="8" w:name="_Toc407161181"/>
      <w:r w:rsidRPr="00491B0E">
        <w:rPr>
          <w:rFonts w:ascii="Verdana" w:eastAsia="Times New Roman" w:hAnsi="Verdana" w:cs="Times New Roman"/>
          <w:b/>
          <w:bCs/>
          <w:sz w:val="14"/>
          <w:szCs w:val="14"/>
        </w:rPr>
        <w:t>1.3. Zakres robót objętych ST</w:t>
      </w:r>
      <w:bookmarkEnd w:id="7"/>
      <w:bookmarkEnd w:id="8"/>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Ustalenia zawarte w niniejszej specyfikacji dotyczą zasad prowadzenia robót związanych z wykonaniem i odbiorem połączenia nowej konstrukcji nawierzchni, zawierającej asfaltową warstwę ścieralną i wiążącą z istniejącą nawierzchnią asfaltową na dowolnej podbudowie.</w:t>
      </w:r>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Połączenie polega na rozbiórce starej nawierzchni z wykonaniem schodkowania jej krawędzi, skropieniu warstwy wiążącej emulsją asfaltową </w:t>
      </w:r>
      <w:r w:rsidR="00347763">
        <w:rPr>
          <w:rFonts w:ascii="Verdana" w:eastAsia="Times New Roman" w:hAnsi="Verdana" w:cs="Times New Roman"/>
          <w:sz w:val="14"/>
          <w:szCs w:val="14"/>
        </w:rPr>
        <w:t xml:space="preserve">                   </w:t>
      </w:r>
      <w:r w:rsidRPr="00491B0E">
        <w:rPr>
          <w:rFonts w:ascii="Verdana" w:eastAsia="Times New Roman" w:hAnsi="Verdana" w:cs="Times New Roman"/>
          <w:sz w:val="14"/>
          <w:szCs w:val="14"/>
        </w:rPr>
        <w:t xml:space="preserve">i ułożeniu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a następnie przykryciu go nową asfaltową warstwą ścieralną.</w:t>
      </w:r>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Wykonanie połączenia ma zapobiec (lub co najmniej opóźnić) wystąpieniu na powierzchni jezdni poprzecznego pęknięcia, odbitego od spoiny na krawędzi połączenia.</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1.4. Określenia podstawowe</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1.4.1. </w:t>
      </w:r>
      <w:r w:rsidRPr="00491B0E">
        <w:rPr>
          <w:rFonts w:ascii="Verdana" w:eastAsia="Times New Roman" w:hAnsi="Verdana" w:cs="Times New Roman"/>
          <w:sz w:val="14"/>
          <w:szCs w:val="14"/>
        </w:rPr>
        <w:t>Nawierzchnia – konstrukcja składająca się z kilku warstw, służących do przejmowania i rozkładania na podłoże obciążeń od ruchu pojazdów.</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1.4.2. </w:t>
      </w:r>
      <w:r w:rsidRPr="00491B0E">
        <w:rPr>
          <w:rFonts w:ascii="Verdana" w:eastAsia="Times New Roman" w:hAnsi="Verdana" w:cs="Times New Roman"/>
          <w:sz w:val="14"/>
          <w:szCs w:val="14"/>
        </w:rPr>
        <w:t>Warstwa nawierzchni – element konstrukcji nawierzchni zbudowany z jednego materiału.</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1.4.3. </w:t>
      </w:r>
      <w:r w:rsidRPr="00491B0E">
        <w:rPr>
          <w:rFonts w:ascii="Verdana" w:eastAsia="Times New Roman" w:hAnsi="Verdana" w:cs="Times New Roman"/>
          <w:sz w:val="14"/>
          <w:szCs w:val="14"/>
        </w:rPr>
        <w:t>Warstwa ścieralna – górna warstwa nawierzchni będąca w bezpośrednim kontakcie z kołami pojazdów.</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1.4.4. </w:t>
      </w:r>
      <w:r w:rsidRPr="00491B0E">
        <w:rPr>
          <w:rFonts w:ascii="Verdana" w:eastAsia="Times New Roman" w:hAnsi="Verdana" w:cs="Times New Roman"/>
          <w:sz w:val="14"/>
          <w:szCs w:val="14"/>
        </w:rPr>
        <w:t>Warstwa wiążąca – warstwa nawierzchni między warstwą ścieralną a podbudową.</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1.4.5. </w:t>
      </w:r>
      <w:r w:rsidRPr="00491B0E">
        <w:rPr>
          <w:rFonts w:ascii="Verdana" w:eastAsia="Times New Roman" w:hAnsi="Verdana" w:cs="Times New Roman"/>
          <w:sz w:val="14"/>
          <w:szCs w:val="14"/>
        </w:rPr>
        <w:t>Podbudowa – główny element konstrukcyjny nawierzchni, ułożony w jednej lub kilku warstwach.</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1.4.6. </w:t>
      </w:r>
      <w:r w:rsidRPr="00491B0E">
        <w:rPr>
          <w:rFonts w:ascii="Verdana" w:eastAsia="Times New Roman" w:hAnsi="Verdana" w:cs="Times New Roman"/>
          <w:sz w:val="14"/>
          <w:szCs w:val="14"/>
        </w:rPr>
        <w:t>Połączenie nowej i starej nawierzchni – sposób konstrukcji, łączący nową nawierzchnię z nawierzchnią istniejącą, mający na celu zagwarantowanie tej samej nośności (trwałości zmęczeniowej) obu części i zapobiegający wystąpieniu na powierzchni jezdni poprzecznego pęknięcia.</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1.4.7. </w:t>
      </w:r>
      <w:r w:rsidRPr="00491B0E">
        <w:rPr>
          <w:rFonts w:ascii="Verdana" w:eastAsia="Times New Roman" w:hAnsi="Verdana" w:cs="Times New Roman"/>
          <w:sz w:val="14"/>
          <w:szCs w:val="14"/>
        </w:rPr>
        <w:t xml:space="preserve">Kategoria ruchu – obciążenie drogi ruchem samochodowym, wyrażone w osiach obliczeniowych (100 </w:t>
      </w:r>
      <w:proofErr w:type="spellStart"/>
      <w:r w:rsidRPr="00491B0E">
        <w:rPr>
          <w:rFonts w:ascii="Verdana" w:eastAsia="Times New Roman" w:hAnsi="Verdana" w:cs="Times New Roman"/>
          <w:sz w:val="14"/>
          <w:szCs w:val="14"/>
        </w:rPr>
        <w:t>kN</w:t>
      </w:r>
      <w:proofErr w:type="spellEnd"/>
      <w:r w:rsidRPr="00491B0E">
        <w:rPr>
          <w:rFonts w:ascii="Verdana" w:eastAsia="Times New Roman" w:hAnsi="Verdana" w:cs="Times New Roman"/>
          <w:sz w:val="14"/>
          <w:szCs w:val="14"/>
        </w:rPr>
        <w:t xml:space="preserve">) wg „Katalogu typowych konstrukcji nawierzchni podatnych i półsztywnych”, GDDP – </w:t>
      </w:r>
      <w:proofErr w:type="spellStart"/>
      <w:r w:rsidRPr="00491B0E">
        <w:rPr>
          <w:rFonts w:ascii="Verdana" w:eastAsia="Times New Roman" w:hAnsi="Verdana" w:cs="Times New Roman"/>
          <w:sz w:val="14"/>
          <w:szCs w:val="14"/>
        </w:rPr>
        <w:t>IBDiM</w:t>
      </w:r>
      <w:proofErr w:type="spellEnd"/>
      <w:r w:rsidRPr="00491B0E">
        <w:rPr>
          <w:rFonts w:ascii="Verdana" w:eastAsia="Times New Roman" w:hAnsi="Verdana" w:cs="Times New Roman"/>
          <w:sz w:val="14"/>
          <w:szCs w:val="14"/>
        </w:rPr>
        <w:t>, Warszawa 1997.</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1.4.8. </w:t>
      </w:r>
      <w:r w:rsidRPr="00491B0E">
        <w:rPr>
          <w:rFonts w:ascii="Verdana" w:eastAsia="Times New Roman" w:hAnsi="Verdana" w:cs="Times New Roman"/>
          <w:sz w:val="14"/>
          <w:szCs w:val="14"/>
        </w:rPr>
        <w:t>Emulsja asfaltowa – emulsja, w której fazą zdyspergowaną jest asfalt, a fazą ciągłą jest woda lub roztwór wodny, o ile nie ustalono inaczej.</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1.4.9.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 </w:t>
      </w:r>
      <w:proofErr w:type="spellStart"/>
      <w:r w:rsidRPr="00491B0E">
        <w:rPr>
          <w:rFonts w:ascii="Verdana" w:eastAsia="Times New Roman" w:hAnsi="Verdana" w:cs="Times New Roman"/>
          <w:sz w:val="14"/>
          <w:szCs w:val="14"/>
        </w:rPr>
        <w:t>geosyntetyk</w:t>
      </w:r>
      <w:proofErr w:type="spellEnd"/>
      <w:r w:rsidRPr="00491B0E">
        <w:rPr>
          <w:rFonts w:ascii="Verdana" w:eastAsia="Times New Roman" w:hAnsi="Verdana" w:cs="Times New Roman"/>
          <w:sz w:val="14"/>
          <w:szCs w:val="14"/>
        </w:rPr>
        <w:t>, składający się z siatki z włókien mineralnych połączonej z geowłókniną z włókien syntetycznych.</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1.4.10. </w:t>
      </w:r>
      <w:r w:rsidRPr="00491B0E">
        <w:rPr>
          <w:rFonts w:ascii="Verdana" w:eastAsia="Times New Roman" w:hAnsi="Verdana" w:cs="Times New Roman"/>
          <w:sz w:val="14"/>
          <w:szCs w:val="14"/>
        </w:rPr>
        <w:t>Pozostałe określenia podstawowe są zgodne z obowiązującymi, odpowiednimi polskimi normami i z definic</w:t>
      </w:r>
      <w:r w:rsidR="00347763">
        <w:rPr>
          <w:rFonts w:ascii="Verdana" w:eastAsia="Times New Roman" w:hAnsi="Verdana" w:cs="Times New Roman"/>
          <w:sz w:val="14"/>
          <w:szCs w:val="14"/>
        </w:rPr>
        <w:t>jami podanymi SST „Wymagania ogólne”</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1.5. Ogólne wymagania dotyczące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Ogólne wymagania dotyczące robót podano w </w:t>
      </w:r>
      <w:r>
        <w:rPr>
          <w:rFonts w:ascii="Verdana" w:eastAsia="Times New Roman" w:hAnsi="Verdana" w:cs="Times New Roman"/>
          <w:sz w:val="14"/>
          <w:szCs w:val="14"/>
        </w:rPr>
        <w:t>SST wymagania ogólne.</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9" w:name="_Toc431184075"/>
      <w:bookmarkStart w:id="10" w:name="_Toc208892382"/>
      <w:bookmarkStart w:id="11" w:name="_Toc210107778"/>
      <w:bookmarkStart w:id="12" w:name="_Toc250368192"/>
      <w:r w:rsidRPr="00491B0E">
        <w:rPr>
          <w:rFonts w:ascii="Verdana" w:eastAsia="Times New Roman" w:hAnsi="Verdana" w:cs="Times New Roman"/>
          <w:b/>
          <w:bCs/>
          <w:kern w:val="36"/>
          <w:sz w:val="14"/>
          <w:szCs w:val="14"/>
        </w:rPr>
        <w:t>2. MATERIAŁY</w:t>
      </w:r>
      <w:bookmarkEnd w:id="9"/>
      <w:bookmarkEnd w:id="10"/>
      <w:bookmarkEnd w:id="11"/>
      <w:bookmarkEnd w:id="12"/>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2.1. Ogólne wymagania dotyczące materiałów</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wymagania dotyczące materiałów, ich pozyskiwania i skła</w:t>
      </w:r>
      <w:r>
        <w:rPr>
          <w:rFonts w:ascii="Verdana" w:eastAsia="Times New Roman" w:hAnsi="Verdana" w:cs="Times New Roman"/>
          <w:sz w:val="14"/>
          <w:szCs w:val="14"/>
        </w:rPr>
        <w:t>dowania, podano w SST wymagania ogólne</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2.2. Materiały do wykonania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2.2.1. </w:t>
      </w:r>
      <w:r w:rsidRPr="00491B0E">
        <w:rPr>
          <w:rFonts w:ascii="Verdana" w:eastAsia="Times New Roman" w:hAnsi="Verdana" w:cs="Times New Roman"/>
          <w:sz w:val="14"/>
          <w:szCs w:val="14"/>
        </w:rPr>
        <w:t xml:space="preserve"> Zgodność materiałów z dokumentacją projektową </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Materiały do wykonania robót powinny być zgodne z ustaleniami dokumentacji projektowej lub ST.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2.2.2. </w:t>
      </w:r>
      <w:r w:rsidRPr="00491B0E">
        <w:rPr>
          <w:rFonts w:ascii="Verdana" w:eastAsia="Times New Roman" w:hAnsi="Verdana" w:cs="Times New Roman"/>
          <w:sz w:val="14"/>
          <w:szCs w:val="14"/>
        </w:rPr>
        <w:t>Materiały do wykonania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Do wykonania robót należy użyć: </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w:t>
      </w:r>
      <w:r w:rsidR="00347763">
        <w:rPr>
          <w:rFonts w:ascii="Verdana" w:eastAsia="Times New Roman" w:hAnsi="Verdana" w:cs="Times New Roman"/>
          <w:sz w:val="14"/>
          <w:szCs w:val="14"/>
        </w:rPr>
        <w:t xml:space="preserve">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wzmacniający nawierzchnię na linii styku starej i nowej nawierzchni,</w:t>
      </w:r>
    </w:p>
    <w:p w:rsidR="00347763" w:rsidRDefault="00347763" w:rsidP="0034776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 xml:space="preserve">emulsję asfaltową do złączenia </w:t>
      </w:r>
      <w:proofErr w:type="spellStart"/>
      <w:r w:rsidR="003B7D03" w:rsidRPr="00491B0E">
        <w:rPr>
          <w:rFonts w:ascii="Verdana" w:eastAsia="Times New Roman" w:hAnsi="Verdana" w:cs="Times New Roman"/>
          <w:sz w:val="14"/>
          <w:szCs w:val="14"/>
        </w:rPr>
        <w:t>geokompozytu</w:t>
      </w:r>
      <w:proofErr w:type="spellEnd"/>
      <w:r w:rsidR="003B7D03" w:rsidRPr="00491B0E">
        <w:rPr>
          <w:rFonts w:ascii="Verdana" w:eastAsia="Times New Roman" w:hAnsi="Verdana" w:cs="Times New Roman"/>
          <w:sz w:val="14"/>
          <w:szCs w:val="14"/>
        </w:rPr>
        <w:t xml:space="preserve"> z nawierzchnią.</w:t>
      </w:r>
    </w:p>
    <w:p w:rsidR="003B7D03" w:rsidRPr="00491B0E" w:rsidRDefault="003B7D03" w:rsidP="0034776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Ponadto przy konstruowaniu połączenia nowej i starej nawierzchni występują materiały, z których zbudowana będzie nowa nawierzchnia.</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2.2.3. </w:t>
      </w:r>
      <w:proofErr w:type="spellStart"/>
      <w:r w:rsidRPr="00491B0E">
        <w:rPr>
          <w:rFonts w:ascii="Verdana" w:eastAsia="Times New Roman" w:hAnsi="Verdana" w:cs="Times New Roman"/>
          <w:sz w:val="14"/>
          <w:szCs w:val="14"/>
        </w:rPr>
        <w:t>Geokompozyt</w:t>
      </w:r>
      <w:proofErr w:type="spellEnd"/>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Jeśli dokumentacja projektowa nie ustala inaczej, pod linią styku starej i nowej nawierzchni można zastosować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stanowiący połączenie siatki z włókien mineralnych (np. poliestrowych, szklanych) z geowłókniną wytworzoną z włókien syntetycznych (polipropylenowych, polietylenowych lub poliestrowych) ciągłych wzmacnianych mechanicznie poprzez igłowanie, stabilizowanych przeciw promieniowaniu UV.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musi mieć deklarowane przez producenta przeznaczenie do wzmacniania nawierzchni asfaltowych i opóźniania powstawania spękań w nawierzchni.</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Wytrzymałość na rozciąganie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powinna wynosić:</w:t>
      </w:r>
    </w:p>
    <w:p w:rsidR="00347763" w:rsidRDefault="003B7D03" w:rsidP="0034776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dla dr</w:t>
      </w:r>
      <w:r w:rsidR="00347763">
        <w:rPr>
          <w:rFonts w:ascii="Verdana" w:eastAsia="Times New Roman" w:hAnsi="Verdana" w:cs="Times New Roman"/>
          <w:sz w:val="14"/>
          <w:szCs w:val="14"/>
        </w:rPr>
        <w:t xml:space="preserve">óg o kategorii ruchu KR1 do KR4 </w:t>
      </w:r>
      <w:r w:rsidRPr="00491B0E">
        <w:rPr>
          <w:rFonts w:ascii="Verdana" w:eastAsia="Times New Roman" w:hAnsi="Verdana" w:cs="Times New Roman"/>
          <w:sz w:val="14"/>
          <w:szCs w:val="14"/>
        </w:rPr>
        <w:t xml:space="preserve">≥ 70 </w:t>
      </w:r>
      <w:proofErr w:type="spellStart"/>
      <w:r w:rsidRPr="00491B0E">
        <w:rPr>
          <w:rFonts w:ascii="Verdana" w:eastAsia="Times New Roman" w:hAnsi="Verdana" w:cs="Times New Roman"/>
          <w:sz w:val="14"/>
          <w:szCs w:val="14"/>
        </w:rPr>
        <w:t>kN</w:t>
      </w:r>
      <w:proofErr w:type="spellEnd"/>
      <w:r w:rsidRPr="00491B0E">
        <w:rPr>
          <w:rFonts w:ascii="Verdana" w:eastAsia="Times New Roman" w:hAnsi="Verdana" w:cs="Times New Roman"/>
          <w:sz w:val="14"/>
          <w:szCs w:val="14"/>
        </w:rPr>
        <w:t>/</w:t>
      </w:r>
      <w:proofErr w:type="spellStart"/>
      <w:r w:rsidRPr="00491B0E">
        <w:rPr>
          <w:rFonts w:ascii="Verdana" w:eastAsia="Times New Roman" w:hAnsi="Verdana" w:cs="Times New Roman"/>
          <w:sz w:val="14"/>
          <w:szCs w:val="14"/>
        </w:rPr>
        <w:t>m,</w:t>
      </w:r>
      <w:proofErr w:type="spellEnd"/>
    </w:p>
    <w:p w:rsidR="00347763" w:rsidRDefault="003B7D03" w:rsidP="0034776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Wydłużenie przy zerwaniu wzdłuż pasma powinno wynosić ≤ 3%.</w:t>
      </w:r>
    </w:p>
    <w:p w:rsidR="00347763" w:rsidRDefault="003B7D03" w:rsidP="0034776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Temperatura mięknienia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powinna być niższa od temperatury układania warstwy ścieralnej.</w:t>
      </w:r>
    </w:p>
    <w:p w:rsidR="003B7D03" w:rsidRPr="00491B0E" w:rsidRDefault="003B7D03" w:rsidP="00347763">
      <w:pPr>
        <w:tabs>
          <w:tab w:val="num" w:pos="-1276"/>
        </w:tabs>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Długość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powinna być równa szerokości nawierzchni. Jeżeli dokumentacja projektowa nie podaje </w:t>
      </w:r>
      <w:r w:rsidR="00347763">
        <w:rPr>
          <w:rFonts w:ascii="Verdana" w:eastAsia="Times New Roman" w:hAnsi="Verdana" w:cs="Times New Roman"/>
          <w:sz w:val="14"/>
          <w:szCs w:val="14"/>
        </w:rPr>
        <w:t xml:space="preserve">inaczej, szerokość </w:t>
      </w:r>
      <w:proofErr w:type="spellStart"/>
      <w:r w:rsidR="00347763">
        <w:rPr>
          <w:rFonts w:ascii="Verdana" w:eastAsia="Times New Roman" w:hAnsi="Verdana" w:cs="Times New Roman"/>
          <w:sz w:val="14"/>
          <w:szCs w:val="14"/>
        </w:rPr>
        <w:t>geokompozytu</w:t>
      </w:r>
      <w:proofErr w:type="spellEnd"/>
      <w:r w:rsidR="00347763">
        <w:rPr>
          <w:rFonts w:ascii="Verdana" w:eastAsia="Times New Roman" w:hAnsi="Verdana" w:cs="Times New Roman"/>
          <w:sz w:val="14"/>
          <w:szCs w:val="14"/>
        </w:rPr>
        <w:t xml:space="preserve"> </w:t>
      </w:r>
      <w:r w:rsidRPr="00491B0E">
        <w:rPr>
          <w:rFonts w:ascii="Verdana" w:eastAsia="Times New Roman" w:hAnsi="Verdana" w:cs="Times New Roman"/>
          <w:sz w:val="14"/>
          <w:szCs w:val="14"/>
        </w:rPr>
        <w:t xml:space="preserve">powinna wynosić po </w:t>
      </w:r>
      <w:smartTag w:uri="urn:schemas-microsoft-com:office:smarttags" w:element="metricconverter">
        <w:smartTagPr>
          <w:attr w:name="productid" w:val="1,0 m"/>
        </w:smartTagPr>
        <w:r w:rsidRPr="00491B0E">
          <w:rPr>
            <w:rFonts w:ascii="Verdana" w:eastAsia="Times New Roman" w:hAnsi="Verdana" w:cs="Times New Roman"/>
            <w:sz w:val="14"/>
            <w:szCs w:val="14"/>
          </w:rPr>
          <w:t>1,0 m</w:t>
        </w:r>
      </w:smartTag>
      <w:r w:rsidRPr="00491B0E">
        <w:rPr>
          <w:rFonts w:ascii="Verdana" w:eastAsia="Times New Roman" w:hAnsi="Verdana" w:cs="Times New Roman"/>
          <w:sz w:val="14"/>
          <w:szCs w:val="14"/>
        </w:rPr>
        <w:t xml:space="preserve"> z każdej strony spoiny w warstwie wiążącej.</w:t>
      </w:r>
    </w:p>
    <w:p w:rsidR="003B7D03" w:rsidRDefault="003B7D03" w:rsidP="003B7D03">
      <w:pPr>
        <w:spacing w:after="0" w:line="240" w:lineRule="auto"/>
        <w:rPr>
          <w:rFonts w:ascii="Verdana" w:eastAsia="Times New Roman" w:hAnsi="Verdana" w:cs="Times New Roman"/>
          <w:b/>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b/>
          <w:sz w:val="14"/>
          <w:szCs w:val="14"/>
        </w:rPr>
        <w:t xml:space="preserve">2.2.4. </w:t>
      </w:r>
      <w:r w:rsidRPr="00491B0E">
        <w:rPr>
          <w:rFonts w:ascii="Verdana" w:eastAsia="Times New Roman" w:hAnsi="Verdana" w:cs="Times New Roman"/>
          <w:sz w:val="14"/>
          <w:szCs w:val="14"/>
        </w:rPr>
        <w:t>Emulsja asfaltowa</w:t>
      </w:r>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Do złączania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z asfaltową warstwą nawierzchni należy stosować kationową emulsję modyfikowaną polimerem, spełniającą wymagania określone w  tablicy 1.</w:t>
      </w:r>
    </w:p>
    <w:p w:rsidR="003B7D03" w:rsidRDefault="003B7D03" w:rsidP="003B7D03">
      <w:pPr>
        <w:spacing w:after="0" w:line="240" w:lineRule="auto"/>
        <w:ind w:left="992" w:hanging="992"/>
        <w:rPr>
          <w:rFonts w:ascii="Verdana" w:eastAsia="Times New Roman" w:hAnsi="Verdana" w:cs="Times New Roman"/>
          <w:sz w:val="14"/>
          <w:szCs w:val="14"/>
        </w:rPr>
      </w:pPr>
    </w:p>
    <w:p w:rsidR="003B7D03" w:rsidRPr="00491B0E" w:rsidRDefault="003B7D03" w:rsidP="003B7D03">
      <w:pPr>
        <w:spacing w:after="0" w:line="240" w:lineRule="auto"/>
        <w:ind w:left="992" w:hanging="992"/>
        <w:rPr>
          <w:rFonts w:ascii="Verdana" w:eastAsia="Times New Roman" w:hAnsi="Verdana" w:cs="Times New Roman"/>
          <w:sz w:val="14"/>
          <w:szCs w:val="14"/>
        </w:rPr>
      </w:pPr>
      <w:r w:rsidRPr="00491B0E">
        <w:rPr>
          <w:rFonts w:ascii="Verdana" w:eastAsia="Times New Roman" w:hAnsi="Verdana" w:cs="Times New Roman"/>
          <w:sz w:val="14"/>
          <w:szCs w:val="14"/>
        </w:rPr>
        <w:t>Tablica 1. Wymagania dotyczące kationowych emulsji asfaltowych modyfikowanych polimerami (wg [7])</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559"/>
        <w:gridCol w:w="919"/>
        <w:gridCol w:w="807"/>
        <w:gridCol w:w="1300"/>
        <w:gridCol w:w="716"/>
        <w:gridCol w:w="1254"/>
      </w:tblGrid>
      <w:tr w:rsidR="003B7D03" w:rsidRPr="00491B0E" w:rsidTr="00CE63AB">
        <w:tc>
          <w:tcPr>
            <w:tcW w:w="2119" w:type="dxa"/>
            <w:vMerge w:val="restart"/>
            <w:tcBorders>
              <w:top w:val="single" w:sz="4" w:space="0" w:color="auto"/>
              <w:left w:val="single" w:sz="4" w:space="0" w:color="auto"/>
              <w:bottom w:val="single" w:sz="4" w:space="0" w:color="auto"/>
              <w:right w:val="single" w:sz="4" w:space="0" w:color="auto"/>
            </w:tcBorders>
            <w:noWrap/>
            <w:vAlign w:val="center"/>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Wymagania techniczne</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Metoda badania</w:t>
            </w: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wg normy</w:t>
            </w:r>
          </w:p>
        </w:tc>
        <w:tc>
          <w:tcPr>
            <w:tcW w:w="637" w:type="dxa"/>
            <w:vMerge w:val="restart"/>
            <w:tcBorders>
              <w:top w:val="single" w:sz="4" w:space="0" w:color="auto"/>
              <w:left w:val="single" w:sz="4" w:space="0" w:color="auto"/>
              <w:bottom w:val="single" w:sz="4" w:space="0" w:color="auto"/>
              <w:right w:val="single" w:sz="4" w:space="0" w:color="auto"/>
            </w:tcBorders>
            <w:noWrap/>
            <w:vAlign w:val="center"/>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Jednostka</w:t>
            </w:r>
          </w:p>
        </w:tc>
        <w:tc>
          <w:tcPr>
            <w:tcW w:w="4077" w:type="dxa"/>
            <w:gridSpan w:val="4"/>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Wymagania dla emulsji</w:t>
            </w:r>
          </w:p>
        </w:tc>
      </w:tr>
      <w:tr w:rsidR="003B7D03" w:rsidRPr="00491B0E" w:rsidTr="00CE63AB">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2107" w:type="dxa"/>
            <w:gridSpan w:val="2"/>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C60 BP3 ZM lub</w:t>
            </w: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 C60 BP4 ZM</w:t>
            </w:r>
          </w:p>
        </w:tc>
        <w:tc>
          <w:tcPr>
            <w:tcW w:w="1970" w:type="dxa"/>
            <w:gridSpan w:val="2"/>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C60 BP5 ZM</w:t>
            </w:r>
          </w:p>
        </w:tc>
      </w:tr>
      <w:tr w:rsidR="003B7D03" w:rsidRPr="00491B0E" w:rsidTr="00CE63AB">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03" w:rsidRPr="00491B0E" w:rsidRDefault="003B7D03" w:rsidP="00CE63AB">
            <w:pPr>
              <w:spacing w:after="0" w:line="240" w:lineRule="auto"/>
              <w:rPr>
                <w:rFonts w:ascii="Verdana" w:eastAsia="Times New Roman" w:hAnsi="Verdana" w:cs="Times New Roman"/>
                <w:sz w:val="14"/>
                <w:szCs w:val="14"/>
              </w:rPr>
            </w:pPr>
          </w:p>
        </w:tc>
        <w:tc>
          <w:tcPr>
            <w:tcW w:w="80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Klasa</w:t>
            </w:r>
          </w:p>
        </w:tc>
        <w:tc>
          <w:tcPr>
            <w:tcW w:w="1300"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Zakres wartości</w:t>
            </w:r>
          </w:p>
        </w:tc>
        <w:tc>
          <w:tcPr>
            <w:tcW w:w="716"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Klasa</w:t>
            </w:r>
          </w:p>
        </w:tc>
        <w:tc>
          <w:tcPr>
            <w:tcW w:w="1254"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Zakres wartości</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Indeks rozpadu</w:t>
            </w:r>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13075-1 [6]</w:t>
            </w:r>
          </w:p>
        </w:tc>
        <w:tc>
          <w:tcPr>
            <w:tcW w:w="63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t>
            </w:r>
          </w:p>
        </w:tc>
        <w:tc>
          <w:tcPr>
            <w:tcW w:w="80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3 lub 4</w:t>
            </w:r>
          </w:p>
        </w:tc>
        <w:tc>
          <w:tcPr>
            <w:tcW w:w="1300"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50 do 100 </w:t>
            </w: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lub 70 do 130</w:t>
            </w:r>
          </w:p>
        </w:tc>
        <w:tc>
          <w:tcPr>
            <w:tcW w:w="716"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w:t>
            </w:r>
          </w:p>
        </w:tc>
        <w:tc>
          <w:tcPr>
            <w:tcW w:w="1254"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120 do 180</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Zawartość lepiszcza</w:t>
            </w:r>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1428 [2]</w:t>
            </w:r>
          </w:p>
        </w:tc>
        <w:tc>
          <w:tcPr>
            <w:tcW w:w="63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%(m/m)</w:t>
            </w:r>
          </w:p>
        </w:tc>
        <w:tc>
          <w:tcPr>
            <w:tcW w:w="80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w:t>
            </w:r>
          </w:p>
        </w:tc>
        <w:tc>
          <w:tcPr>
            <w:tcW w:w="1300"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58 do 62</w:t>
            </w:r>
            <w:r w:rsidRPr="00491B0E">
              <w:rPr>
                <w:rFonts w:ascii="Verdana" w:eastAsia="Times New Roman" w:hAnsi="Verdana" w:cs="Times New Roman"/>
                <w:sz w:val="14"/>
                <w:szCs w:val="14"/>
                <w:vertAlign w:val="superscript"/>
              </w:rPr>
              <w:t>a)</w:t>
            </w:r>
          </w:p>
        </w:tc>
        <w:tc>
          <w:tcPr>
            <w:tcW w:w="716"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w:t>
            </w:r>
          </w:p>
        </w:tc>
        <w:tc>
          <w:tcPr>
            <w:tcW w:w="1254"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58 do 62</w:t>
            </w:r>
            <w:r w:rsidRPr="00491B0E">
              <w:rPr>
                <w:rFonts w:ascii="Verdana" w:eastAsia="Times New Roman" w:hAnsi="Verdana" w:cs="Times New Roman"/>
                <w:sz w:val="14"/>
                <w:szCs w:val="14"/>
                <w:vertAlign w:val="superscript"/>
              </w:rPr>
              <w:t>a)</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Czas wypływu dla Ø </w:t>
            </w:r>
            <w:smartTag w:uri="urn:schemas-microsoft-com:office:smarttags" w:element="metricconverter">
              <w:smartTagPr>
                <w:attr w:name="productid" w:val="2 mm"/>
              </w:smartTagPr>
              <w:r w:rsidRPr="00491B0E">
                <w:rPr>
                  <w:rFonts w:ascii="Verdana" w:eastAsia="Times New Roman" w:hAnsi="Verdana" w:cs="Times New Roman"/>
                  <w:sz w:val="14"/>
                  <w:szCs w:val="14"/>
                </w:rPr>
                <w:t>2 mm</w:t>
              </w:r>
            </w:smartTag>
            <w:r w:rsidRPr="00491B0E">
              <w:rPr>
                <w:rFonts w:ascii="Verdana" w:eastAsia="Times New Roman" w:hAnsi="Verdana" w:cs="Times New Roman"/>
                <w:sz w:val="14"/>
                <w:szCs w:val="14"/>
              </w:rPr>
              <w:t xml:space="preserve"> w 40°C</w:t>
            </w:r>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12846 [4]</w:t>
            </w:r>
          </w:p>
        </w:tc>
        <w:tc>
          <w:tcPr>
            <w:tcW w:w="637"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s</w:t>
            </w:r>
          </w:p>
        </w:tc>
        <w:tc>
          <w:tcPr>
            <w:tcW w:w="807"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300"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proofErr w:type="spellStart"/>
            <w:r w:rsidRPr="00491B0E">
              <w:rPr>
                <w:rFonts w:ascii="Verdana" w:eastAsia="Times New Roman" w:hAnsi="Verdana" w:cs="Times New Roman"/>
                <w:sz w:val="14"/>
                <w:szCs w:val="14"/>
              </w:rPr>
              <w:t>TBR</w:t>
            </w:r>
            <w:r w:rsidRPr="00491B0E">
              <w:rPr>
                <w:rFonts w:ascii="Verdana" w:eastAsia="Times New Roman" w:hAnsi="Verdana" w:cs="Times New Roman"/>
                <w:sz w:val="14"/>
                <w:szCs w:val="14"/>
                <w:vertAlign w:val="superscript"/>
              </w:rPr>
              <w:t>b</w:t>
            </w:r>
            <w:proofErr w:type="spellEnd"/>
            <w:r w:rsidRPr="00491B0E">
              <w:rPr>
                <w:rFonts w:ascii="Verdana" w:eastAsia="Times New Roman" w:hAnsi="Verdana" w:cs="Times New Roman"/>
                <w:sz w:val="14"/>
                <w:szCs w:val="14"/>
                <w:vertAlign w:val="superscript"/>
              </w:rPr>
              <w:t>)</w:t>
            </w:r>
          </w:p>
        </w:tc>
        <w:tc>
          <w:tcPr>
            <w:tcW w:w="716"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254"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proofErr w:type="spellStart"/>
            <w:r w:rsidRPr="00491B0E">
              <w:rPr>
                <w:rFonts w:ascii="Verdana" w:eastAsia="Times New Roman" w:hAnsi="Verdana" w:cs="Times New Roman"/>
                <w:sz w:val="14"/>
                <w:szCs w:val="14"/>
              </w:rPr>
              <w:t>TBR</w:t>
            </w:r>
            <w:r w:rsidRPr="00491B0E">
              <w:rPr>
                <w:rFonts w:ascii="Verdana" w:eastAsia="Times New Roman" w:hAnsi="Verdana" w:cs="Times New Roman"/>
                <w:sz w:val="14"/>
                <w:szCs w:val="14"/>
                <w:vertAlign w:val="superscript"/>
              </w:rPr>
              <w:t>b</w:t>
            </w:r>
            <w:proofErr w:type="spellEnd"/>
            <w:r w:rsidRPr="00491B0E">
              <w:rPr>
                <w:rFonts w:ascii="Verdana" w:eastAsia="Times New Roman" w:hAnsi="Verdana" w:cs="Times New Roman"/>
                <w:sz w:val="14"/>
                <w:szCs w:val="14"/>
                <w:vertAlign w:val="superscript"/>
              </w:rPr>
              <w:t>)</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Pozostałość na sicie </w:t>
            </w:r>
            <w:smartTag w:uri="urn:schemas-microsoft-com:office:smarttags" w:element="metricconverter">
              <w:smartTagPr>
                <w:attr w:name="productid" w:val="0,5 mm"/>
              </w:smartTagPr>
              <w:r w:rsidRPr="00491B0E">
                <w:rPr>
                  <w:rFonts w:ascii="Verdana" w:eastAsia="Times New Roman" w:hAnsi="Verdana" w:cs="Times New Roman"/>
                  <w:sz w:val="14"/>
                  <w:szCs w:val="14"/>
                </w:rPr>
                <w:t>0,5 mm</w:t>
              </w:r>
            </w:smartTag>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1429 [3]</w:t>
            </w:r>
          </w:p>
        </w:tc>
        <w:tc>
          <w:tcPr>
            <w:tcW w:w="63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%(m/m)</w:t>
            </w:r>
          </w:p>
        </w:tc>
        <w:tc>
          <w:tcPr>
            <w:tcW w:w="80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300"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c>
          <w:tcPr>
            <w:tcW w:w="716"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254"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Trwałość po 7 dniach </w:t>
            </w:r>
            <w:proofErr w:type="spellStart"/>
            <w:r w:rsidRPr="00491B0E">
              <w:rPr>
                <w:rFonts w:ascii="Verdana" w:eastAsia="Times New Roman" w:hAnsi="Verdana" w:cs="Times New Roman"/>
                <w:sz w:val="14"/>
                <w:szCs w:val="14"/>
              </w:rPr>
              <w:t>magazy-nowania</w:t>
            </w:r>
            <w:proofErr w:type="spellEnd"/>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1429 [3]</w:t>
            </w:r>
          </w:p>
        </w:tc>
        <w:tc>
          <w:tcPr>
            <w:tcW w:w="637"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%(m/m)</w:t>
            </w:r>
          </w:p>
        </w:tc>
        <w:tc>
          <w:tcPr>
            <w:tcW w:w="807"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300"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c>
          <w:tcPr>
            <w:tcW w:w="716"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254" w:type="dxa"/>
            <w:tcBorders>
              <w:top w:val="single" w:sz="4" w:space="0" w:color="auto"/>
              <w:left w:val="single" w:sz="4" w:space="0" w:color="auto"/>
              <w:bottom w:val="single" w:sz="4" w:space="0" w:color="auto"/>
              <w:right w:val="single" w:sz="4" w:space="0" w:color="auto"/>
            </w:tcBorders>
            <w:noWrap/>
          </w:tcPr>
          <w:p w:rsidR="003B7D03" w:rsidRPr="00491B0E" w:rsidRDefault="003B7D03" w:rsidP="00CE63AB">
            <w:pPr>
              <w:spacing w:after="0" w:line="240" w:lineRule="auto"/>
              <w:jc w:val="center"/>
              <w:rPr>
                <w:rFonts w:ascii="Verdana" w:eastAsia="Times New Roman" w:hAnsi="Verdana" w:cs="Times New Roman"/>
                <w:sz w:val="14"/>
                <w:szCs w:val="14"/>
              </w:rPr>
            </w:pPr>
          </w:p>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r>
      <w:tr w:rsidR="003B7D03" w:rsidRPr="00491B0E" w:rsidTr="00CE63AB">
        <w:tc>
          <w:tcPr>
            <w:tcW w:w="211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Sedymentacja</w:t>
            </w:r>
          </w:p>
        </w:tc>
        <w:tc>
          <w:tcPr>
            <w:tcW w:w="1559"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PN-EN 12847 [5]</w:t>
            </w:r>
          </w:p>
        </w:tc>
        <w:tc>
          <w:tcPr>
            <w:tcW w:w="63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%(m/m)</w:t>
            </w:r>
          </w:p>
        </w:tc>
        <w:tc>
          <w:tcPr>
            <w:tcW w:w="807"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300"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c>
          <w:tcPr>
            <w:tcW w:w="716"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1254" w:type="dxa"/>
            <w:tcBorders>
              <w:top w:val="single" w:sz="4" w:space="0" w:color="auto"/>
              <w:left w:val="single" w:sz="4" w:space="0" w:color="auto"/>
              <w:bottom w:val="single" w:sz="4" w:space="0" w:color="auto"/>
              <w:right w:val="single" w:sz="4"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TBR</w:t>
            </w:r>
          </w:p>
        </w:tc>
      </w:tr>
    </w:tbl>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tabs>
          <w:tab w:val="num" w:pos="284"/>
          <w:tab w:val="num" w:pos="720"/>
        </w:tabs>
        <w:spacing w:after="0" w:line="240" w:lineRule="auto"/>
        <w:ind w:left="720" w:hanging="720"/>
        <w:rPr>
          <w:rFonts w:ascii="Verdana" w:eastAsia="Times New Roman" w:hAnsi="Verdana" w:cs="Times New Roman"/>
          <w:sz w:val="14"/>
          <w:szCs w:val="14"/>
        </w:rPr>
      </w:pPr>
      <w:r w:rsidRPr="00491B0E">
        <w:rPr>
          <w:rFonts w:ascii="Verdana" w:eastAsia="Times New Roman" w:hAnsi="Verdana" w:cs="Times New Roman"/>
          <w:sz w:val="14"/>
          <w:szCs w:val="14"/>
        </w:rPr>
        <w:t>a)    Emulsję można rozcieńczać wodą, do stężenia asfaltu nie niższego niż 40%(m/m)</w:t>
      </w:r>
    </w:p>
    <w:p w:rsidR="003B7D03" w:rsidRPr="00491B0E" w:rsidRDefault="003B7D03" w:rsidP="003B7D03">
      <w:pPr>
        <w:tabs>
          <w:tab w:val="num" w:pos="284"/>
          <w:tab w:val="num" w:pos="720"/>
        </w:tabs>
        <w:spacing w:after="0" w:line="240" w:lineRule="auto"/>
        <w:ind w:left="720" w:hanging="720"/>
        <w:rPr>
          <w:rFonts w:ascii="Verdana" w:eastAsia="Times New Roman" w:hAnsi="Verdana" w:cs="Times New Roman"/>
          <w:sz w:val="14"/>
          <w:szCs w:val="14"/>
        </w:rPr>
      </w:pPr>
      <w:r w:rsidRPr="00491B0E">
        <w:rPr>
          <w:rFonts w:ascii="Verdana" w:eastAsia="Times New Roman" w:hAnsi="Verdana" w:cs="Times New Roman"/>
          <w:sz w:val="14"/>
          <w:szCs w:val="14"/>
        </w:rPr>
        <w:t>b)    Nie dotyczy emulsji rozcieńczanej wodą na budowie</w:t>
      </w:r>
    </w:p>
    <w:p w:rsidR="003B7D03" w:rsidRPr="00491B0E" w:rsidRDefault="003B7D03" w:rsidP="003B7D03">
      <w:pPr>
        <w:tabs>
          <w:tab w:val="num" w:pos="0"/>
        </w:tabs>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TBR (To be </w:t>
      </w:r>
      <w:proofErr w:type="spellStart"/>
      <w:r w:rsidRPr="00491B0E">
        <w:rPr>
          <w:rFonts w:ascii="Verdana" w:eastAsia="Times New Roman" w:hAnsi="Verdana" w:cs="Times New Roman"/>
          <w:sz w:val="14"/>
          <w:szCs w:val="14"/>
        </w:rPr>
        <w:t>reported</w:t>
      </w:r>
      <w:proofErr w:type="spellEnd"/>
      <w:r w:rsidRPr="00491B0E">
        <w:rPr>
          <w:rFonts w:ascii="Verdana" w:eastAsia="Times New Roman" w:hAnsi="Verdana" w:cs="Times New Roman"/>
          <w:sz w:val="14"/>
          <w:szCs w:val="14"/>
        </w:rPr>
        <w:t>) – do zadeklarowania (producent może dostarczyć odpowiednie informacje, jednak nie jest do tego zobowiązany)</w:t>
      </w:r>
    </w:p>
    <w:p w:rsidR="003B7D03" w:rsidRPr="00491B0E" w:rsidRDefault="003B7D03" w:rsidP="003B7D03">
      <w:pPr>
        <w:tabs>
          <w:tab w:val="num" w:pos="0"/>
        </w:tabs>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Przykład oznaczenia kationowej emulsji asfaltowej:</w:t>
      </w:r>
    </w:p>
    <w:p w:rsidR="003B7D03" w:rsidRPr="00491B0E" w:rsidRDefault="003B7D03" w:rsidP="003B7D03">
      <w:pPr>
        <w:spacing w:after="0" w:line="240" w:lineRule="auto"/>
        <w:ind w:left="1276" w:hanging="1276"/>
        <w:rPr>
          <w:rFonts w:ascii="Verdana" w:eastAsia="Times New Roman" w:hAnsi="Verdana" w:cs="Times New Roman"/>
          <w:sz w:val="14"/>
          <w:szCs w:val="14"/>
        </w:rPr>
      </w:pPr>
      <w:r w:rsidRPr="00491B0E">
        <w:rPr>
          <w:rFonts w:ascii="Verdana" w:eastAsia="Times New Roman" w:hAnsi="Verdana" w:cs="Times New Roman"/>
          <w:sz w:val="14"/>
          <w:szCs w:val="14"/>
        </w:rPr>
        <w:t>C60 BP3 ZM – kationowa emulsja asfaltowa o zawartości lepiszcza 60%, wyprodukowana z asfaltu modyfikowanego polimerami, o klasie indeksu rozpadu 3, przeznaczona do złączania warstw nawierzchni.</w:t>
      </w:r>
    </w:p>
    <w:p w:rsidR="003B7D03" w:rsidRPr="00491B0E" w:rsidRDefault="003B7D03" w:rsidP="003B7D03">
      <w:pPr>
        <w:spacing w:after="0" w:line="240" w:lineRule="auto"/>
        <w:ind w:left="1276" w:hanging="1276"/>
        <w:rPr>
          <w:rFonts w:ascii="Verdana" w:eastAsia="Times New Roman" w:hAnsi="Verdana" w:cs="Times New Roman"/>
          <w:sz w:val="14"/>
          <w:szCs w:val="14"/>
        </w:rPr>
      </w:pPr>
    </w:p>
    <w:p w:rsidR="003B7D03" w:rsidRPr="00491B0E" w:rsidRDefault="003B7D03" w:rsidP="003B7D03">
      <w:pPr>
        <w:spacing w:after="0" w:line="240" w:lineRule="auto"/>
        <w:ind w:left="1276" w:hanging="1276"/>
        <w:rPr>
          <w:rFonts w:ascii="Verdana" w:eastAsia="Times New Roman" w:hAnsi="Verdana" w:cs="Times New Roman"/>
          <w:sz w:val="14"/>
          <w:szCs w:val="14"/>
        </w:rPr>
      </w:pPr>
      <w:r w:rsidRPr="00491B0E">
        <w:rPr>
          <w:rFonts w:ascii="Verdana" w:eastAsia="Times New Roman" w:hAnsi="Verdana" w:cs="Times New Roman"/>
          <w:b/>
          <w:sz w:val="14"/>
          <w:szCs w:val="14"/>
        </w:rPr>
        <w:t xml:space="preserve">2.2.5. </w:t>
      </w:r>
      <w:r w:rsidRPr="00491B0E">
        <w:rPr>
          <w:rFonts w:ascii="Verdana" w:eastAsia="Times New Roman" w:hAnsi="Verdana" w:cs="Times New Roman"/>
          <w:sz w:val="14"/>
          <w:szCs w:val="14"/>
        </w:rPr>
        <w:t>Materiały występujące przy budowie nowej nawierzchni</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lastRenderedPageBreak/>
        <w:t>Materiały występujące przy budowie nowej nawierzchni powinny być zgodne z ustaleniami dokumentacji projektowej i dostosowane do rodzaju warstw nawierzchni.</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13" w:name="_Toc25373382"/>
      <w:bookmarkStart w:id="14" w:name="_Toc25379398"/>
      <w:bookmarkStart w:id="15" w:name="_Toc38338022"/>
      <w:bookmarkStart w:id="16" w:name="_Toc68660263"/>
      <w:bookmarkStart w:id="17" w:name="_Toc68921158"/>
      <w:bookmarkStart w:id="18" w:name="_Toc68929545"/>
      <w:bookmarkStart w:id="19" w:name="_Toc70745913"/>
      <w:bookmarkStart w:id="20" w:name="_Toc113338099"/>
      <w:bookmarkStart w:id="21" w:name="_Toc113935589"/>
      <w:bookmarkStart w:id="22" w:name="_Toc116360494"/>
      <w:bookmarkStart w:id="23" w:name="_Toc174333135"/>
      <w:bookmarkStart w:id="24" w:name="_Toc208892383"/>
      <w:bookmarkStart w:id="25" w:name="_Toc235854624"/>
      <w:bookmarkStart w:id="26" w:name="_Toc250368193"/>
      <w:r w:rsidRPr="00491B0E">
        <w:rPr>
          <w:rFonts w:ascii="Verdana" w:eastAsia="Times New Roman" w:hAnsi="Verdana" w:cs="Times New Roman"/>
          <w:b/>
          <w:bCs/>
          <w:kern w:val="36"/>
          <w:sz w:val="14"/>
          <w:szCs w:val="14"/>
        </w:rPr>
        <w:t>3. sprzęt</w:t>
      </w:r>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3.1. Ogólne wymagania dotyczące sprzętu</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wymagania dotyczące sp</w:t>
      </w:r>
      <w:r w:rsidR="00347763">
        <w:rPr>
          <w:rFonts w:ascii="Verdana" w:eastAsia="Times New Roman" w:hAnsi="Verdana" w:cs="Times New Roman"/>
          <w:sz w:val="14"/>
          <w:szCs w:val="14"/>
        </w:rPr>
        <w:t xml:space="preserve">rzętu podano w SST „Wymagania ogólne” </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3.2. Sprzęt stosowany do wykonania robót</w:t>
      </w:r>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Przy wykonywaniu robót Wykonawca w zależności od potrzeb, powinien wykazać się możliwością korzystania ze sprzętu dostosowanego do przyjętej metody robót, jak:</w:t>
      </w:r>
    </w:p>
    <w:p w:rsidR="003B7D03" w:rsidRPr="00491B0E" w:rsidRDefault="0034776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piły do cięcia betonu asfaltowego,</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frezarki do betonu asfaltowego,</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młot pneumatyczny, sprężarka powietrza,</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skrapiarka emulsji asfaltowej z ręcznie prowadzoną lancą spryskującą, ze zbiornikiem na lepiszcze,</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ew. układarka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umożliwiającą rozwijanie go ze szpuli oraz noże do cięcia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w:t>
      </w:r>
    </w:p>
    <w:p w:rsidR="00347763" w:rsidRDefault="003B7D03" w:rsidP="0034776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w:t>
      </w:r>
      <w:r w:rsidR="00347763">
        <w:rPr>
          <w:rFonts w:ascii="Verdana" w:eastAsia="Times New Roman" w:hAnsi="Verdana" w:cs="Times New Roman"/>
          <w:sz w:val="14"/>
          <w:szCs w:val="14"/>
        </w:rPr>
        <w:t>s</w:t>
      </w:r>
      <w:r w:rsidRPr="00491B0E">
        <w:rPr>
          <w:rFonts w:ascii="Verdana" w:eastAsia="Times New Roman" w:hAnsi="Verdana" w:cs="Times New Roman"/>
          <w:sz w:val="14"/>
          <w:szCs w:val="14"/>
        </w:rPr>
        <w:t>przęt pomocniczy, jak oskardy, łopaty, szczotki itp.</w:t>
      </w:r>
    </w:p>
    <w:p w:rsidR="00347763" w:rsidRDefault="003B7D03" w:rsidP="00347763">
      <w:pPr>
        <w:tabs>
          <w:tab w:val="num" w:pos="-2127"/>
        </w:tabs>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Zaleca się, aby skrapiarka była wyposażona w urządzenia pomiarowo-kontrolne, pozwalające na sprawdzenie i regulowanie: temperatury, ciśnienia, obrotów pompy dozującej lepiszcze, prędkości poruszania się skrapiarki oraz ilości dozowanego lepiszcza. Skrapiarka powinna zapewniać rozkładanie lepiszcza z tolerancją ± 10% w stosunku do ilości założonej. Zbiornik na lepiszcze powinien być izolowany termicznie, tak aby było możliwe zachowanie stałej temperatury lepiszcza.</w:t>
      </w:r>
    </w:p>
    <w:p w:rsidR="00347763" w:rsidRDefault="003B7D03" w:rsidP="00347763">
      <w:pPr>
        <w:tabs>
          <w:tab w:val="num" w:pos="-2127"/>
        </w:tabs>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Sprzęt do budowy nowej nawierzchni powinien być dostosowany do rodzaju warstw nawierzchni, ustalonych w dokumentacji projektowej.</w:t>
      </w:r>
    </w:p>
    <w:p w:rsidR="003B7D03" w:rsidRPr="00491B0E" w:rsidRDefault="003B7D03" w:rsidP="00347763">
      <w:pPr>
        <w:tabs>
          <w:tab w:val="num" w:pos="-2127"/>
        </w:tabs>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Sprzęt powinien odpowiadać wymaganiom określonym w założeniach Zamawiającego, ST, instrukcjach producentów lub propozycji Wykonawcy i powinien być zaakceptowany przez Inżyniera.</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27" w:name="_Toc424534468"/>
      <w:bookmarkStart w:id="28" w:name="_Toc46643999"/>
      <w:bookmarkStart w:id="29" w:name="_Toc51995832"/>
      <w:bookmarkStart w:id="30" w:name="_Toc63568300"/>
      <w:bookmarkStart w:id="31" w:name="_Toc73770658"/>
      <w:bookmarkStart w:id="32" w:name="_Toc113935590"/>
      <w:bookmarkStart w:id="33" w:name="_Toc116360495"/>
      <w:bookmarkStart w:id="34" w:name="_Toc174333136"/>
      <w:bookmarkStart w:id="35" w:name="_Toc208892384"/>
      <w:bookmarkStart w:id="36" w:name="_Toc235854625"/>
      <w:bookmarkStart w:id="37" w:name="_Toc250368194"/>
      <w:r w:rsidRPr="00491B0E">
        <w:rPr>
          <w:rFonts w:ascii="Verdana" w:eastAsia="Times New Roman" w:hAnsi="Verdana" w:cs="Times New Roman"/>
          <w:b/>
          <w:bCs/>
          <w:kern w:val="36"/>
          <w:sz w:val="14"/>
          <w:szCs w:val="14"/>
        </w:rPr>
        <w:t>4. TRANSPORT</w:t>
      </w:r>
      <w:bookmarkEnd w:id="27"/>
      <w:bookmarkEnd w:id="28"/>
      <w:bookmarkEnd w:id="29"/>
      <w:bookmarkEnd w:id="30"/>
      <w:bookmarkEnd w:id="31"/>
      <w:bookmarkEnd w:id="32"/>
      <w:bookmarkEnd w:id="33"/>
      <w:bookmarkEnd w:id="34"/>
      <w:bookmarkEnd w:id="35"/>
      <w:bookmarkEnd w:id="36"/>
      <w:bookmarkEnd w:id="37"/>
    </w:p>
    <w:p w:rsidR="00347763" w:rsidRDefault="003B7D03" w:rsidP="0034776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 xml:space="preserve">4.1. Ogólne wymagania dotyczące transportu </w:t>
      </w:r>
    </w:p>
    <w:p w:rsidR="003B7D03" w:rsidRPr="00347763" w:rsidRDefault="003B7D03" w:rsidP="0034776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Ogólne wymagania dotyczące tra</w:t>
      </w:r>
      <w:r w:rsidR="00347763">
        <w:rPr>
          <w:rFonts w:ascii="Verdana" w:eastAsia="Times New Roman" w:hAnsi="Verdana" w:cs="Times New Roman"/>
          <w:sz w:val="14"/>
          <w:szCs w:val="14"/>
        </w:rPr>
        <w:t>nsportu podano w SST wymagania ogólne</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4.2. Transport materiałów</w:t>
      </w:r>
    </w:p>
    <w:p w:rsidR="003B7D03" w:rsidRPr="00491B0E" w:rsidRDefault="003B7D03" w:rsidP="00347763">
      <w:pPr>
        <w:spacing w:after="0" w:line="240" w:lineRule="auto"/>
        <w:jc w:val="both"/>
        <w:outlineLvl w:val="1"/>
        <w:rPr>
          <w:rFonts w:ascii="Verdana" w:eastAsia="Times New Roman" w:hAnsi="Verdana" w:cs="Times New Roman"/>
          <w:sz w:val="14"/>
          <w:szCs w:val="14"/>
        </w:rPr>
      </w:pP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należy transportować w rolkach owiniętych folią w celu zabezpieczenia go przed uszkodzeniem w czasie transportu i składowania na budowie, a także przed negatywnym działaniem ultrafioletowego promieniowania słonecznego. Rolki powinny być przewożone w pozycji pionowej lub ułożone poziomo, nie więcej niż w trzech warstwach. Podczas transportu i składowania należy chronić materiał przed zawilgoceniem i zabrudzeniem. W czasie wyładowania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ze środka transportu nie należy dopuścić do porozrywania lub podziurawienia opakowania z folii.</w:t>
      </w:r>
    </w:p>
    <w:p w:rsidR="003B7D03" w:rsidRPr="00491B0E" w:rsidRDefault="003B7D03" w:rsidP="0034776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 xml:space="preserve">Emulsja asfaltowa może być transportowana w cysternach, skrapiarkach, beczkach i innych opakowaniach, pod warunkiem, że nie będą korodowały pod wpływem emulsji i nie będą powodowały jej rozpadu. Cysterny powinny być przedzielone przegrodami na komory o pojemności do </w:t>
      </w:r>
      <w:smartTag w:uri="urn:schemas-microsoft-com:office:smarttags" w:element="metricconverter">
        <w:smartTagPr>
          <w:attr w:name="productid" w:val="1 m3"/>
        </w:smartTagPr>
        <w:r w:rsidRPr="00491B0E">
          <w:rPr>
            <w:rFonts w:ascii="Verdana" w:eastAsia="Times New Roman" w:hAnsi="Verdana" w:cs="Times New Roman"/>
            <w:sz w:val="14"/>
            <w:szCs w:val="14"/>
          </w:rPr>
          <w:t>1 m</w:t>
        </w:r>
        <w:r w:rsidRPr="00491B0E">
          <w:rPr>
            <w:rFonts w:ascii="Verdana" w:eastAsia="Times New Roman" w:hAnsi="Verdana" w:cs="Times New Roman"/>
            <w:sz w:val="14"/>
            <w:szCs w:val="14"/>
            <w:vertAlign w:val="superscript"/>
          </w:rPr>
          <w:t>3</w:t>
        </w:r>
      </w:smartTag>
      <w:r w:rsidRPr="00491B0E">
        <w:rPr>
          <w:rFonts w:ascii="Verdana" w:eastAsia="Times New Roman" w:hAnsi="Verdana" w:cs="Times New Roman"/>
          <w:sz w:val="14"/>
          <w:szCs w:val="14"/>
        </w:rPr>
        <w:t>, które powinny mieć wykroje umożliwiające przepływ emulsji. Zbiorniki do przewozu emulsji powinny być czyste i nie zawierać resztek innych lepiszczy.</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Transport materiałów do budowy nowej nawierzchni powinien być zgodny z ustaleniami dla całego budowanego odcinka drogi.</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38" w:name="_Toc421940500"/>
      <w:bookmarkStart w:id="39" w:name="_Toc18217006"/>
      <w:bookmarkStart w:id="40" w:name="_Toc30219220"/>
      <w:bookmarkStart w:id="41" w:name="_Toc33319443"/>
      <w:bookmarkStart w:id="42" w:name="_Toc33320735"/>
      <w:bookmarkStart w:id="43" w:name="_Toc38338024"/>
      <w:bookmarkStart w:id="44" w:name="_Toc68660265"/>
      <w:bookmarkStart w:id="45" w:name="_Toc68921160"/>
      <w:bookmarkStart w:id="46" w:name="_Toc68929547"/>
      <w:bookmarkStart w:id="47" w:name="_Toc70745915"/>
      <w:bookmarkStart w:id="48" w:name="_Toc113338101"/>
      <w:bookmarkStart w:id="49" w:name="_Toc124213277"/>
      <w:bookmarkStart w:id="50" w:name="_Toc144694239"/>
      <w:bookmarkStart w:id="51" w:name="_Toc199904823"/>
      <w:bookmarkStart w:id="52" w:name="_Toc204566520"/>
      <w:bookmarkStart w:id="53" w:name="_Toc233428813"/>
      <w:bookmarkStart w:id="54" w:name="_Toc235854626"/>
      <w:bookmarkStart w:id="55" w:name="_Toc250368195"/>
      <w:r w:rsidRPr="00491B0E">
        <w:rPr>
          <w:rFonts w:ascii="Verdana" w:eastAsia="Times New Roman" w:hAnsi="Verdana" w:cs="Times New Roman"/>
          <w:b/>
          <w:bCs/>
          <w:kern w:val="36"/>
          <w:sz w:val="14"/>
          <w:szCs w:val="14"/>
        </w:rPr>
        <w:t>5. wykonanie robót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5.1. Ogólne zasady wykonania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zasady wykonan</w:t>
      </w:r>
      <w:r w:rsidR="00347763">
        <w:rPr>
          <w:rFonts w:ascii="Verdana" w:eastAsia="Times New Roman" w:hAnsi="Verdana" w:cs="Times New Roman"/>
          <w:sz w:val="14"/>
          <w:szCs w:val="14"/>
        </w:rPr>
        <w:t>ia robót podano w SST wymagania ogólne.</w:t>
      </w:r>
    </w:p>
    <w:p w:rsidR="00347763" w:rsidRDefault="003B7D03" w:rsidP="00AB4573">
      <w:pPr>
        <w:spacing w:after="0" w:line="240" w:lineRule="auto"/>
        <w:jc w:val="both"/>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5.2. Zasady wykonywania robót</w:t>
      </w:r>
    </w:p>
    <w:p w:rsidR="003B7D03" w:rsidRPr="00347763" w:rsidRDefault="003B7D03" w:rsidP="00AB4573">
      <w:pPr>
        <w:spacing w:after="0" w:line="240" w:lineRule="auto"/>
        <w:jc w:val="both"/>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Sposób wykonania robót powinien być zgodny z dokumentacją projektową i ST. W przypadku braku wystarczających danych można korzystać z ustaleń podanych w niniejszej specyfikacji oraz z informacji podanych w załącznikach.</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Podstawowe czynności przy wykonywaniu robót obejmują:</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Times New Roman" w:hAnsi="Verdana" w:cs="Times New Roman"/>
          <w:sz w:val="14"/>
          <w:szCs w:val="14"/>
        </w:rPr>
        <w:t xml:space="preserve">1.    roboty przygotowawcze, </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Times New Roman" w:hAnsi="Verdana" w:cs="Times New Roman"/>
          <w:sz w:val="14"/>
          <w:szCs w:val="14"/>
        </w:rPr>
        <w:t>2.    rozbiórkę starej nawierzchni,</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Times New Roman" w:hAnsi="Verdana" w:cs="Times New Roman"/>
          <w:sz w:val="14"/>
          <w:szCs w:val="14"/>
        </w:rPr>
        <w:t>3.    ułożenie nowych warstw podbudowy i warstwy wiążącej,</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Times New Roman" w:hAnsi="Verdana" w:cs="Times New Roman"/>
          <w:sz w:val="14"/>
          <w:szCs w:val="14"/>
        </w:rPr>
        <w:t xml:space="preserve">4.    ułożenie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i warstwy ścieralnej,</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Times New Roman" w:hAnsi="Verdana" w:cs="Times New Roman"/>
          <w:sz w:val="14"/>
          <w:szCs w:val="14"/>
        </w:rPr>
        <w:t>5.    roboty wykończeniowe.</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5.3. Roboty przygotowawcze</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Przed przystąpieniem do robót należy, na podstawie dokumentacji projektowej,  ST lub wskazań Inżyniera:</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ustalić lokalizację robót, wyznaczyć oraz oznaczyć linię styku istniejącej nawierzchni i nowej konstrukcji,</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ew. przeprowadzić obliczenia i pomiary geodezyjne niezbędne do szczegółowego wytyczenia robót oraz ustalenia danych wysokościowych,</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usunąć przeszkody, np. drzewa, krzaki, obiekty, elementy dróg, ogrodzeń itd.</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5.4. Rozbiórka starej nawierzchni</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Fragment istniejącej nawierzchni, od wyznaczonej linii styku nowej i starej nawierzchni, należy rozebrać do głębokości przewidzianej dokumentacją projektową, przy użyciu ręcznego sprzętu rozbiórkowego lub frezarki.</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Przy rozbiórce istniejącej nawierzchni należy wykonać stopnie w istniejącej konstrukcji w celu uzyskania prawidłowego wzmocnionego połączenia nowych i starych warstw. Szerokość stopni powinna być nie mniejsza niż 1,5 grubości wyżej położonej warstwy, z wyjątkiem stopnia pod warstwą ścieralną, którego szerokość powinna wynosić 1,1 ÷ </w:t>
      </w:r>
      <w:smartTag w:uri="urn:schemas-microsoft-com:office:smarttags" w:element="metricconverter">
        <w:smartTagPr>
          <w:attr w:name="productid" w:val="1,15 m"/>
        </w:smartTagPr>
        <w:r w:rsidRPr="00491B0E">
          <w:rPr>
            <w:rFonts w:ascii="Verdana" w:eastAsia="Times New Roman" w:hAnsi="Verdana" w:cs="Times New Roman"/>
            <w:sz w:val="14"/>
            <w:szCs w:val="14"/>
          </w:rPr>
          <w:t>1,15 m</w:t>
        </w:r>
      </w:smartTag>
      <w:r w:rsidRPr="00491B0E">
        <w:rPr>
          <w:rFonts w:ascii="Verdana" w:eastAsia="Times New Roman" w:hAnsi="Verdana" w:cs="Times New Roman"/>
          <w:sz w:val="14"/>
          <w:szCs w:val="14"/>
        </w:rPr>
        <w: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Przykład rozbiórki istniejącej nawierzchni przedstawiono na rysunku 1.</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5.5. Ułożenie nowych warstw podbudowy i warstwy wiążącej</w:t>
      </w:r>
    </w:p>
    <w:p w:rsidR="003B7D03" w:rsidRPr="00491B0E" w:rsidRDefault="003B7D03" w:rsidP="00AB457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Do przygotowanych stopni na powierzchniach warstw nawierzchni należy doprowadzić nowe warstwy podbudowy i warstwę wiążącą. Stare powierzchnie warstw należy oczyścić, a w przypadku konstrukcji niezwiązanych należy je zagęścić.</w:t>
      </w:r>
    </w:p>
    <w:p w:rsidR="003B7D03" w:rsidRPr="00491B0E" w:rsidRDefault="003B7D03" w:rsidP="00AB4573">
      <w:pPr>
        <w:spacing w:after="0" w:line="240" w:lineRule="auto"/>
        <w:jc w:val="both"/>
        <w:rPr>
          <w:rFonts w:ascii="Verdana" w:eastAsia="Times New Roman" w:hAnsi="Verdana" w:cs="Times New Roman"/>
          <w:sz w:val="14"/>
          <w:szCs w:val="14"/>
        </w:rPr>
      </w:pPr>
      <w:r w:rsidRPr="00491B0E">
        <w:rPr>
          <w:rFonts w:ascii="Verdana" w:eastAsia="Times New Roman" w:hAnsi="Verdana" w:cs="Times New Roman"/>
          <w:sz w:val="14"/>
          <w:szCs w:val="14"/>
        </w:rPr>
        <w:t>Wykonanie konstrukcji warstw nawierzchni powinno odpowiadać wymaganiom właściwych specyfikacji technicznych, określonych w dokumentacji projektowej.</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 xml:space="preserve">5.6. Ułożenie </w:t>
      </w:r>
      <w:proofErr w:type="spellStart"/>
      <w:r w:rsidRPr="00491B0E">
        <w:rPr>
          <w:rFonts w:ascii="Verdana" w:eastAsia="Times New Roman" w:hAnsi="Verdana" w:cs="Times New Roman"/>
          <w:b/>
          <w:bCs/>
          <w:sz w:val="14"/>
          <w:szCs w:val="14"/>
        </w:rPr>
        <w:t>geokompozytu</w:t>
      </w:r>
      <w:proofErr w:type="spellEnd"/>
      <w:r w:rsidRPr="00491B0E">
        <w:rPr>
          <w:rFonts w:ascii="Verdana" w:eastAsia="Times New Roman" w:hAnsi="Verdana" w:cs="Times New Roman"/>
          <w:b/>
          <w:bCs/>
          <w:sz w:val="14"/>
          <w:szCs w:val="14"/>
        </w:rPr>
        <w:t xml:space="preserve"> i warstwy ścieralnej</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Na ułożonej i zagęszczonej warstwie wiążącej (np. z betonu asfaltowego) należy:</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 xml:space="preserve">skropić emulsją asfaltową, według </w:t>
      </w:r>
      <w:proofErr w:type="spellStart"/>
      <w:r w:rsidR="003B7D03" w:rsidRPr="00491B0E">
        <w:rPr>
          <w:rFonts w:ascii="Verdana" w:eastAsia="Times New Roman" w:hAnsi="Verdana" w:cs="Times New Roman"/>
          <w:sz w:val="14"/>
          <w:szCs w:val="14"/>
        </w:rPr>
        <w:t>pktu</w:t>
      </w:r>
      <w:proofErr w:type="spellEnd"/>
      <w:r w:rsidR="003B7D03" w:rsidRPr="00491B0E">
        <w:rPr>
          <w:rFonts w:ascii="Verdana" w:eastAsia="Times New Roman" w:hAnsi="Verdana" w:cs="Times New Roman"/>
          <w:sz w:val="14"/>
          <w:szCs w:val="14"/>
        </w:rPr>
        <w:t xml:space="preserve"> 2.2.4, pas szerokości 2,2 ÷ </w:t>
      </w:r>
      <w:smartTag w:uri="urn:schemas-microsoft-com:office:smarttags" w:element="metricconverter">
        <w:smartTagPr>
          <w:attr w:name="productid" w:val="2,3 m"/>
        </w:smartTagPr>
        <w:r w:rsidR="003B7D03" w:rsidRPr="00491B0E">
          <w:rPr>
            <w:rFonts w:ascii="Verdana" w:eastAsia="Times New Roman" w:hAnsi="Verdana" w:cs="Times New Roman"/>
            <w:sz w:val="14"/>
            <w:szCs w:val="14"/>
          </w:rPr>
          <w:t>2,3 m</w:t>
        </w:r>
      </w:smartTag>
      <w:r w:rsidR="003B7D03" w:rsidRPr="00491B0E">
        <w:rPr>
          <w:rFonts w:ascii="Verdana" w:eastAsia="Times New Roman" w:hAnsi="Verdana" w:cs="Times New Roman"/>
          <w:sz w:val="14"/>
          <w:szCs w:val="14"/>
        </w:rPr>
        <w:t xml:space="preserve"> (około 0,2 ÷ </w:t>
      </w:r>
      <w:smartTag w:uri="urn:schemas-microsoft-com:office:smarttags" w:element="metricconverter">
        <w:smartTagPr>
          <w:attr w:name="productid" w:val="0,3 m"/>
        </w:smartTagPr>
        <w:r w:rsidR="003B7D03" w:rsidRPr="00491B0E">
          <w:rPr>
            <w:rFonts w:ascii="Verdana" w:eastAsia="Times New Roman" w:hAnsi="Verdana" w:cs="Times New Roman"/>
            <w:sz w:val="14"/>
            <w:szCs w:val="14"/>
          </w:rPr>
          <w:t>0,3 m</w:t>
        </w:r>
      </w:smartTag>
      <w:r w:rsidR="003B7D03" w:rsidRPr="00491B0E">
        <w:rPr>
          <w:rFonts w:ascii="Verdana" w:eastAsia="Times New Roman" w:hAnsi="Verdana" w:cs="Times New Roman"/>
          <w:sz w:val="14"/>
          <w:szCs w:val="14"/>
        </w:rPr>
        <w:t xml:space="preserve"> większy niż szerokość </w:t>
      </w:r>
      <w:proofErr w:type="spellStart"/>
      <w:r w:rsidR="003B7D03" w:rsidRPr="00491B0E">
        <w:rPr>
          <w:rFonts w:ascii="Verdana" w:eastAsia="Times New Roman" w:hAnsi="Verdana" w:cs="Times New Roman"/>
          <w:sz w:val="14"/>
          <w:szCs w:val="14"/>
        </w:rPr>
        <w:t>geo</w:t>
      </w:r>
      <w:r>
        <w:rPr>
          <w:rFonts w:ascii="Verdana" w:eastAsia="Times New Roman" w:hAnsi="Verdana" w:cs="Times New Roman"/>
          <w:sz w:val="14"/>
          <w:szCs w:val="14"/>
        </w:rPr>
        <w:t>kompozytu</w:t>
      </w:r>
      <w:proofErr w:type="spellEnd"/>
      <w:r>
        <w:rPr>
          <w:rFonts w:ascii="Verdana" w:eastAsia="Times New Roman" w:hAnsi="Verdana" w:cs="Times New Roman"/>
          <w:sz w:val="14"/>
          <w:szCs w:val="14"/>
        </w:rPr>
        <w:t xml:space="preserve">, który ma być </w:t>
      </w:r>
      <w:r w:rsidR="003B7D03" w:rsidRPr="00491B0E">
        <w:rPr>
          <w:rFonts w:ascii="Verdana" w:eastAsia="Times New Roman" w:hAnsi="Verdana" w:cs="Times New Roman"/>
          <w:sz w:val="14"/>
          <w:szCs w:val="14"/>
        </w:rPr>
        <w:t>ułożony),</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xml:space="preserve">– </w:t>
      </w:r>
      <w:r w:rsidR="003B7D03" w:rsidRPr="00491B0E">
        <w:rPr>
          <w:rFonts w:ascii="Verdana" w:eastAsia="Times New Roman" w:hAnsi="Verdana" w:cs="Times New Roman"/>
          <w:sz w:val="14"/>
          <w:szCs w:val="14"/>
        </w:rPr>
        <w:t xml:space="preserve">ułożyć </w:t>
      </w:r>
      <w:proofErr w:type="spellStart"/>
      <w:r w:rsidR="003B7D03" w:rsidRPr="00491B0E">
        <w:rPr>
          <w:rFonts w:ascii="Verdana" w:eastAsia="Times New Roman" w:hAnsi="Verdana" w:cs="Times New Roman"/>
          <w:sz w:val="14"/>
          <w:szCs w:val="14"/>
        </w:rPr>
        <w:t>geokompozyt</w:t>
      </w:r>
      <w:proofErr w:type="spellEnd"/>
      <w:r w:rsidR="003B7D03" w:rsidRPr="00491B0E">
        <w:rPr>
          <w:rFonts w:ascii="Verdana" w:eastAsia="Times New Roman" w:hAnsi="Verdana" w:cs="Times New Roman"/>
          <w:sz w:val="14"/>
          <w:szCs w:val="14"/>
        </w:rPr>
        <w:t xml:space="preserve"> o szerokości co najmniej </w:t>
      </w:r>
      <w:smartTag w:uri="urn:schemas-microsoft-com:office:smarttags" w:element="metricconverter">
        <w:smartTagPr>
          <w:attr w:name="productid" w:val="1,0 m"/>
        </w:smartTagPr>
        <w:r w:rsidR="003B7D03" w:rsidRPr="00491B0E">
          <w:rPr>
            <w:rFonts w:ascii="Verdana" w:eastAsia="Times New Roman" w:hAnsi="Verdana" w:cs="Times New Roman"/>
            <w:sz w:val="14"/>
            <w:szCs w:val="14"/>
          </w:rPr>
          <w:t>1,0 m</w:t>
        </w:r>
      </w:smartTag>
      <w:r w:rsidR="003B7D03" w:rsidRPr="00491B0E">
        <w:rPr>
          <w:rFonts w:ascii="Verdana" w:eastAsia="Times New Roman" w:hAnsi="Verdana" w:cs="Times New Roman"/>
          <w:sz w:val="14"/>
          <w:szCs w:val="14"/>
        </w:rPr>
        <w:t xml:space="preserve"> po każdej stronie połączenia,</w:t>
      </w:r>
    </w:p>
    <w:p w:rsidR="00AB4573" w:rsidRDefault="00AB4573" w:rsidP="00AB457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 xml:space="preserve">przykryć całość fragmentu nawierzchni nad </w:t>
      </w:r>
      <w:proofErr w:type="spellStart"/>
      <w:r w:rsidR="003B7D03" w:rsidRPr="00491B0E">
        <w:rPr>
          <w:rFonts w:ascii="Verdana" w:eastAsia="Times New Roman" w:hAnsi="Verdana" w:cs="Times New Roman"/>
          <w:sz w:val="14"/>
          <w:szCs w:val="14"/>
        </w:rPr>
        <w:t>geokompozytem</w:t>
      </w:r>
      <w:proofErr w:type="spellEnd"/>
      <w:r w:rsidR="003B7D03" w:rsidRPr="00491B0E">
        <w:rPr>
          <w:rFonts w:ascii="Verdana" w:eastAsia="Times New Roman" w:hAnsi="Verdana" w:cs="Times New Roman"/>
          <w:sz w:val="14"/>
          <w:szCs w:val="14"/>
        </w:rPr>
        <w:t xml:space="preserve"> nową warstwą ścieralną.</w:t>
      </w:r>
    </w:p>
    <w:p w:rsidR="003B7D03" w:rsidRPr="00491B0E" w:rsidRDefault="003B7D03" w:rsidP="00AB457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Przy wyżej wymienionych czynnościach obowiązują następujące zalecenia:</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 xml:space="preserve">układanie </w:t>
      </w:r>
      <w:proofErr w:type="spellStart"/>
      <w:r w:rsidR="003B7D03" w:rsidRPr="00491B0E">
        <w:rPr>
          <w:rFonts w:ascii="Verdana" w:eastAsia="Times New Roman" w:hAnsi="Verdana" w:cs="Times New Roman"/>
          <w:sz w:val="14"/>
          <w:szCs w:val="14"/>
        </w:rPr>
        <w:t>geokompozytu</w:t>
      </w:r>
      <w:proofErr w:type="spellEnd"/>
      <w:r w:rsidR="003B7D03" w:rsidRPr="00491B0E">
        <w:rPr>
          <w:rFonts w:ascii="Verdana" w:eastAsia="Times New Roman" w:hAnsi="Verdana" w:cs="Times New Roman"/>
          <w:sz w:val="14"/>
          <w:szCs w:val="14"/>
        </w:rPr>
        <w:t xml:space="preserve"> można prowadzić wyłącznie podczas suchej pogody; </w:t>
      </w:r>
      <w:proofErr w:type="spellStart"/>
      <w:r w:rsidR="003B7D03" w:rsidRPr="00491B0E">
        <w:rPr>
          <w:rFonts w:ascii="Verdana" w:eastAsia="Times New Roman" w:hAnsi="Verdana" w:cs="Times New Roman"/>
          <w:sz w:val="14"/>
          <w:szCs w:val="14"/>
        </w:rPr>
        <w:t>geokompozyt</w:t>
      </w:r>
      <w:proofErr w:type="spellEnd"/>
      <w:r w:rsidR="003B7D03" w:rsidRPr="00491B0E">
        <w:rPr>
          <w:rFonts w:ascii="Verdana" w:eastAsia="Times New Roman" w:hAnsi="Verdana" w:cs="Times New Roman"/>
          <w:sz w:val="14"/>
          <w:szCs w:val="14"/>
        </w:rPr>
        <w:t xml:space="preserve"> nie może być </w:t>
      </w:r>
      <w:r>
        <w:rPr>
          <w:rFonts w:ascii="Verdana" w:eastAsia="Times New Roman" w:hAnsi="Verdana" w:cs="Times New Roman"/>
          <w:sz w:val="14"/>
          <w:szCs w:val="14"/>
        </w:rPr>
        <w:t xml:space="preserve">mokry i pozostawiony na noc bez </w:t>
      </w:r>
      <w:r w:rsidR="003B7D03" w:rsidRPr="00491B0E">
        <w:rPr>
          <w:rFonts w:ascii="Verdana" w:eastAsia="Times New Roman" w:hAnsi="Verdana" w:cs="Times New Roman"/>
          <w:sz w:val="14"/>
          <w:szCs w:val="14"/>
        </w:rPr>
        <w:t>przykrycia warstwą asfaltową; temperatura powietrza powinna wynosić co najmniej +10°C,</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ilość lepiszcza do skropienia (składa się z lepiszcza do nasycenia podłoża: około 100 ÷ 250 g/m</w:t>
      </w:r>
      <w:r w:rsidR="003B7D03" w:rsidRPr="00491B0E">
        <w:rPr>
          <w:rFonts w:ascii="Verdana" w:eastAsia="Times New Roman" w:hAnsi="Verdana" w:cs="Times New Roman"/>
          <w:sz w:val="14"/>
          <w:szCs w:val="14"/>
          <w:vertAlign w:val="superscript"/>
        </w:rPr>
        <w:t>2</w:t>
      </w:r>
      <w:r w:rsidR="003B7D03" w:rsidRPr="00491B0E">
        <w:rPr>
          <w:rFonts w:ascii="Verdana" w:eastAsia="Times New Roman" w:hAnsi="Verdana" w:cs="Times New Roman"/>
          <w:sz w:val="14"/>
          <w:szCs w:val="14"/>
        </w:rPr>
        <w:t xml:space="preserve"> efektywnego lepiszcza – asfaltu oraz lepiszcza do nasycenia geowłókniny w </w:t>
      </w:r>
      <w:proofErr w:type="spellStart"/>
      <w:r w:rsidR="003B7D03" w:rsidRPr="00491B0E">
        <w:rPr>
          <w:rFonts w:ascii="Verdana" w:eastAsia="Times New Roman" w:hAnsi="Verdana" w:cs="Times New Roman"/>
          <w:sz w:val="14"/>
          <w:szCs w:val="14"/>
        </w:rPr>
        <w:t>geokompozycie</w:t>
      </w:r>
      <w:proofErr w:type="spellEnd"/>
      <w:r w:rsidR="003B7D03" w:rsidRPr="00491B0E">
        <w:rPr>
          <w:rFonts w:ascii="Verdana" w:eastAsia="Times New Roman" w:hAnsi="Verdana" w:cs="Times New Roman"/>
          <w:sz w:val="14"/>
          <w:szCs w:val="14"/>
        </w:rPr>
        <w:t xml:space="preserve"> oznaczanego doświadczalnie wg [9]) może orientacyjnie wynosić 1100 ÷ 1600 g/m</w:t>
      </w:r>
      <w:r w:rsidR="003B7D03" w:rsidRPr="00491B0E">
        <w:rPr>
          <w:rFonts w:ascii="Verdana" w:eastAsia="Times New Roman" w:hAnsi="Verdana" w:cs="Times New Roman"/>
          <w:sz w:val="14"/>
          <w:szCs w:val="14"/>
          <w:vertAlign w:val="superscript"/>
        </w:rPr>
        <w:t>2</w:t>
      </w:r>
      <w:r w:rsidR="003B7D03" w:rsidRPr="00491B0E">
        <w:rPr>
          <w:rFonts w:ascii="Verdana" w:eastAsia="Times New Roman" w:hAnsi="Verdana" w:cs="Times New Roman"/>
          <w:sz w:val="14"/>
          <w:szCs w:val="14"/>
        </w:rPr>
        <w:t xml:space="preserve"> w zależności od stanu podłoża i masy powierzchniowej geowłókniny; właściwą ilość powinien podać dostawca lub producent wyrobu,</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 xml:space="preserve">dobre zespolenie </w:t>
      </w:r>
      <w:proofErr w:type="spellStart"/>
      <w:r w:rsidR="003B7D03" w:rsidRPr="00491B0E">
        <w:rPr>
          <w:rFonts w:ascii="Verdana" w:eastAsia="Times New Roman" w:hAnsi="Verdana" w:cs="Times New Roman"/>
          <w:sz w:val="14"/>
          <w:szCs w:val="14"/>
        </w:rPr>
        <w:t>geokompozytu</w:t>
      </w:r>
      <w:proofErr w:type="spellEnd"/>
      <w:r w:rsidR="003B7D03" w:rsidRPr="00491B0E">
        <w:rPr>
          <w:rFonts w:ascii="Verdana" w:eastAsia="Times New Roman" w:hAnsi="Verdana" w:cs="Times New Roman"/>
          <w:sz w:val="14"/>
          <w:szCs w:val="14"/>
        </w:rPr>
        <w:t xml:space="preserve"> z sąsiednimi warstwami nawierzchni uzyska się, gdy: podłoże będzie czyste, suche (przed skropieniem), równe (tak aby wyrób do niego przylegał),</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proofErr w:type="spellStart"/>
      <w:r w:rsidR="003B7D03" w:rsidRPr="00491B0E">
        <w:rPr>
          <w:rFonts w:ascii="Verdana" w:eastAsia="Times New Roman" w:hAnsi="Verdana" w:cs="Times New Roman"/>
          <w:sz w:val="14"/>
          <w:szCs w:val="14"/>
        </w:rPr>
        <w:t>geokompozyt</w:t>
      </w:r>
      <w:proofErr w:type="spellEnd"/>
      <w:r w:rsidR="003B7D03" w:rsidRPr="00491B0E">
        <w:rPr>
          <w:rFonts w:ascii="Verdana" w:eastAsia="Times New Roman" w:hAnsi="Verdana" w:cs="Times New Roman"/>
          <w:sz w:val="14"/>
          <w:szCs w:val="14"/>
        </w:rPr>
        <w:t xml:space="preserve"> powinien być układany stroną z siatką do podłoża, po rozpadzie emulsji asfaltowej i odparowaniu wody; czas oczekiwania na odparowanie powinien być taki, aby pozostały asfalt miał konsystencję lekko klejącą,</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t>– </w:t>
      </w:r>
      <w:r w:rsidR="003B7D03" w:rsidRPr="00491B0E">
        <w:rPr>
          <w:rFonts w:ascii="Verdana" w:eastAsia="Times New Roman" w:hAnsi="Verdana" w:cs="Times New Roman"/>
          <w:sz w:val="14"/>
          <w:szCs w:val="14"/>
        </w:rPr>
        <w:t>powierzchnia skrapiana emulsją asfaltową powinna być czysta – wszelkie zanieczyszczenia gliną, kruszywem itp. powinny zostać usunięte przed skropieniem,</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części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zanieczyszczone smarem i olejem należy wyciąć, a miejsca te należy powtórnie skropić wraz z brzegiem otaczającego wyrobu i wkleić w nie prostokątną łatę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o wymiarach zapewniających przykrycie wyciętego otworu z zakładem około </w:t>
      </w:r>
      <w:smartTag w:uri="urn:schemas-microsoft-com:office:smarttags" w:element="metricconverter">
        <w:smartTagPr>
          <w:attr w:name="productid" w:val="0,10 m"/>
        </w:smartTagPr>
        <w:r w:rsidRPr="00491B0E">
          <w:rPr>
            <w:rFonts w:ascii="Verdana" w:eastAsia="Times New Roman" w:hAnsi="Verdana" w:cs="Times New Roman"/>
            <w:sz w:val="14"/>
            <w:szCs w:val="14"/>
          </w:rPr>
          <w:t>0,10 m</w:t>
        </w:r>
      </w:smartTag>
      <w:r w:rsidRPr="00491B0E">
        <w:rPr>
          <w:rFonts w:ascii="Verdana" w:eastAsia="Times New Roman" w:hAnsi="Verdana" w:cs="Times New Roman"/>
          <w:sz w:val="14"/>
          <w:szCs w:val="14"/>
        </w:rPr>
        <w:t>,</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w przypadku łączenia pasów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szerokość poprzecznego zakładu wynosi 0,10 ÷ </w:t>
      </w:r>
      <w:smartTag w:uri="urn:schemas-microsoft-com:office:smarttags" w:element="metricconverter">
        <w:smartTagPr>
          <w:attr w:name="productid" w:val="0,15 m"/>
        </w:smartTagPr>
        <w:r w:rsidRPr="00491B0E">
          <w:rPr>
            <w:rFonts w:ascii="Verdana" w:eastAsia="Times New Roman" w:hAnsi="Verdana" w:cs="Times New Roman"/>
            <w:sz w:val="14"/>
            <w:szCs w:val="14"/>
          </w:rPr>
          <w:t>0,15 m</w:t>
        </w:r>
      </w:smartTag>
      <w:r w:rsidRPr="00491B0E">
        <w:rPr>
          <w:rFonts w:ascii="Verdana" w:eastAsia="Times New Roman" w:hAnsi="Verdana" w:cs="Times New Roman"/>
          <w:sz w:val="14"/>
          <w:szCs w:val="14"/>
        </w:rPr>
        <w:t>, przy czym dolną warstwę zakładu należy skropić dodatkowo lepiszczem w ilości około 0,400 g/m</w:t>
      </w:r>
      <w:r w:rsidRPr="00491B0E">
        <w:rPr>
          <w:rFonts w:ascii="Verdana" w:eastAsia="Times New Roman" w:hAnsi="Verdana" w:cs="Times New Roman"/>
          <w:sz w:val="14"/>
          <w:szCs w:val="14"/>
          <w:vertAlign w:val="superscript"/>
        </w:rPr>
        <w:t>2</w:t>
      </w:r>
      <w:r w:rsidRPr="00491B0E">
        <w:rPr>
          <w:rFonts w:ascii="Verdana" w:eastAsia="Times New Roman" w:hAnsi="Verdana" w:cs="Times New Roman"/>
          <w:sz w:val="14"/>
          <w:szCs w:val="14"/>
        </w:rPr>
        <w:t>,</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przy ręcznym układaniu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zaleca się, bezpośrednio po jego ułożeniu, przejazd jednokrotny walcem ogumionym (ew. stalowym) w celu ustabilizowania jego położenia,</w:t>
      </w:r>
    </w:p>
    <w:p w:rsidR="003B7D03" w:rsidRPr="00491B0E" w:rsidRDefault="00AB4573" w:rsidP="003B7D03">
      <w:pPr>
        <w:tabs>
          <w:tab w:val="num" w:pos="397"/>
        </w:tabs>
        <w:spacing w:after="0" w:line="240" w:lineRule="auto"/>
        <w:ind w:left="397" w:hanging="397"/>
        <w:rPr>
          <w:rFonts w:ascii="Verdana" w:eastAsia="Times New Roman" w:hAnsi="Verdana" w:cs="Times New Roman"/>
          <w:sz w:val="14"/>
          <w:szCs w:val="14"/>
        </w:rPr>
      </w:pPr>
      <w:r>
        <w:rPr>
          <w:rFonts w:ascii="Verdana" w:eastAsia="Times New Roman" w:hAnsi="Verdana" w:cs="Times New Roman"/>
          <w:sz w:val="14"/>
          <w:szCs w:val="14"/>
        </w:rPr>
        <w:lastRenderedPageBreak/>
        <w:t>–</w:t>
      </w:r>
      <w:r w:rsidR="003B7D03" w:rsidRPr="00491B0E">
        <w:rPr>
          <w:rFonts w:ascii="Verdana" w:eastAsia="Times New Roman" w:hAnsi="Verdana" w:cs="Times New Roman"/>
          <w:sz w:val="14"/>
          <w:szCs w:val="14"/>
        </w:rPr>
        <w:t xml:space="preserve"> w przypadku powstania fałdy w </w:t>
      </w:r>
      <w:proofErr w:type="spellStart"/>
      <w:r w:rsidR="003B7D03" w:rsidRPr="00491B0E">
        <w:rPr>
          <w:rFonts w:ascii="Verdana" w:eastAsia="Times New Roman" w:hAnsi="Verdana" w:cs="Times New Roman"/>
          <w:sz w:val="14"/>
          <w:szCs w:val="14"/>
        </w:rPr>
        <w:t>geokompozycie</w:t>
      </w:r>
      <w:proofErr w:type="spellEnd"/>
      <w:r w:rsidR="003B7D03" w:rsidRPr="00491B0E">
        <w:rPr>
          <w:rFonts w:ascii="Verdana" w:eastAsia="Times New Roman" w:hAnsi="Verdana" w:cs="Times New Roman"/>
          <w:sz w:val="14"/>
          <w:szCs w:val="14"/>
        </w:rPr>
        <w:t xml:space="preserve"> należy ją przeciąć i założyć w kierunku układania warstwy nawierzchni asfaltowej,</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przed ułożeniem warstwy ścieralnej na </w:t>
      </w:r>
      <w:proofErr w:type="spellStart"/>
      <w:r w:rsidRPr="00491B0E">
        <w:rPr>
          <w:rFonts w:ascii="Verdana" w:eastAsia="Times New Roman" w:hAnsi="Verdana" w:cs="Times New Roman"/>
          <w:sz w:val="14"/>
          <w:szCs w:val="14"/>
        </w:rPr>
        <w:t>geokompozycie</w:t>
      </w:r>
      <w:proofErr w:type="spellEnd"/>
      <w:r w:rsidRPr="00491B0E">
        <w:rPr>
          <w:rFonts w:ascii="Verdana" w:eastAsia="Times New Roman" w:hAnsi="Verdana" w:cs="Times New Roman"/>
          <w:sz w:val="14"/>
          <w:szCs w:val="14"/>
        </w:rPr>
        <w:t xml:space="preserve"> należy naprawić miejsca odklejone, fałdy, pęcherze i rozdarcia,</w:t>
      </w:r>
    </w:p>
    <w:p w:rsidR="00AB4573" w:rsidRDefault="003B7D03" w:rsidP="00AB457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ruch pojazdów roboczych po rozłożeniu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powinien być ograniczony do minimum przy przestrzeganiu zakazu gwałtownego hamowania i skręcania, aby nie fałdować wyrobu.</w:t>
      </w:r>
    </w:p>
    <w:p w:rsidR="00AB4573" w:rsidRDefault="003B7D03" w:rsidP="00AB457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Konieczne jest zapewnienie prawidłowej impregnacji i przyklejenia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do podłoża. Jeżeli uzyskanie tego nie jest możliwe z jakiegokolwiek powodu (np. istnieją fale), to należy zrezygnować z zastosowania tej technologii, bowiem niewłaściwe jej wykonanie może być powodem zniszczenia nawierzchni (np. fale mogą zniszczyć połączenie warstw).</w:t>
      </w:r>
    </w:p>
    <w:p w:rsidR="003B7D03" w:rsidRPr="00491B0E" w:rsidRDefault="003B7D03" w:rsidP="00AB457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Przykład połączenia nowej i starej nawierzchni przedstawiono na rysunku 2.</w:t>
      </w:r>
    </w:p>
    <w:p w:rsidR="00AB4573" w:rsidRDefault="003B7D03" w:rsidP="00AB457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5.7. Roboty wykończeniowe</w:t>
      </w:r>
    </w:p>
    <w:p w:rsidR="003B7D03" w:rsidRPr="00AB4573" w:rsidRDefault="003B7D03" w:rsidP="00AB457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Roboty wykończeniowe powinny być zgodne z dokumentacją projektową i ST. Do robót wykończeniowych należą prace związane z dostosowaniem wykonanych robót do istniejących warunków terenowych, takie jak:</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00227984">
        <w:rPr>
          <w:rFonts w:ascii="Verdana" w:eastAsia="Symbol" w:hAnsi="Verdana" w:cs="Times New Roman"/>
          <w:sz w:val="14"/>
          <w:szCs w:val="14"/>
        </w:rPr>
        <w:t> </w:t>
      </w:r>
      <w:r w:rsidRPr="00491B0E">
        <w:rPr>
          <w:rFonts w:ascii="Verdana" w:eastAsia="Times New Roman" w:hAnsi="Verdana" w:cs="Times New Roman"/>
          <w:sz w:val="14"/>
          <w:szCs w:val="14"/>
        </w:rPr>
        <w:t xml:space="preserve">odtworzenie przeszkód czasowo usuniętych, </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w:t>
      </w:r>
      <w:r w:rsidRPr="00491B0E">
        <w:rPr>
          <w:rFonts w:ascii="Verdana" w:eastAsia="Times New Roman" w:hAnsi="Verdana" w:cs="Times New Roman"/>
          <w:sz w:val="14"/>
          <w:szCs w:val="14"/>
        </w:rPr>
        <w:t xml:space="preserve">niezbędne uzupełnienia zniszczonej w czasie robót roślinności, np. </w:t>
      </w:r>
      <w:proofErr w:type="spellStart"/>
      <w:r w:rsidRPr="00491B0E">
        <w:rPr>
          <w:rFonts w:ascii="Verdana" w:eastAsia="Times New Roman" w:hAnsi="Verdana" w:cs="Times New Roman"/>
          <w:sz w:val="14"/>
          <w:szCs w:val="14"/>
        </w:rPr>
        <w:t>zatrawienia</w:t>
      </w:r>
      <w:proofErr w:type="spellEnd"/>
      <w:r w:rsidRPr="00491B0E">
        <w:rPr>
          <w:rFonts w:ascii="Verdana" w:eastAsia="Times New Roman" w:hAnsi="Verdana" w:cs="Times New Roman"/>
          <w:sz w:val="14"/>
          <w:szCs w:val="14"/>
        </w:rPr>
        <w:t xml:space="preserve">,  </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w:t>
      </w:r>
      <w:r w:rsidRPr="00491B0E">
        <w:rPr>
          <w:rFonts w:ascii="Verdana" w:eastAsia="Times New Roman" w:hAnsi="Verdana" w:cs="Times New Roman"/>
          <w:sz w:val="14"/>
          <w:szCs w:val="14"/>
        </w:rPr>
        <w:t>roboty porządkujące otoczenie terenu robót.</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56" w:name="_Toc424534470"/>
      <w:bookmarkStart w:id="57" w:name="_Toc46644001"/>
      <w:bookmarkStart w:id="58" w:name="_Toc51995834"/>
      <w:bookmarkStart w:id="59" w:name="_Toc70745916"/>
      <w:bookmarkStart w:id="60" w:name="_Toc113338102"/>
      <w:bookmarkStart w:id="61" w:name="_Toc120590626"/>
      <w:bookmarkStart w:id="62" w:name="_Toc138042850"/>
      <w:bookmarkStart w:id="63" w:name="_Toc250368196"/>
      <w:r w:rsidRPr="00491B0E">
        <w:rPr>
          <w:rFonts w:ascii="Verdana" w:eastAsia="Times New Roman" w:hAnsi="Verdana" w:cs="Times New Roman"/>
          <w:b/>
          <w:bCs/>
          <w:kern w:val="36"/>
          <w:sz w:val="14"/>
          <w:szCs w:val="14"/>
        </w:rPr>
        <w:t>6. KONTROLA JAKOŚCI ROBÓT</w:t>
      </w:r>
      <w:bookmarkEnd w:id="56"/>
      <w:bookmarkEnd w:id="57"/>
      <w:bookmarkEnd w:id="58"/>
      <w:bookmarkEnd w:id="59"/>
      <w:bookmarkEnd w:id="60"/>
      <w:bookmarkEnd w:id="61"/>
      <w:bookmarkEnd w:id="62"/>
      <w:bookmarkEnd w:id="63"/>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6.1. Ogólne zasady kontroli jakości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zasady kont</w:t>
      </w:r>
      <w:r w:rsidR="00227984">
        <w:rPr>
          <w:rFonts w:ascii="Verdana" w:eastAsia="Times New Roman" w:hAnsi="Verdana" w:cs="Times New Roman"/>
          <w:sz w:val="14"/>
          <w:szCs w:val="14"/>
        </w:rPr>
        <w:t>roli jakości robót podano w SST wymagania ogólne</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6.2. Badania przed przystąpieniem do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Przed przystąpieniem do robót Wykonawca powinien:</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w:t>
      </w:r>
      <w:r w:rsidRPr="00491B0E">
        <w:rPr>
          <w:rFonts w:ascii="Verdana" w:eastAsia="Times New Roman" w:hAnsi="Verdana" w:cs="Times New Roman"/>
          <w:sz w:val="14"/>
          <w:szCs w:val="14"/>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w:t>
      </w:r>
      <w:r w:rsidRPr="00491B0E">
        <w:rPr>
          <w:rFonts w:ascii="Verdana" w:eastAsia="Times New Roman" w:hAnsi="Verdana" w:cs="Times New Roman"/>
          <w:sz w:val="14"/>
          <w:szCs w:val="14"/>
        </w:rPr>
        <w:t>ew. wykonać własne badania właściwości materiałów przeznaczonych do wykonania robót, określone przez Inżyniera,</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w:t>
      </w:r>
      <w:r w:rsidRPr="00491B0E">
        <w:rPr>
          <w:rFonts w:ascii="Verdana" w:eastAsia="Times New Roman" w:hAnsi="Verdana" w:cs="Times New Roman"/>
          <w:sz w:val="14"/>
          <w:szCs w:val="14"/>
        </w:rPr>
        <w:t>sprawdzić cechy zewnętrzne gotowych materiałów z tworzyw i prefabrykowanych.</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Wszystkie dokumenty oraz wyniki badań Wykonawca przedstawia Inżynierowi do akceptacji.</w:t>
      </w:r>
    </w:p>
    <w:p w:rsidR="00227984" w:rsidRDefault="003B7D03" w:rsidP="00227984">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6.3. Badania w czasie robót</w:t>
      </w:r>
    </w:p>
    <w:p w:rsidR="003B7D03" w:rsidRPr="00227984" w:rsidRDefault="003B7D03" w:rsidP="00227984">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Częstotliwość oraz zakres badań i pomiarów, które należy wykonać w czasie robót podaje tablica 2.</w:t>
      </w:r>
    </w:p>
    <w:p w:rsidR="00227984" w:rsidRDefault="00227984"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Tablica 2. Częstotliwość oraz zakres badań i pomiarów w czasie robót</w:t>
      </w:r>
    </w:p>
    <w:tbl>
      <w:tblPr>
        <w:tblW w:w="74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96"/>
        <w:gridCol w:w="3260"/>
        <w:gridCol w:w="1417"/>
        <w:gridCol w:w="2268"/>
      </w:tblGrid>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Lp.</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Wyszczególnienie badań i pomiarów</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Częstotliwość badań</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Wartości dopuszczalne</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Lokalizacja i zgodność granic terenu robót z dokumentacją projektową</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 raz</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 i dokumentacji projektowej</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2</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Wyznaczenie linii styku starej i nowej nawierzchni</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1 raz</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Linia prosta</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3</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Rozbiórka starej nawierzchni</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Ocena ciągła</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5.4</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4</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Ułożenie nowych warstw podbudowy i warstwy wiążącej</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Jw.</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5.5</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Skropienie emulsją asfaltową podłoża pod </w:t>
            </w:r>
            <w:proofErr w:type="spellStart"/>
            <w:r w:rsidRPr="00491B0E">
              <w:rPr>
                <w:rFonts w:ascii="Verdana" w:eastAsia="Times New Roman" w:hAnsi="Verdana" w:cs="Times New Roman"/>
                <w:sz w:val="14"/>
                <w:szCs w:val="14"/>
              </w:rPr>
              <w:t>geokompozyt</w:t>
            </w:r>
            <w:proofErr w:type="spellEnd"/>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Jw.</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5.6</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6</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Ułożenie </w:t>
            </w:r>
            <w:proofErr w:type="spellStart"/>
            <w:r w:rsidRPr="00491B0E">
              <w:rPr>
                <w:rFonts w:ascii="Verdana" w:eastAsia="Times New Roman" w:hAnsi="Verdana" w:cs="Times New Roman"/>
                <w:sz w:val="14"/>
                <w:szCs w:val="14"/>
              </w:rPr>
              <w:t>geokompozytu</w:t>
            </w:r>
            <w:proofErr w:type="spellEnd"/>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Jw.</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5.6</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7</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Ułożenie nowej warstwy ścieralnej nawierzchni</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Jw.</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5.6</w:t>
            </w:r>
          </w:p>
        </w:tc>
      </w:tr>
      <w:tr w:rsidR="003B7D03" w:rsidRPr="00491B0E" w:rsidTr="00CE63AB">
        <w:tc>
          <w:tcPr>
            <w:tcW w:w="496"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8</w:t>
            </w:r>
          </w:p>
        </w:tc>
        <w:tc>
          <w:tcPr>
            <w:tcW w:w="3260"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Wykonanie robót wykończeniowych</w:t>
            </w:r>
          </w:p>
        </w:tc>
        <w:tc>
          <w:tcPr>
            <w:tcW w:w="1417"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Ocena ciągła</w:t>
            </w:r>
          </w:p>
        </w:tc>
        <w:tc>
          <w:tcPr>
            <w:tcW w:w="2268" w:type="dxa"/>
            <w:tcBorders>
              <w:top w:val="single" w:sz="6" w:space="0" w:color="auto"/>
              <w:left w:val="single" w:sz="6" w:space="0" w:color="auto"/>
              <w:bottom w:val="single" w:sz="6" w:space="0" w:color="auto"/>
              <w:right w:val="single" w:sz="6" w:space="0" w:color="auto"/>
            </w:tcBorders>
            <w:noWrap/>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 xml:space="preserve">Wg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5.7</w:t>
            </w:r>
          </w:p>
        </w:tc>
      </w:tr>
    </w:tbl>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64" w:name="_Toc421594985"/>
      <w:bookmarkStart w:id="65" w:name="_Toc507909785"/>
      <w:bookmarkStart w:id="66" w:name="_Toc507909892"/>
      <w:bookmarkStart w:id="67" w:name="_Toc138042851"/>
      <w:bookmarkStart w:id="68" w:name="_Toc250368197"/>
      <w:r w:rsidRPr="00491B0E">
        <w:rPr>
          <w:rFonts w:ascii="Verdana" w:eastAsia="Times New Roman" w:hAnsi="Verdana" w:cs="Times New Roman"/>
          <w:b/>
          <w:bCs/>
          <w:kern w:val="36"/>
          <w:sz w:val="14"/>
          <w:szCs w:val="14"/>
        </w:rPr>
        <w:t>7. obmiar robót</w:t>
      </w:r>
      <w:bookmarkEnd w:id="64"/>
      <w:bookmarkEnd w:id="65"/>
      <w:bookmarkEnd w:id="66"/>
      <w:bookmarkEnd w:id="67"/>
      <w:bookmarkEnd w:id="68"/>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7.1. Ogólne zasady obmiaru robót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zasady obmi</w:t>
      </w:r>
      <w:r w:rsidR="00227984">
        <w:rPr>
          <w:rFonts w:ascii="Verdana" w:eastAsia="Times New Roman" w:hAnsi="Verdana" w:cs="Times New Roman"/>
          <w:sz w:val="14"/>
          <w:szCs w:val="14"/>
        </w:rPr>
        <w:t>aru robót podano w SST wymagania ogólne</w:t>
      </w:r>
      <w:r w:rsidRPr="00491B0E">
        <w:rPr>
          <w:rFonts w:ascii="Verdana" w:eastAsia="Times New Roman" w:hAnsi="Verdana" w:cs="Times New Roman"/>
          <w:sz w:val="14"/>
          <w:szCs w:val="14"/>
        </w:rPr>
        <w:t>.</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7.2. Jednostka obmiarowa</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Jednostką obmiarową jest m</w:t>
      </w:r>
      <w:r w:rsidRPr="00491B0E">
        <w:rPr>
          <w:rFonts w:ascii="Verdana" w:eastAsia="Times New Roman" w:hAnsi="Verdana" w:cs="Times New Roman"/>
          <w:sz w:val="14"/>
          <w:szCs w:val="14"/>
          <w:vertAlign w:val="superscript"/>
        </w:rPr>
        <w:t>2</w:t>
      </w:r>
      <w:r w:rsidRPr="00491B0E">
        <w:rPr>
          <w:rFonts w:ascii="Verdana" w:eastAsia="Times New Roman" w:hAnsi="Verdana" w:cs="Times New Roman"/>
          <w:sz w:val="14"/>
          <w:szCs w:val="14"/>
        </w:rPr>
        <w:t xml:space="preserve"> (metr kwadratowy) ułożonego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Jednostki obmiarowe robót towarzyszących (np. ułożenia warstw nowej nawierzchni) są ustalone w odpowiednich OST.</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69" w:name="_Toc421594986"/>
      <w:bookmarkStart w:id="70" w:name="_Toc507909786"/>
      <w:bookmarkStart w:id="71" w:name="_Toc507909893"/>
      <w:bookmarkStart w:id="72" w:name="_Toc138042852"/>
      <w:bookmarkStart w:id="73" w:name="_Toc250368198"/>
      <w:r w:rsidRPr="00491B0E">
        <w:rPr>
          <w:rFonts w:ascii="Verdana" w:eastAsia="Times New Roman" w:hAnsi="Verdana" w:cs="Times New Roman"/>
          <w:b/>
          <w:bCs/>
          <w:kern w:val="36"/>
          <w:sz w:val="14"/>
          <w:szCs w:val="14"/>
        </w:rPr>
        <w:t>8. odbiór robót</w:t>
      </w:r>
      <w:bookmarkEnd w:id="69"/>
      <w:bookmarkEnd w:id="70"/>
      <w:bookmarkEnd w:id="71"/>
      <w:bookmarkEnd w:id="72"/>
      <w:bookmarkEnd w:id="73"/>
    </w:p>
    <w:p w:rsidR="00227984" w:rsidRDefault="003B7D03" w:rsidP="00227984">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8.1. Ogólne zasady odbioru robót</w:t>
      </w:r>
      <w:r w:rsidRPr="00491B0E">
        <w:rPr>
          <w:rFonts w:ascii="Verdana" w:eastAsia="Times New Roman" w:hAnsi="Verdana" w:cs="Times New Roman"/>
          <w:b/>
          <w:bCs/>
          <w:sz w:val="14"/>
          <w:szCs w:val="14"/>
        </w:rPr>
        <w:tab/>
      </w:r>
    </w:p>
    <w:p w:rsidR="003B7D03" w:rsidRPr="00227984" w:rsidRDefault="003B7D03" w:rsidP="00227984">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Ogólne za</w:t>
      </w:r>
      <w:r w:rsidR="00227984">
        <w:rPr>
          <w:rFonts w:ascii="Verdana" w:eastAsia="Times New Roman" w:hAnsi="Verdana" w:cs="Times New Roman"/>
          <w:sz w:val="14"/>
          <w:szCs w:val="14"/>
        </w:rPr>
        <w:t>sady odbioru robót podano w SST wymagania ogólne</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Roboty uznaje się za wykonane zgodnie z dokumentacją projektową, ST i wymaganiami Inżyniera, jeżeli wszystkie pomiary i badania z zachowaniem tolerancji według </w:t>
      </w:r>
      <w:proofErr w:type="spellStart"/>
      <w:r w:rsidRPr="00491B0E">
        <w:rPr>
          <w:rFonts w:ascii="Verdana" w:eastAsia="Times New Roman" w:hAnsi="Verdana" w:cs="Times New Roman"/>
          <w:sz w:val="14"/>
          <w:szCs w:val="14"/>
        </w:rPr>
        <w:t>pktu</w:t>
      </w:r>
      <w:proofErr w:type="spellEnd"/>
      <w:r w:rsidRPr="00491B0E">
        <w:rPr>
          <w:rFonts w:ascii="Verdana" w:eastAsia="Times New Roman" w:hAnsi="Verdana" w:cs="Times New Roman"/>
          <w:sz w:val="14"/>
          <w:szCs w:val="14"/>
        </w:rPr>
        <w:t xml:space="preserve"> 6 dały wyniki pozytywne.</w:t>
      </w:r>
      <w:bookmarkStart w:id="74" w:name="_Toc421594987"/>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8.2. Odbiór robót zanikających i ulegających zakryciu</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Odbiorowi robót zanikających i ulegających zakryciu podlegają:</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oczyszczenie nawierzchni,</w:t>
      </w:r>
    </w:p>
    <w:p w:rsidR="003B7D03" w:rsidRPr="00491B0E" w:rsidRDefault="003B7D03" w:rsidP="003B7D03">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skropienie nawierzchni emulsją asfaltową,</w:t>
      </w:r>
    </w:p>
    <w:p w:rsidR="00227984" w:rsidRDefault="003B7D03" w:rsidP="00227984">
      <w:pPr>
        <w:tabs>
          <w:tab w:val="num" w:pos="397"/>
        </w:tabs>
        <w:spacing w:after="0" w:line="240" w:lineRule="auto"/>
        <w:ind w:left="397" w:hanging="397"/>
        <w:rPr>
          <w:rFonts w:ascii="Verdana" w:eastAsia="Times New Roman" w:hAnsi="Verdana" w:cs="Times New Roman"/>
          <w:sz w:val="14"/>
          <w:szCs w:val="14"/>
        </w:rPr>
      </w:pPr>
      <w:r w:rsidRPr="00491B0E">
        <w:rPr>
          <w:rFonts w:ascii="Verdana" w:eastAsia="Times New Roman" w:hAnsi="Verdana" w:cs="Times New Roman"/>
          <w:sz w:val="14"/>
          <w:szCs w:val="14"/>
        </w:rPr>
        <w:t xml:space="preserve">– ułożenie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75" w:name="_Toc507909787"/>
      <w:bookmarkStart w:id="76" w:name="_Toc507909894"/>
      <w:bookmarkStart w:id="77" w:name="_Toc138042853"/>
      <w:bookmarkStart w:id="78" w:name="_Toc250368199"/>
      <w:r w:rsidRPr="00491B0E">
        <w:rPr>
          <w:rFonts w:ascii="Verdana" w:eastAsia="Times New Roman" w:hAnsi="Verdana" w:cs="Times New Roman"/>
          <w:b/>
          <w:bCs/>
          <w:kern w:val="36"/>
          <w:sz w:val="14"/>
          <w:szCs w:val="14"/>
        </w:rPr>
        <w:t>9. podstawa płatności</w:t>
      </w:r>
      <w:bookmarkEnd w:id="74"/>
      <w:bookmarkEnd w:id="75"/>
      <w:bookmarkEnd w:id="76"/>
      <w:bookmarkEnd w:id="77"/>
      <w:bookmarkEnd w:id="78"/>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9.1. Ogólne ustalenia dotyczące podstawy płatności</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Ogólne ustalenia dotyczące podstawy płatności podano w OST D-M-00.00.00 „Wymagania ogólne” [1] pkt 9.</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9.2. Cena jednostki obmiarowej</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 xml:space="preserve">Cena wykonania </w:t>
      </w:r>
      <w:smartTag w:uri="urn:schemas-microsoft-com:office:smarttags" w:element="metricconverter">
        <w:smartTagPr>
          <w:attr w:name="productid" w:val="1 m2"/>
        </w:smartTagPr>
        <w:r w:rsidRPr="00491B0E">
          <w:rPr>
            <w:rFonts w:ascii="Verdana" w:eastAsia="Times New Roman" w:hAnsi="Verdana" w:cs="Times New Roman"/>
            <w:sz w:val="14"/>
            <w:szCs w:val="14"/>
          </w:rPr>
          <w:t>1 m</w:t>
        </w:r>
        <w:r w:rsidRPr="00491B0E">
          <w:rPr>
            <w:rFonts w:ascii="Verdana" w:eastAsia="Times New Roman" w:hAnsi="Verdana" w:cs="Times New Roman"/>
            <w:sz w:val="14"/>
            <w:szCs w:val="14"/>
            <w:vertAlign w:val="superscript"/>
          </w:rPr>
          <w:t>2</w:t>
        </w:r>
      </w:smartTag>
      <w:r w:rsidRPr="00491B0E">
        <w:rPr>
          <w:rFonts w:ascii="Verdana" w:eastAsia="Times New Roman" w:hAnsi="Verdana" w:cs="Times New Roman"/>
          <w:sz w:val="14"/>
          <w:szCs w:val="14"/>
        </w:rPr>
        <w:t xml:space="preserve"> ułożenia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obejmuje:</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prace pomiarowe i roboty przygotowawcze,</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oznakowanie robót,</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dostarczenie materiałów i sprzętu,</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xml:space="preserve">–      przygotowanie podłoża do ułożenia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rozebranie istniejącej nawierzchni,</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skropienie podłoża emulsją asfaltową,</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xml:space="preserve">–      ułożenie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wykonanie wszystkich robót według wymagań dokumentacji projektowej, ST i specyfikacji technicznej,</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oczyszczenie miejsca robót i uporządkowanie terenu przyległego,</w:t>
      </w:r>
    </w:p>
    <w:p w:rsidR="003B7D03" w:rsidRPr="00491B0E" w:rsidRDefault="003B7D03" w:rsidP="003B7D03">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przeprowadzenie pomiarów i badań wymaganych w specyfikacji technicznej,</w:t>
      </w:r>
    </w:p>
    <w:p w:rsidR="00227984" w:rsidRDefault="003B7D03" w:rsidP="00227984">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odwiezienie sprzętu.</w:t>
      </w:r>
    </w:p>
    <w:p w:rsidR="003B7D03" w:rsidRPr="00491B0E" w:rsidRDefault="003B7D03" w:rsidP="00227984">
      <w:pPr>
        <w:tabs>
          <w:tab w:val="num" w:pos="284"/>
        </w:tabs>
        <w:spacing w:after="0" w:line="240" w:lineRule="auto"/>
        <w:ind w:left="284" w:hanging="284"/>
        <w:rPr>
          <w:rFonts w:ascii="Verdana" w:eastAsia="Times New Roman" w:hAnsi="Verdana" w:cs="Times New Roman"/>
          <w:sz w:val="14"/>
          <w:szCs w:val="14"/>
        </w:rPr>
      </w:pPr>
      <w:r w:rsidRPr="00491B0E">
        <w:rPr>
          <w:rFonts w:ascii="Verdana" w:eastAsia="Times New Roman" w:hAnsi="Verdana" w:cs="Times New Roman"/>
          <w:sz w:val="14"/>
          <w:szCs w:val="14"/>
        </w:rPr>
        <w:t xml:space="preserve">Cena wykonania </w:t>
      </w:r>
      <w:smartTag w:uri="urn:schemas-microsoft-com:office:smarttags" w:element="metricconverter">
        <w:smartTagPr>
          <w:attr w:name="productid" w:val="1 m2"/>
        </w:smartTagPr>
        <w:r w:rsidRPr="00491B0E">
          <w:rPr>
            <w:rFonts w:ascii="Verdana" w:eastAsia="Times New Roman" w:hAnsi="Verdana" w:cs="Times New Roman"/>
            <w:sz w:val="14"/>
            <w:szCs w:val="14"/>
          </w:rPr>
          <w:t>1 m</w:t>
        </w:r>
        <w:r w:rsidRPr="00491B0E">
          <w:rPr>
            <w:rFonts w:ascii="Verdana" w:eastAsia="Times New Roman" w:hAnsi="Verdana" w:cs="Times New Roman"/>
            <w:sz w:val="14"/>
            <w:szCs w:val="14"/>
            <w:vertAlign w:val="superscript"/>
          </w:rPr>
          <w:t>2</w:t>
        </w:r>
      </w:smartTag>
      <w:r w:rsidRPr="00491B0E">
        <w:rPr>
          <w:rFonts w:ascii="Verdana" w:eastAsia="Times New Roman" w:hAnsi="Verdana" w:cs="Times New Roman"/>
          <w:sz w:val="14"/>
          <w:szCs w:val="14"/>
        </w:rPr>
        <w:t xml:space="preserve"> ułożenia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nie obejmuje robót innych, np. wykonania warstw nowej nawierzchni, które powinny być ujęte w innych pozycjach kosztorysowych.</w:t>
      </w:r>
    </w:p>
    <w:p w:rsidR="003B7D03" w:rsidRPr="00491B0E" w:rsidRDefault="003B7D03" w:rsidP="003B7D03">
      <w:pPr>
        <w:spacing w:after="0" w:line="240" w:lineRule="auto"/>
        <w:outlineLvl w:val="1"/>
        <w:rPr>
          <w:rFonts w:ascii="Verdana" w:eastAsia="Times New Roman" w:hAnsi="Verdana" w:cs="Times New Roman"/>
          <w:b/>
          <w:bCs/>
          <w:sz w:val="14"/>
          <w:szCs w:val="14"/>
        </w:rPr>
      </w:pPr>
      <w:r w:rsidRPr="00491B0E">
        <w:rPr>
          <w:rFonts w:ascii="Verdana" w:eastAsia="Times New Roman" w:hAnsi="Verdana" w:cs="Times New Roman"/>
          <w:b/>
          <w:bCs/>
          <w:sz w:val="14"/>
          <w:szCs w:val="14"/>
        </w:rPr>
        <w:t>9.3. Sposób rozliczenia robót tymczasowych i prac towarzyszących</w:t>
      </w: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Cena wykonania robót określonych niniejszą OST obejmuje:</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xml:space="preserve">      </w:t>
      </w:r>
      <w:r w:rsidRPr="00491B0E">
        <w:rPr>
          <w:rFonts w:ascii="Verdana" w:eastAsia="Times New Roman" w:hAnsi="Verdana" w:cs="Times New Roman"/>
          <w:sz w:val="14"/>
          <w:szCs w:val="14"/>
        </w:rPr>
        <w:t>roboty tymczasowe, które są potrzebne do wykonania robót podstawowych, ale nie są przekazywane Zamawiającemu i są usuwane po wykonaniu robót podstawowych,</w:t>
      </w:r>
    </w:p>
    <w:p w:rsidR="003B7D03" w:rsidRPr="00491B0E" w:rsidRDefault="003B7D03" w:rsidP="003B7D03">
      <w:pPr>
        <w:spacing w:after="0" w:line="240" w:lineRule="auto"/>
        <w:ind w:left="283" w:hanging="283"/>
        <w:rPr>
          <w:rFonts w:ascii="Verdana" w:eastAsia="Times New Roman" w:hAnsi="Verdana" w:cs="Times New Roman"/>
          <w:sz w:val="14"/>
          <w:szCs w:val="14"/>
        </w:rPr>
      </w:pPr>
      <w:r w:rsidRPr="00491B0E">
        <w:rPr>
          <w:rFonts w:ascii="Verdana" w:eastAsia="Symbol" w:hAnsi="Verdana" w:cs="Symbol"/>
          <w:sz w:val="14"/>
          <w:szCs w:val="14"/>
        </w:rPr>
        <w:t>-</w:t>
      </w:r>
      <w:r w:rsidRPr="00491B0E">
        <w:rPr>
          <w:rFonts w:ascii="Verdana" w:eastAsia="Symbol" w:hAnsi="Verdana" w:cs="Times New Roman"/>
          <w:sz w:val="14"/>
          <w:szCs w:val="14"/>
        </w:rPr>
        <w:t xml:space="preserve">      </w:t>
      </w:r>
      <w:r w:rsidRPr="00491B0E">
        <w:rPr>
          <w:rFonts w:ascii="Verdana" w:eastAsia="Times New Roman" w:hAnsi="Verdana" w:cs="Times New Roman"/>
          <w:sz w:val="14"/>
          <w:szCs w:val="14"/>
        </w:rPr>
        <w:t>prace towarzyszące, które są niezbędne do wykonania robót podstawowych, niezaliczane do robót tymczasowych, jak geodezyjne wytyczenie robót itd.</w:t>
      </w:r>
    </w:p>
    <w:p w:rsidR="003B7D03" w:rsidRPr="00491B0E" w:rsidRDefault="003B7D03" w:rsidP="003B7D03">
      <w:pPr>
        <w:spacing w:after="0" w:line="240" w:lineRule="auto"/>
        <w:outlineLvl w:val="0"/>
        <w:rPr>
          <w:rFonts w:ascii="Verdana" w:eastAsia="Times New Roman" w:hAnsi="Verdana" w:cs="Times New Roman"/>
          <w:b/>
          <w:bCs/>
          <w:kern w:val="36"/>
          <w:sz w:val="14"/>
          <w:szCs w:val="14"/>
        </w:rPr>
      </w:pPr>
      <w:bookmarkStart w:id="79" w:name="_Toc24955917"/>
      <w:bookmarkStart w:id="80" w:name="_Toc25041751"/>
      <w:bookmarkStart w:id="81" w:name="_Toc79371980"/>
      <w:bookmarkStart w:id="82" w:name="_Toc84648750"/>
      <w:bookmarkStart w:id="83" w:name="_Toc84822934"/>
      <w:bookmarkStart w:id="84" w:name="_Toc85259367"/>
      <w:bookmarkStart w:id="85" w:name="_Toc90274382"/>
      <w:bookmarkStart w:id="86" w:name="_Toc92608251"/>
      <w:bookmarkStart w:id="87" w:name="_Toc113935596"/>
      <w:bookmarkStart w:id="88" w:name="_Toc115670890"/>
      <w:bookmarkStart w:id="89" w:name="_Toc120590630"/>
      <w:bookmarkStart w:id="90" w:name="_Toc138042854"/>
      <w:bookmarkStart w:id="91" w:name="_Toc250368200"/>
      <w:r w:rsidRPr="00491B0E">
        <w:rPr>
          <w:rFonts w:ascii="Verdana" w:eastAsia="Times New Roman" w:hAnsi="Verdana" w:cs="Times New Roman"/>
          <w:b/>
          <w:bCs/>
          <w:kern w:val="36"/>
          <w:sz w:val="14"/>
          <w:szCs w:val="14"/>
        </w:rPr>
        <w:t>10. przepisy związane</w:t>
      </w:r>
      <w:bookmarkEnd w:id="79"/>
      <w:bookmarkEnd w:id="80"/>
      <w:bookmarkEnd w:id="81"/>
      <w:bookmarkEnd w:id="82"/>
      <w:bookmarkEnd w:id="83"/>
      <w:bookmarkEnd w:id="84"/>
      <w:bookmarkEnd w:id="85"/>
      <w:bookmarkEnd w:id="86"/>
      <w:bookmarkEnd w:id="87"/>
      <w:bookmarkEnd w:id="88"/>
      <w:bookmarkEnd w:id="89"/>
      <w:bookmarkEnd w:id="90"/>
      <w:bookmarkEnd w:id="91"/>
    </w:p>
    <w:p w:rsidR="003B7D03" w:rsidRPr="00491B0E" w:rsidRDefault="001A0572" w:rsidP="003B7D03">
      <w:pPr>
        <w:spacing w:after="0" w:line="240" w:lineRule="auto"/>
        <w:outlineLvl w:val="1"/>
        <w:rPr>
          <w:rFonts w:ascii="Verdana" w:eastAsia="Times New Roman" w:hAnsi="Verdana" w:cs="Times New Roman"/>
          <w:b/>
          <w:bCs/>
          <w:sz w:val="14"/>
          <w:szCs w:val="14"/>
        </w:rPr>
      </w:pPr>
      <w:r>
        <w:rPr>
          <w:rFonts w:ascii="Verdana" w:eastAsia="Times New Roman" w:hAnsi="Verdana" w:cs="Times New Roman"/>
          <w:b/>
          <w:bCs/>
          <w:sz w:val="14"/>
          <w:szCs w:val="14"/>
        </w:rPr>
        <w:lastRenderedPageBreak/>
        <w:t>10.1</w:t>
      </w:r>
      <w:r w:rsidR="003B7D03" w:rsidRPr="00491B0E">
        <w:rPr>
          <w:rFonts w:ascii="Verdana" w:eastAsia="Times New Roman" w:hAnsi="Verdana" w:cs="Times New Roman"/>
          <w:b/>
          <w:bCs/>
          <w:sz w:val="14"/>
          <w:szCs w:val="14"/>
        </w:rPr>
        <w:t>. Normy</w:t>
      </w:r>
    </w:p>
    <w:tbl>
      <w:tblPr>
        <w:tblW w:w="0" w:type="auto"/>
        <w:tblLook w:val="01E0" w:firstRow="1" w:lastRow="1" w:firstColumn="1" w:lastColumn="1" w:noHBand="0" w:noVBand="0"/>
      </w:tblPr>
      <w:tblGrid>
        <w:gridCol w:w="534"/>
        <w:gridCol w:w="1593"/>
        <w:gridCol w:w="7087"/>
      </w:tblGrid>
      <w:tr w:rsidR="003B7D03" w:rsidRPr="00491B0E" w:rsidTr="00CE63AB">
        <w:tc>
          <w:tcPr>
            <w:tcW w:w="534" w:type="dxa"/>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2.</w:t>
            </w:r>
          </w:p>
        </w:tc>
        <w:tc>
          <w:tcPr>
            <w:tcW w:w="1593"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PN-EN 1428</w:t>
            </w:r>
          </w:p>
        </w:tc>
        <w:tc>
          <w:tcPr>
            <w:tcW w:w="7087"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Asfalty i lepiszcza asfaltowe – Oznaczanie zawartości wody w emulsjach asfaltowych – Metoda destylacji azeotropowej</w:t>
            </w:r>
          </w:p>
        </w:tc>
      </w:tr>
      <w:tr w:rsidR="003B7D03" w:rsidRPr="00491B0E" w:rsidTr="00CE63AB">
        <w:tc>
          <w:tcPr>
            <w:tcW w:w="534" w:type="dxa"/>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3.</w:t>
            </w:r>
          </w:p>
        </w:tc>
        <w:tc>
          <w:tcPr>
            <w:tcW w:w="1593"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PN-EN 1429</w:t>
            </w:r>
          </w:p>
        </w:tc>
        <w:tc>
          <w:tcPr>
            <w:tcW w:w="7087"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Asfalty i lepiszcza asfaltowe – Oznaczanie pozostałości na sicie emulsji asfaltowych oraz trwałości podczas magazynowania metodą pozostałości na sicie</w:t>
            </w:r>
          </w:p>
        </w:tc>
      </w:tr>
      <w:tr w:rsidR="003B7D03" w:rsidRPr="00491B0E" w:rsidTr="00CE63AB">
        <w:tc>
          <w:tcPr>
            <w:tcW w:w="534" w:type="dxa"/>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4.</w:t>
            </w:r>
          </w:p>
        </w:tc>
        <w:tc>
          <w:tcPr>
            <w:tcW w:w="1593"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PN-EN 12846</w:t>
            </w:r>
          </w:p>
        </w:tc>
        <w:tc>
          <w:tcPr>
            <w:tcW w:w="7087"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Asfalty i lepiszcza asfaltowe – Oznaczanie czasu wypływu emulsji asfaltowych lepkościomierzem wypływowym</w:t>
            </w:r>
          </w:p>
        </w:tc>
      </w:tr>
      <w:tr w:rsidR="003B7D03" w:rsidRPr="00491B0E" w:rsidTr="00CE63AB">
        <w:tc>
          <w:tcPr>
            <w:tcW w:w="534" w:type="dxa"/>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5.</w:t>
            </w:r>
          </w:p>
        </w:tc>
        <w:tc>
          <w:tcPr>
            <w:tcW w:w="1593"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PN-EN 12847</w:t>
            </w:r>
          </w:p>
        </w:tc>
        <w:tc>
          <w:tcPr>
            <w:tcW w:w="7087"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Asfalty i lepiszcza asfaltowe – Oznaczanie sedymentacji emulsji asfaltowych</w:t>
            </w:r>
          </w:p>
        </w:tc>
      </w:tr>
      <w:tr w:rsidR="003B7D03" w:rsidRPr="00491B0E" w:rsidTr="00CE63AB">
        <w:tc>
          <w:tcPr>
            <w:tcW w:w="534" w:type="dxa"/>
            <w:hideMark/>
          </w:tcPr>
          <w:p w:rsidR="003B7D03" w:rsidRPr="00491B0E" w:rsidRDefault="003B7D03" w:rsidP="00CE63AB">
            <w:pPr>
              <w:spacing w:after="0" w:line="240" w:lineRule="auto"/>
              <w:jc w:val="center"/>
              <w:rPr>
                <w:rFonts w:ascii="Verdana" w:eastAsia="Times New Roman" w:hAnsi="Verdana" w:cs="Times New Roman"/>
                <w:sz w:val="14"/>
                <w:szCs w:val="14"/>
              </w:rPr>
            </w:pPr>
            <w:r w:rsidRPr="00491B0E">
              <w:rPr>
                <w:rFonts w:ascii="Verdana" w:eastAsia="Times New Roman" w:hAnsi="Verdana" w:cs="Times New Roman"/>
                <w:sz w:val="14"/>
                <w:szCs w:val="14"/>
              </w:rPr>
              <w:t>6.</w:t>
            </w:r>
          </w:p>
        </w:tc>
        <w:tc>
          <w:tcPr>
            <w:tcW w:w="1593"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PN-EN 13075-1</w:t>
            </w:r>
          </w:p>
        </w:tc>
        <w:tc>
          <w:tcPr>
            <w:tcW w:w="7087" w:type="dxa"/>
            <w:hideMark/>
          </w:tcPr>
          <w:p w:rsidR="003B7D03" w:rsidRPr="00491B0E" w:rsidRDefault="003B7D03" w:rsidP="00CE63AB">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Asfalty i lepiszcza asfaltowe – Badanie rozpadu – Część 1: Oznaczanie indeksu rozpadu kationowych emulsji asfaltowych, metodą z wypełniaczem mineralnym</w:t>
            </w:r>
          </w:p>
        </w:tc>
      </w:tr>
    </w:tbl>
    <w:p w:rsidR="003B7D03" w:rsidRPr="00491B0E" w:rsidRDefault="001A0572" w:rsidP="003B7D03">
      <w:pPr>
        <w:spacing w:after="0" w:line="240" w:lineRule="auto"/>
        <w:outlineLvl w:val="1"/>
        <w:rPr>
          <w:rFonts w:ascii="Verdana" w:eastAsia="Times New Roman" w:hAnsi="Verdana" w:cs="Times New Roman"/>
          <w:b/>
          <w:bCs/>
          <w:sz w:val="14"/>
          <w:szCs w:val="14"/>
        </w:rPr>
      </w:pPr>
      <w:r>
        <w:rPr>
          <w:rFonts w:ascii="Verdana" w:eastAsia="Times New Roman" w:hAnsi="Verdana" w:cs="Times New Roman"/>
          <w:b/>
          <w:bCs/>
          <w:sz w:val="14"/>
          <w:szCs w:val="14"/>
        </w:rPr>
        <w:t>10.2</w:t>
      </w:r>
      <w:r w:rsidR="003B7D03" w:rsidRPr="00491B0E">
        <w:rPr>
          <w:rFonts w:ascii="Verdana" w:eastAsia="Times New Roman" w:hAnsi="Verdana" w:cs="Times New Roman"/>
          <w:b/>
          <w:bCs/>
          <w:sz w:val="14"/>
          <w:szCs w:val="14"/>
        </w:rPr>
        <w:t>. Wymagania techniczne (rekomendowane przez Ministra Infrastruktury)</w:t>
      </w:r>
    </w:p>
    <w:p w:rsidR="003B7D03" w:rsidRPr="00491B0E" w:rsidRDefault="003B7D03" w:rsidP="003B7D03">
      <w:pPr>
        <w:spacing w:after="0" w:line="240" w:lineRule="auto"/>
        <w:ind w:left="567" w:hanging="283"/>
        <w:rPr>
          <w:rFonts w:ascii="Verdana" w:eastAsia="Times New Roman" w:hAnsi="Verdana" w:cs="Times New Roman"/>
          <w:sz w:val="14"/>
          <w:szCs w:val="14"/>
        </w:rPr>
      </w:pPr>
      <w:r w:rsidRPr="00491B0E">
        <w:rPr>
          <w:rFonts w:ascii="Verdana" w:eastAsia="Times New Roman" w:hAnsi="Verdana" w:cs="Times New Roman"/>
          <w:sz w:val="14"/>
          <w:szCs w:val="14"/>
        </w:rPr>
        <w:t>7.    WT-3 Emulsje asfaltowe 2009. Kationowe emulsje asfaltowe na drogach publicznych</w:t>
      </w:r>
    </w:p>
    <w:p w:rsidR="003B7D03" w:rsidRPr="00491B0E" w:rsidRDefault="001A0572" w:rsidP="003B7D03">
      <w:pPr>
        <w:spacing w:after="0" w:line="240" w:lineRule="auto"/>
        <w:outlineLvl w:val="1"/>
        <w:rPr>
          <w:rFonts w:ascii="Verdana" w:eastAsia="Times New Roman" w:hAnsi="Verdana" w:cs="Times New Roman"/>
          <w:b/>
          <w:bCs/>
          <w:sz w:val="14"/>
          <w:szCs w:val="14"/>
        </w:rPr>
      </w:pPr>
      <w:r>
        <w:rPr>
          <w:rFonts w:ascii="Verdana" w:eastAsia="Times New Roman" w:hAnsi="Verdana" w:cs="Times New Roman"/>
          <w:b/>
          <w:bCs/>
          <w:sz w:val="14"/>
          <w:szCs w:val="14"/>
        </w:rPr>
        <w:t>10.3</w:t>
      </w:r>
      <w:r w:rsidR="003B7D03" w:rsidRPr="00491B0E">
        <w:rPr>
          <w:rFonts w:ascii="Verdana" w:eastAsia="Times New Roman" w:hAnsi="Verdana" w:cs="Times New Roman"/>
          <w:b/>
          <w:bCs/>
          <w:sz w:val="14"/>
          <w:szCs w:val="14"/>
        </w:rPr>
        <w:t>. Inne dokumenty</w:t>
      </w:r>
    </w:p>
    <w:p w:rsidR="003B7D03" w:rsidRPr="00491B0E" w:rsidRDefault="003B7D03" w:rsidP="003B7D03">
      <w:pPr>
        <w:tabs>
          <w:tab w:val="num" w:pos="-142"/>
        </w:tabs>
        <w:spacing w:after="0" w:line="240" w:lineRule="auto"/>
        <w:ind w:left="567" w:hanging="283"/>
        <w:rPr>
          <w:rFonts w:ascii="Verdana" w:eastAsia="Times New Roman" w:hAnsi="Verdana" w:cs="Times New Roman"/>
          <w:sz w:val="14"/>
          <w:szCs w:val="14"/>
        </w:rPr>
      </w:pPr>
      <w:r w:rsidRPr="00491B0E">
        <w:rPr>
          <w:rFonts w:ascii="Verdana" w:eastAsia="Times New Roman" w:hAnsi="Verdana" w:cs="Times New Roman"/>
          <w:sz w:val="14"/>
          <w:szCs w:val="14"/>
        </w:rPr>
        <w:t xml:space="preserve">8.    Katalog wzmocnień i remontów nawierzchni podatnych i półsztywnych, </w:t>
      </w:r>
      <w:proofErr w:type="spellStart"/>
      <w:r w:rsidRPr="00491B0E">
        <w:rPr>
          <w:rFonts w:ascii="Verdana" w:eastAsia="Times New Roman" w:hAnsi="Verdana" w:cs="Times New Roman"/>
          <w:sz w:val="14"/>
          <w:szCs w:val="14"/>
        </w:rPr>
        <w:t>IBDiM</w:t>
      </w:r>
      <w:proofErr w:type="spellEnd"/>
      <w:r w:rsidRPr="00491B0E">
        <w:rPr>
          <w:rFonts w:ascii="Verdana" w:eastAsia="Times New Roman" w:hAnsi="Verdana" w:cs="Times New Roman"/>
          <w:sz w:val="14"/>
          <w:szCs w:val="14"/>
        </w:rPr>
        <w:t>, Warszawa 2001</w:t>
      </w:r>
    </w:p>
    <w:p w:rsidR="003B7D03" w:rsidRPr="00491B0E" w:rsidRDefault="003B7D03" w:rsidP="003B7D03">
      <w:pPr>
        <w:tabs>
          <w:tab w:val="num" w:pos="-142"/>
        </w:tabs>
        <w:spacing w:after="0" w:line="240" w:lineRule="auto"/>
        <w:ind w:left="567" w:hanging="283"/>
        <w:rPr>
          <w:rFonts w:ascii="Verdana" w:eastAsia="Times New Roman" w:hAnsi="Verdana" w:cs="Times New Roman"/>
          <w:sz w:val="14"/>
          <w:szCs w:val="14"/>
        </w:rPr>
      </w:pPr>
      <w:r w:rsidRPr="00491B0E">
        <w:rPr>
          <w:rFonts w:ascii="Verdana" w:eastAsia="Times New Roman" w:hAnsi="Verdana" w:cs="Times New Roman"/>
          <w:sz w:val="14"/>
          <w:szCs w:val="14"/>
        </w:rPr>
        <w:t xml:space="preserve">9.    Zalecenia stosowania </w:t>
      </w:r>
      <w:proofErr w:type="spellStart"/>
      <w:r w:rsidRPr="00491B0E">
        <w:rPr>
          <w:rFonts w:ascii="Verdana" w:eastAsia="Times New Roman" w:hAnsi="Verdana" w:cs="Times New Roman"/>
          <w:sz w:val="14"/>
          <w:szCs w:val="14"/>
        </w:rPr>
        <w:t>geowyrobów</w:t>
      </w:r>
      <w:proofErr w:type="spellEnd"/>
      <w:r w:rsidRPr="00491B0E">
        <w:rPr>
          <w:rFonts w:ascii="Verdana" w:eastAsia="Times New Roman" w:hAnsi="Verdana" w:cs="Times New Roman"/>
          <w:sz w:val="14"/>
          <w:szCs w:val="14"/>
        </w:rPr>
        <w:t xml:space="preserve"> w warstwach asfaltowych nawierzchni drogowych. Informacje – instrukcje, zeszyt 66. </w:t>
      </w:r>
      <w:proofErr w:type="spellStart"/>
      <w:r w:rsidRPr="00491B0E">
        <w:rPr>
          <w:rFonts w:ascii="Verdana" w:eastAsia="Times New Roman" w:hAnsi="Verdana" w:cs="Times New Roman"/>
          <w:sz w:val="14"/>
          <w:szCs w:val="14"/>
        </w:rPr>
        <w:t>IBDiM</w:t>
      </w:r>
      <w:proofErr w:type="spellEnd"/>
      <w:r w:rsidRPr="00491B0E">
        <w:rPr>
          <w:rFonts w:ascii="Verdana" w:eastAsia="Times New Roman" w:hAnsi="Verdana" w:cs="Times New Roman"/>
          <w:sz w:val="14"/>
          <w:szCs w:val="14"/>
        </w:rPr>
        <w:t>, Warszawa 2004</w:t>
      </w: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jc w:val="center"/>
        <w:outlineLvl w:val="0"/>
        <w:rPr>
          <w:rFonts w:ascii="Verdana" w:eastAsia="Times New Roman" w:hAnsi="Verdana" w:cs="Times New Roman"/>
          <w:b/>
          <w:bCs/>
          <w:kern w:val="36"/>
          <w:sz w:val="14"/>
          <w:szCs w:val="14"/>
        </w:rPr>
      </w:pPr>
      <w:bookmarkStart w:id="92" w:name="_Toc250368201"/>
      <w:r w:rsidRPr="00491B0E">
        <w:rPr>
          <w:rFonts w:ascii="Verdana" w:eastAsia="Times New Roman" w:hAnsi="Verdana" w:cs="Times New Roman"/>
          <w:b/>
          <w:bCs/>
          <w:kern w:val="36"/>
          <w:sz w:val="14"/>
          <w:szCs w:val="14"/>
        </w:rPr>
        <w:t>11. ZAŁĄCZNIKI</w:t>
      </w:r>
      <w:bookmarkEnd w:id="92"/>
    </w:p>
    <w:p w:rsidR="003B7D03" w:rsidRPr="00491B0E" w:rsidRDefault="003B7D03" w:rsidP="003B7D03">
      <w:pPr>
        <w:spacing w:after="0" w:line="240" w:lineRule="auto"/>
        <w:rPr>
          <w:rFonts w:ascii="Verdana" w:eastAsia="Times New Roman" w:hAnsi="Verdana" w:cs="Times New Roman"/>
          <w:b/>
          <w:sz w:val="14"/>
          <w:szCs w:val="14"/>
        </w:rPr>
      </w:pPr>
      <w:r w:rsidRPr="00491B0E">
        <w:rPr>
          <w:rFonts w:ascii="Verdana" w:eastAsia="Times New Roman" w:hAnsi="Verdana" w:cs="Times New Roman"/>
          <w:b/>
          <w:sz w:val="14"/>
          <w:szCs w:val="14"/>
        </w:rPr>
        <w:t>ZAŁĄCZNIK 1</w:t>
      </w:r>
    </w:p>
    <w:p w:rsidR="003B7D03" w:rsidRPr="00491B0E" w:rsidRDefault="003B7D03" w:rsidP="003B7D03">
      <w:pPr>
        <w:spacing w:after="0" w:line="240" w:lineRule="auto"/>
        <w:rPr>
          <w:rFonts w:ascii="Verdana" w:eastAsia="Times New Roman" w:hAnsi="Verdana" w:cs="Times New Roman"/>
          <w:b/>
          <w:sz w:val="14"/>
          <w:szCs w:val="14"/>
        </w:rPr>
      </w:pPr>
      <w:r w:rsidRPr="00491B0E">
        <w:rPr>
          <w:rFonts w:ascii="Verdana" w:eastAsia="Times New Roman" w:hAnsi="Verdana" w:cs="Times New Roman"/>
          <w:b/>
          <w:sz w:val="14"/>
          <w:szCs w:val="14"/>
        </w:rPr>
        <w:t>ZASADY  POŁĄCZENIA  NOWEJ  KONSTRUKCJI  NAWIERZCHNI</w:t>
      </w:r>
    </w:p>
    <w:p w:rsidR="003B7D03" w:rsidRPr="00491B0E" w:rsidRDefault="003B7D03" w:rsidP="003B7D03">
      <w:pPr>
        <w:spacing w:after="0" w:line="240" w:lineRule="auto"/>
        <w:rPr>
          <w:rFonts w:ascii="Verdana" w:eastAsia="Times New Roman" w:hAnsi="Verdana" w:cs="Times New Roman"/>
          <w:b/>
          <w:sz w:val="14"/>
          <w:szCs w:val="14"/>
        </w:rPr>
      </w:pPr>
      <w:r w:rsidRPr="00491B0E">
        <w:rPr>
          <w:rFonts w:ascii="Verdana" w:eastAsia="Times New Roman" w:hAnsi="Verdana" w:cs="Times New Roman"/>
          <w:b/>
          <w:sz w:val="14"/>
          <w:szCs w:val="14"/>
        </w:rPr>
        <w:t>Z  NAWIERZCHNIĄ  ISTNIEJĄCĄ (wg [8])</w:t>
      </w:r>
    </w:p>
    <w:p w:rsidR="003B7D03" w:rsidRPr="00491B0E" w:rsidRDefault="003B7D03" w:rsidP="003B7D03">
      <w:pPr>
        <w:spacing w:after="0" w:line="240" w:lineRule="auto"/>
        <w:jc w:val="center"/>
        <w:rPr>
          <w:rFonts w:ascii="Verdana" w:eastAsia="Times New Roman" w:hAnsi="Verdana" w:cs="Times New Roman"/>
          <w:b/>
          <w:sz w:val="14"/>
          <w:szCs w:val="14"/>
        </w:rPr>
      </w:pPr>
    </w:p>
    <w:p w:rsidR="001A0572" w:rsidRPr="001A0572" w:rsidRDefault="003B7D03" w:rsidP="001A0572">
      <w:pPr>
        <w:pStyle w:val="Akapitzlist"/>
        <w:numPr>
          <w:ilvl w:val="1"/>
          <w:numId w:val="1"/>
        </w:numPr>
        <w:tabs>
          <w:tab w:val="num" w:pos="360"/>
        </w:tabs>
        <w:spacing w:after="0" w:line="240" w:lineRule="auto"/>
        <w:outlineLvl w:val="1"/>
        <w:rPr>
          <w:rFonts w:ascii="Verdana" w:eastAsia="Times New Roman" w:hAnsi="Verdana" w:cs="Times New Roman"/>
          <w:b/>
          <w:bCs/>
          <w:sz w:val="14"/>
          <w:szCs w:val="14"/>
        </w:rPr>
      </w:pPr>
      <w:r w:rsidRPr="001A0572">
        <w:rPr>
          <w:rFonts w:ascii="Verdana" w:eastAsia="Times New Roman" w:hAnsi="Verdana" w:cs="Times New Roman"/>
          <w:b/>
          <w:bCs/>
          <w:sz w:val="14"/>
          <w:szCs w:val="14"/>
        </w:rPr>
        <w:t>Zasady ogólne</w:t>
      </w:r>
    </w:p>
    <w:p w:rsidR="003B7D03" w:rsidRPr="001A0572" w:rsidRDefault="003B7D03" w:rsidP="001A0572">
      <w:pPr>
        <w:pStyle w:val="Akapitzlist"/>
        <w:tabs>
          <w:tab w:val="num" w:pos="360"/>
        </w:tabs>
        <w:spacing w:after="0" w:line="240" w:lineRule="auto"/>
        <w:ind w:left="390"/>
        <w:jc w:val="both"/>
        <w:outlineLvl w:val="1"/>
        <w:rPr>
          <w:rFonts w:ascii="Verdana" w:eastAsia="Times New Roman" w:hAnsi="Verdana" w:cs="Times New Roman"/>
          <w:b/>
          <w:bCs/>
          <w:sz w:val="14"/>
          <w:szCs w:val="14"/>
        </w:rPr>
      </w:pPr>
      <w:r w:rsidRPr="001A0572">
        <w:rPr>
          <w:rFonts w:ascii="Verdana" w:eastAsia="Times New Roman" w:hAnsi="Verdana" w:cs="Times New Roman"/>
          <w:sz w:val="14"/>
          <w:szCs w:val="14"/>
        </w:rPr>
        <w:t>Połączenie nowej nawierzchni z nawierzchnią istniejącą powinno gwarantować tę samą nośność (trwałość zmęczeniową) obu połączonych konstrukcji nawierzchniowych. Sposób połączenia powinien zapobiegać lub co najmniej opóźniać wystąpienie na powierzchni jezdni poprzecznego pęknięcia, które może pojawić się jako spękanie odbite od spoiny dolnej warstwy nawierzchni.</w:t>
      </w:r>
    </w:p>
    <w:p w:rsidR="001A0572" w:rsidRPr="001A0572" w:rsidRDefault="003B7D03" w:rsidP="001A0572">
      <w:pPr>
        <w:pStyle w:val="Akapitzlist"/>
        <w:numPr>
          <w:ilvl w:val="1"/>
          <w:numId w:val="1"/>
        </w:numPr>
        <w:tabs>
          <w:tab w:val="num" w:pos="360"/>
        </w:tabs>
        <w:spacing w:after="0" w:line="240" w:lineRule="auto"/>
        <w:outlineLvl w:val="1"/>
        <w:rPr>
          <w:rFonts w:ascii="Verdana" w:eastAsia="Times New Roman" w:hAnsi="Verdana" w:cs="Times New Roman"/>
          <w:b/>
          <w:bCs/>
          <w:sz w:val="14"/>
          <w:szCs w:val="14"/>
        </w:rPr>
      </w:pPr>
      <w:r w:rsidRPr="001A0572">
        <w:rPr>
          <w:rFonts w:ascii="Verdana" w:eastAsia="Times New Roman" w:hAnsi="Verdana" w:cs="Times New Roman"/>
          <w:b/>
          <w:bCs/>
          <w:sz w:val="14"/>
          <w:szCs w:val="14"/>
        </w:rPr>
        <w:t>Sposób połączenia nowej i starej nawierzchni</w:t>
      </w:r>
    </w:p>
    <w:p w:rsidR="001A0572" w:rsidRDefault="003B7D03" w:rsidP="001A0572">
      <w:pPr>
        <w:pStyle w:val="Akapitzlist"/>
        <w:tabs>
          <w:tab w:val="num" w:pos="360"/>
        </w:tabs>
        <w:spacing w:after="0" w:line="240" w:lineRule="auto"/>
        <w:ind w:left="390"/>
        <w:outlineLvl w:val="1"/>
        <w:rPr>
          <w:rFonts w:ascii="Verdana" w:eastAsia="Times New Roman" w:hAnsi="Verdana" w:cs="Times New Roman"/>
          <w:sz w:val="14"/>
          <w:szCs w:val="14"/>
        </w:rPr>
      </w:pPr>
      <w:r w:rsidRPr="001A0572">
        <w:rPr>
          <w:rFonts w:ascii="Verdana" w:eastAsia="Times New Roman" w:hAnsi="Verdana" w:cs="Times New Roman"/>
          <w:sz w:val="14"/>
          <w:szCs w:val="14"/>
        </w:rPr>
        <w:t>Konstrukcja połączenia nowej i starej nawierzchni powinna być dostosowana do pozostawianej części konstrukcji istniejącej nawierzchni oraz odpowiednio z nią połączona schodkowo.</w:t>
      </w:r>
    </w:p>
    <w:p w:rsidR="001A0572" w:rsidRDefault="003B7D03" w:rsidP="001A0572">
      <w:pPr>
        <w:pStyle w:val="Akapitzlist"/>
        <w:tabs>
          <w:tab w:val="num" w:pos="360"/>
        </w:tabs>
        <w:spacing w:after="0" w:line="240" w:lineRule="auto"/>
        <w:ind w:left="390"/>
        <w:outlineLvl w:val="1"/>
        <w:rPr>
          <w:rFonts w:ascii="Verdana" w:eastAsia="Times New Roman" w:hAnsi="Verdana" w:cs="Times New Roman"/>
          <w:sz w:val="14"/>
          <w:szCs w:val="14"/>
        </w:rPr>
      </w:pPr>
      <w:r w:rsidRPr="00491B0E">
        <w:rPr>
          <w:rFonts w:ascii="Verdana" w:eastAsia="Times New Roman" w:hAnsi="Verdana" w:cs="Times New Roman"/>
          <w:sz w:val="14"/>
          <w:szCs w:val="14"/>
        </w:rPr>
        <w:t>Na jezdni istniejącej należy wyznaczyć linię styku nowej i starej nawierzchni oraz rozebrać starą nawierzchnię z wykonaniem schodków na kolejnych warstwach. Przesunięcie kolejnych warstw nawierzchni (schodków) powinno być nie mniejsze niż 1,5 grubości wyżej położonej warstwy (rys. 1).</w:t>
      </w:r>
    </w:p>
    <w:p w:rsidR="003B7D03" w:rsidRPr="001A0572" w:rsidRDefault="003B7D03" w:rsidP="001A0572">
      <w:pPr>
        <w:pStyle w:val="Akapitzlist"/>
        <w:tabs>
          <w:tab w:val="num" w:pos="360"/>
        </w:tabs>
        <w:spacing w:after="0" w:line="240" w:lineRule="auto"/>
        <w:ind w:left="390"/>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 xml:space="preserve">Schodek pod warstwą ścieralną powinien być odpowiednio szerszy w celu umożliwienia ułożenia na nim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którego celem jest zabezpieczenie przed powstaniem pęknięcia odbitego na jezdni w miejscu połączenia nowej i starej warstwy ścieralnej.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w połączeniu nawierzchni zaleca się stosować we wszystkich wypadkach i na drogach wszystkich kategorii (rys. 2).</w:t>
      </w:r>
    </w:p>
    <w:p w:rsidR="001A0572" w:rsidRPr="001A0572" w:rsidRDefault="003B7D03" w:rsidP="001A0572">
      <w:pPr>
        <w:pStyle w:val="Akapitzlist"/>
        <w:numPr>
          <w:ilvl w:val="1"/>
          <w:numId w:val="1"/>
        </w:numPr>
        <w:tabs>
          <w:tab w:val="num" w:pos="360"/>
        </w:tabs>
        <w:spacing w:after="0" w:line="240" w:lineRule="auto"/>
        <w:outlineLvl w:val="1"/>
        <w:rPr>
          <w:rFonts w:ascii="Verdana" w:eastAsia="Times New Roman" w:hAnsi="Verdana" w:cs="Times New Roman"/>
          <w:b/>
          <w:bCs/>
          <w:sz w:val="14"/>
          <w:szCs w:val="14"/>
        </w:rPr>
      </w:pPr>
      <w:r w:rsidRPr="001A0572">
        <w:rPr>
          <w:rFonts w:ascii="Verdana" w:eastAsia="Times New Roman" w:hAnsi="Verdana" w:cs="Times New Roman"/>
          <w:b/>
          <w:bCs/>
          <w:sz w:val="14"/>
          <w:szCs w:val="14"/>
        </w:rPr>
        <w:t>Uwagi wykonawcze</w:t>
      </w:r>
    </w:p>
    <w:p w:rsidR="001A0572" w:rsidRDefault="003B7D03" w:rsidP="001A0572">
      <w:pPr>
        <w:pStyle w:val="Akapitzlist"/>
        <w:tabs>
          <w:tab w:val="num" w:pos="360"/>
        </w:tabs>
        <w:spacing w:after="0" w:line="240" w:lineRule="auto"/>
        <w:ind w:left="390"/>
        <w:outlineLvl w:val="1"/>
        <w:rPr>
          <w:rFonts w:ascii="Verdana" w:eastAsia="Times New Roman" w:hAnsi="Verdana" w:cs="Times New Roman"/>
          <w:sz w:val="14"/>
          <w:szCs w:val="14"/>
        </w:rPr>
      </w:pPr>
      <w:proofErr w:type="spellStart"/>
      <w:r w:rsidRPr="001A0572">
        <w:rPr>
          <w:rFonts w:ascii="Verdana" w:eastAsia="Times New Roman" w:hAnsi="Verdana" w:cs="Times New Roman"/>
          <w:sz w:val="14"/>
          <w:szCs w:val="14"/>
        </w:rPr>
        <w:t>Geosyntetyki</w:t>
      </w:r>
      <w:proofErr w:type="spellEnd"/>
      <w:r w:rsidRPr="001A0572">
        <w:rPr>
          <w:rFonts w:ascii="Verdana" w:eastAsia="Times New Roman" w:hAnsi="Verdana" w:cs="Times New Roman"/>
          <w:sz w:val="14"/>
          <w:szCs w:val="14"/>
        </w:rPr>
        <w:t xml:space="preserve"> stosowane w połączeniu obu nawierzchni powinny być o zwiększonej sztywności i wytrzymałości na rozciąganie oraz o małym wydłużeniu.</w:t>
      </w:r>
    </w:p>
    <w:p w:rsidR="001A0572" w:rsidRDefault="003B7D03" w:rsidP="001A0572">
      <w:pPr>
        <w:pStyle w:val="Akapitzlist"/>
        <w:tabs>
          <w:tab w:val="num" w:pos="360"/>
        </w:tabs>
        <w:spacing w:after="0" w:line="240" w:lineRule="auto"/>
        <w:ind w:left="390"/>
        <w:outlineLvl w:val="1"/>
        <w:rPr>
          <w:rFonts w:ascii="Verdana" w:eastAsia="Times New Roman" w:hAnsi="Verdana" w:cs="Times New Roman"/>
          <w:sz w:val="14"/>
          <w:szCs w:val="14"/>
        </w:rPr>
      </w:pPr>
      <w:r w:rsidRPr="00491B0E">
        <w:rPr>
          <w:rFonts w:ascii="Verdana" w:eastAsia="Times New Roman" w:hAnsi="Verdana" w:cs="Times New Roman"/>
          <w:sz w:val="14"/>
          <w:szCs w:val="14"/>
        </w:rPr>
        <w:t xml:space="preserve">W nawierzchniach dróg KR4 ÷ KR6 zaleca się stosowanie </w:t>
      </w:r>
      <w:proofErr w:type="spellStart"/>
      <w:r w:rsidRPr="00491B0E">
        <w:rPr>
          <w:rFonts w:ascii="Verdana" w:eastAsia="Times New Roman" w:hAnsi="Verdana" w:cs="Times New Roman"/>
          <w:sz w:val="14"/>
          <w:szCs w:val="14"/>
        </w:rPr>
        <w:t>geokompozytów</w:t>
      </w:r>
      <w:proofErr w:type="spellEnd"/>
      <w:r w:rsidRPr="00491B0E">
        <w:rPr>
          <w:rFonts w:ascii="Verdana" w:eastAsia="Times New Roman" w:hAnsi="Verdana" w:cs="Times New Roman"/>
          <w:sz w:val="14"/>
          <w:szCs w:val="14"/>
        </w:rPr>
        <w:t xml:space="preserve"> będących połączeniem siatki i włókniny. W nawierzchniach dróg KR1 ÷ KR3 można też stosować samą geowłókninę o odpowiednich parametrach mechanicznych.</w:t>
      </w:r>
    </w:p>
    <w:p w:rsidR="001A0572" w:rsidRDefault="003B7D03" w:rsidP="001A0572">
      <w:pPr>
        <w:pStyle w:val="Akapitzlist"/>
        <w:tabs>
          <w:tab w:val="num" w:pos="360"/>
        </w:tabs>
        <w:spacing w:after="0" w:line="240" w:lineRule="auto"/>
        <w:ind w:left="390"/>
        <w:outlineLvl w:val="1"/>
        <w:rPr>
          <w:rFonts w:ascii="Verdana" w:eastAsia="Times New Roman" w:hAnsi="Verdana" w:cs="Times New Roman"/>
          <w:sz w:val="14"/>
          <w:szCs w:val="14"/>
        </w:rPr>
      </w:pPr>
      <w:r w:rsidRPr="00491B0E">
        <w:rPr>
          <w:rFonts w:ascii="Verdana" w:eastAsia="Times New Roman" w:hAnsi="Verdana" w:cs="Times New Roman"/>
          <w:sz w:val="14"/>
          <w:szCs w:val="14"/>
        </w:rPr>
        <w:t xml:space="preserve">Geowłóknina, będąca składnikiem </w:t>
      </w:r>
      <w:proofErr w:type="spellStart"/>
      <w:r w:rsidRPr="00491B0E">
        <w:rPr>
          <w:rFonts w:ascii="Verdana" w:eastAsia="Times New Roman" w:hAnsi="Verdana" w:cs="Times New Roman"/>
          <w:sz w:val="14"/>
          <w:szCs w:val="14"/>
        </w:rPr>
        <w:t>geokompozytu</w:t>
      </w:r>
      <w:proofErr w:type="spellEnd"/>
      <w:r w:rsidRPr="00491B0E">
        <w:rPr>
          <w:rFonts w:ascii="Verdana" w:eastAsia="Times New Roman" w:hAnsi="Verdana" w:cs="Times New Roman"/>
          <w:sz w:val="14"/>
          <w:szCs w:val="14"/>
        </w:rPr>
        <w:t xml:space="preserve"> lub stosowana samodzielnie, powinna być odpowiednio nasycona lepiszczem, bez nadmiaru lub niedoboru. Nadmiar lepiszcza zmniejsza wytrzymałość warstwy pośredniej na ścinanie w podwyższonej temperaturze, co może spowodować odkształcenia trwałe nawierzchni, zwłaszcza w strefach hamowania i przyspieszania. Niedobór lepiszcza uniemożliwi pełne nasycenie geowłókniny lepiszczem, co spowoduje niedostateczną szczelność warstwy pośredniej. Nastąpi infiltracja i retencja wody, która zmniejszy adhezję pomiędzy warstwami, a tym samym pogorszy trwałość nawierzchni.</w:t>
      </w:r>
    </w:p>
    <w:p w:rsidR="003B7D03" w:rsidRPr="001A0572" w:rsidRDefault="003B7D03" w:rsidP="001A0572">
      <w:pPr>
        <w:pStyle w:val="Akapitzlist"/>
        <w:tabs>
          <w:tab w:val="num" w:pos="360"/>
        </w:tabs>
        <w:spacing w:after="0" w:line="240" w:lineRule="auto"/>
        <w:ind w:left="390"/>
        <w:outlineLvl w:val="1"/>
        <w:rPr>
          <w:rFonts w:ascii="Verdana" w:eastAsia="Times New Roman" w:hAnsi="Verdana" w:cs="Times New Roman"/>
          <w:b/>
          <w:bCs/>
          <w:sz w:val="14"/>
          <w:szCs w:val="14"/>
        </w:rPr>
      </w:pPr>
      <w:r w:rsidRPr="00491B0E">
        <w:rPr>
          <w:rFonts w:ascii="Verdana" w:eastAsia="Times New Roman" w:hAnsi="Verdana" w:cs="Times New Roman"/>
          <w:sz w:val="14"/>
          <w:szCs w:val="14"/>
        </w:rPr>
        <w:t xml:space="preserve">W nawierzchniach dróg o wyższej kategorii ruchu (KR4 ÷ KR6) można stosować </w:t>
      </w:r>
      <w:proofErr w:type="spellStart"/>
      <w:r w:rsidRPr="00491B0E">
        <w:rPr>
          <w:rFonts w:ascii="Verdana" w:eastAsia="Times New Roman" w:hAnsi="Verdana" w:cs="Times New Roman"/>
          <w:sz w:val="14"/>
          <w:szCs w:val="14"/>
        </w:rPr>
        <w:t>geokompozyt</w:t>
      </w:r>
      <w:proofErr w:type="spellEnd"/>
      <w:r w:rsidRPr="00491B0E">
        <w:rPr>
          <w:rFonts w:ascii="Verdana" w:eastAsia="Times New Roman" w:hAnsi="Verdana" w:cs="Times New Roman"/>
          <w:sz w:val="14"/>
          <w:szCs w:val="14"/>
        </w:rPr>
        <w:t xml:space="preserve"> w dwóch kolejnych połączeniach warstw (między trzema warstwami).</w:t>
      </w:r>
    </w:p>
    <w:p w:rsidR="003B7D03" w:rsidRPr="00491B0E" w:rsidRDefault="003B7D03" w:rsidP="003B7D03">
      <w:pPr>
        <w:spacing w:after="0" w:line="240" w:lineRule="auto"/>
        <w:ind w:firstLine="709"/>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b/>
          <w:sz w:val="14"/>
          <w:szCs w:val="14"/>
        </w:rPr>
      </w:pPr>
      <w:r w:rsidRPr="00491B0E">
        <w:rPr>
          <w:rFonts w:ascii="Verdana" w:eastAsia="Times New Roman" w:hAnsi="Verdana" w:cs="Times New Roman"/>
          <w:b/>
          <w:sz w:val="14"/>
          <w:szCs w:val="14"/>
        </w:rPr>
        <w:t>ZAŁĄCZNIK 2</w:t>
      </w:r>
    </w:p>
    <w:p w:rsidR="003B7D03" w:rsidRPr="00491B0E" w:rsidRDefault="003B7D03" w:rsidP="003B7D03">
      <w:pPr>
        <w:spacing w:after="0" w:line="240" w:lineRule="auto"/>
        <w:rPr>
          <w:rFonts w:ascii="Verdana" w:eastAsia="Times New Roman" w:hAnsi="Verdana" w:cs="Times New Roman"/>
          <w:b/>
          <w:sz w:val="14"/>
          <w:szCs w:val="14"/>
        </w:rPr>
      </w:pPr>
      <w:r w:rsidRPr="00491B0E">
        <w:rPr>
          <w:rFonts w:ascii="Verdana" w:eastAsia="Times New Roman" w:hAnsi="Verdana" w:cs="Times New Roman"/>
          <w:b/>
          <w:sz w:val="14"/>
          <w:szCs w:val="14"/>
        </w:rPr>
        <w:t>PRZYKŁAD  POŁĄCZENIA  NOWEJ  I  STAREJ  NAWIERZCHNI</w:t>
      </w:r>
    </w:p>
    <w:p w:rsidR="003B7D03" w:rsidRPr="00491B0E" w:rsidRDefault="003B7D03" w:rsidP="003B7D03">
      <w:pPr>
        <w:spacing w:after="0" w:line="240" w:lineRule="auto"/>
        <w:ind w:firstLine="709"/>
        <w:jc w:val="center"/>
        <w:rPr>
          <w:rFonts w:ascii="Verdana" w:eastAsia="Times New Roman" w:hAnsi="Verdana" w:cs="Times New Roman"/>
          <w:b/>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Rys. 1. Sposób rozebrania nawierzchni istniejącej</w:t>
      </w: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noProof/>
          <w:sz w:val="14"/>
          <w:szCs w:val="14"/>
        </w:rPr>
        <w:drawing>
          <wp:inline distT="0" distB="0" distL="0" distR="0" wp14:anchorId="2105CC8D" wp14:editId="7684FCAF">
            <wp:extent cx="6070600" cy="2705100"/>
            <wp:effectExtent l="0" t="0" r="6350" b="0"/>
            <wp:docPr id="27" name="Obraz 27" descr="ry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ry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0" cy="2705100"/>
                    </a:xfrm>
                    <a:prstGeom prst="rect">
                      <a:avLst/>
                    </a:prstGeom>
                    <a:noFill/>
                    <a:ln>
                      <a:noFill/>
                    </a:ln>
                  </pic:spPr>
                </pic:pic>
              </a:graphicData>
            </a:graphic>
          </wp:inline>
        </w:drawing>
      </w: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sz w:val="14"/>
          <w:szCs w:val="14"/>
        </w:rPr>
        <w:t>Rys. 2. Konstrukcja połączenia starej i nowej nawierzchni</w:t>
      </w: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rPr>
          <w:rFonts w:ascii="Verdana" w:eastAsia="Times New Roman" w:hAnsi="Verdana" w:cs="Times New Roman"/>
          <w:sz w:val="14"/>
          <w:szCs w:val="14"/>
        </w:rPr>
      </w:pPr>
      <w:r w:rsidRPr="00491B0E">
        <w:rPr>
          <w:rFonts w:ascii="Verdana" w:eastAsia="Times New Roman" w:hAnsi="Verdana" w:cs="Times New Roman"/>
          <w:noProof/>
          <w:sz w:val="14"/>
          <w:szCs w:val="14"/>
        </w:rPr>
        <w:lastRenderedPageBreak/>
        <w:drawing>
          <wp:inline distT="0" distB="0" distL="0" distR="0" wp14:anchorId="66DEC001" wp14:editId="0A78DF14">
            <wp:extent cx="6762750" cy="2717800"/>
            <wp:effectExtent l="0" t="0" r="0" b="6350"/>
            <wp:docPr id="28" name="Obraz 28" descr="ry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rys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0" cy="2717800"/>
                    </a:xfrm>
                    <a:prstGeom prst="rect">
                      <a:avLst/>
                    </a:prstGeom>
                    <a:noFill/>
                    <a:ln>
                      <a:noFill/>
                    </a:ln>
                  </pic:spPr>
                </pic:pic>
              </a:graphicData>
            </a:graphic>
          </wp:inline>
        </w:drawing>
      </w:r>
    </w:p>
    <w:p w:rsidR="003B7D03" w:rsidRPr="00491B0E" w:rsidRDefault="003B7D03" w:rsidP="003B7D03">
      <w:pPr>
        <w:spacing w:after="0" w:line="240" w:lineRule="auto"/>
        <w:rPr>
          <w:rFonts w:ascii="Verdana" w:eastAsia="Times New Roman" w:hAnsi="Verdana" w:cs="Times New Roman"/>
          <w:sz w:val="14"/>
          <w:szCs w:val="14"/>
        </w:rPr>
      </w:pPr>
    </w:p>
    <w:p w:rsidR="003B7D03" w:rsidRPr="00491B0E" w:rsidRDefault="003B7D03" w:rsidP="003B7D03">
      <w:pPr>
        <w:spacing w:after="0" w:line="240" w:lineRule="auto"/>
        <w:ind w:firstLine="709"/>
        <w:rPr>
          <w:rFonts w:ascii="Verdana" w:eastAsia="Times New Roman" w:hAnsi="Verdana" w:cs="Times New Roman"/>
          <w:sz w:val="14"/>
          <w:szCs w:val="14"/>
        </w:rPr>
      </w:pPr>
    </w:p>
    <w:p w:rsidR="003B7D03" w:rsidRPr="00491B0E" w:rsidRDefault="003B7D03" w:rsidP="003B7D03">
      <w:pPr>
        <w:spacing w:after="0" w:line="240" w:lineRule="auto"/>
        <w:rPr>
          <w:rFonts w:ascii="Verdana" w:hAnsi="Verdana"/>
          <w:sz w:val="14"/>
          <w:szCs w:val="14"/>
        </w:rPr>
      </w:pPr>
    </w:p>
    <w:p w:rsidR="003B7D03" w:rsidRDefault="003B7D03" w:rsidP="003B7D03">
      <w:pPr>
        <w:overflowPunct w:val="0"/>
        <w:autoSpaceDE w:val="0"/>
        <w:autoSpaceDN w:val="0"/>
        <w:adjustRightInd w:val="0"/>
        <w:spacing w:after="0" w:line="240" w:lineRule="auto"/>
        <w:jc w:val="center"/>
        <w:rPr>
          <w:rFonts w:ascii="Verdana" w:eastAsia="Times New Roman" w:hAnsi="Verdana" w:cs="Times New Roman"/>
          <w:b/>
          <w:sz w:val="14"/>
          <w:szCs w:val="14"/>
        </w:rPr>
      </w:pPr>
    </w:p>
    <w:p w:rsidR="00A44D53" w:rsidRDefault="00A44D53">
      <w:bookmarkStart w:id="93" w:name="_GoBack"/>
      <w:bookmarkEnd w:id="93"/>
    </w:p>
    <w:sectPr w:rsidR="00A44D53" w:rsidSect="00CE4018">
      <w:footerReference w:type="default" r:id="rId8"/>
      <w:footerReference w:type="first" r:id="rI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3016"/>
      <w:docPartObj>
        <w:docPartGallery w:val="Page Numbers (Bottom of Page)"/>
        <w:docPartUnique/>
      </w:docPartObj>
    </w:sdtPr>
    <w:sdtEndPr/>
    <w:sdtContent>
      <w:p w:rsidR="005B1341" w:rsidRDefault="001A0572">
        <w:pPr>
          <w:pStyle w:val="Stopka"/>
          <w:jc w:val="center"/>
        </w:pPr>
        <w:r>
          <w:fldChar w:fldCharType="begin"/>
        </w:r>
        <w:r>
          <w:instrText xml:space="preserve"> PAGE   \* MERGEFORMAT </w:instrText>
        </w:r>
        <w:r>
          <w:fldChar w:fldCharType="separate"/>
        </w:r>
        <w:r>
          <w:rPr>
            <w:noProof/>
          </w:rPr>
          <w:t>5</w:t>
        </w:r>
        <w:r>
          <w:rPr>
            <w:noProof/>
          </w:rPr>
          <w:fldChar w:fldCharType="end"/>
        </w:r>
      </w:p>
    </w:sdtContent>
  </w:sdt>
  <w:p w:rsidR="005B1341" w:rsidRDefault="001A057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3036"/>
      <w:docPartObj>
        <w:docPartGallery w:val="Page Numbers (Bottom of Page)"/>
        <w:docPartUnique/>
      </w:docPartObj>
    </w:sdtPr>
    <w:sdtEndPr/>
    <w:sdtContent>
      <w:p w:rsidR="005B1341" w:rsidRDefault="001A0572">
        <w:pPr>
          <w:pStyle w:val="Stopka"/>
          <w:jc w:val="center"/>
        </w:pPr>
        <w:r>
          <w:fldChar w:fldCharType="begin"/>
        </w:r>
        <w:r>
          <w:instrText xml:space="preserve"> PAGE   \* MERGEFORMAT </w:instrText>
        </w:r>
        <w:r>
          <w:fldChar w:fldCharType="separate"/>
        </w:r>
        <w:r>
          <w:rPr>
            <w:noProof/>
          </w:rPr>
          <w:t>1</w:t>
        </w:r>
        <w:r>
          <w:rPr>
            <w:noProof/>
          </w:rPr>
          <w:fldChar w:fldCharType="end"/>
        </w:r>
      </w:p>
    </w:sdtContent>
  </w:sdt>
  <w:p w:rsidR="005B1341" w:rsidRDefault="001A0572" w:rsidP="00C916FC">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F2E6D"/>
    <w:multiLevelType w:val="multilevel"/>
    <w:tmpl w:val="893428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716"/>
    <w:rsid w:val="001A0572"/>
    <w:rsid w:val="00227984"/>
    <w:rsid w:val="00347763"/>
    <w:rsid w:val="003B7D03"/>
    <w:rsid w:val="00A44D53"/>
    <w:rsid w:val="00AB4573"/>
    <w:rsid w:val="00F637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D03"/>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B7D03"/>
    <w:pPr>
      <w:tabs>
        <w:tab w:val="center" w:pos="4536"/>
        <w:tab w:val="right" w:pos="9072"/>
      </w:tabs>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3B7D03"/>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B7D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7D03"/>
    <w:rPr>
      <w:rFonts w:ascii="Tahoma" w:eastAsiaTheme="minorEastAsia" w:hAnsi="Tahoma" w:cs="Tahoma"/>
      <w:sz w:val="16"/>
      <w:szCs w:val="16"/>
      <w:lang w:eastAsia="pl-PL"/>
    </w:rPr>
  </w:style>
  <w:style w:type="paragraph" w:styleId="Akapitzlist">
    <w:name w:val="List Paragraph"/>
    <w:basedOn w:val="Normalny"/>
    <w:uiPriority w:val="34"/>
    <w:qFormat/>
    <w:rsid w:val="001A05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D03"/>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B7D03"/>
    <w:pPr>
      <w:tabs>
        <w:tab w:val="center" w:pos="4536"/>
        <w:tab w:val="right" w:pos="9072"/>
      </w:tabs>
      <w:overflowPunct w:val="0"/>
      <w:autoSpaceDE w:val="0"/>
      <w:autoSpaceDN w:val="0"/>
      <w:adjustRightInd w:val="0"/>
      <w:spacing w:after="0" w:line="240" w:lineRule="auto"/>
      <w:jc w:val="both"/>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3B7D03"/>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B7D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7D03"/>
    <w:rPr>
      <w:rFonts w:ascii="Tahoma" w:eastAsiaTheme="minorEastAsia" w:hAnsi="Tahoma" w:cs="Tahoma"/>
      <w:sz w:val="16"/>
      <w:szCs w:val="16"/>
      <w:lang w:eastAsia="pl-PL"/>
    </w:rPr>
  </w:style>
  <w:style w:type="paragraph" w:styleId="Akapitzlist">
    <w:name w:val="List Paragraph"/>
    <w:basedOn w:val="Normalny"/>
    <w:uiPriority w:val="34"/>
    <w:qFormat/>
    <w:rsid w:val="001A0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3193</Words>
  <Characters>19158</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ZDP</Company>
  <LinksUpToDate>false</LinksUpToDate>
  <CharactersWithSpaces>22307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2</cp:revision>
  <dcterms:created xsi:type="dcterms:W3CDTF">2022-06-30T08:32:00Z</dcterms:created>
  <dcterms:modified xsi:type="dcterms:W3CDTF">2022-06-30T09:19:00Z</dcterms:modified>
</cp:coreProperties>
</file>