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36D31B" w14:textId="77777777" w:rsidR="00514D59" w:rsidRPr="00514D59" w:rsidRDefault="00E531A4" w:rsidP="00514D59">
      <w:pPr>
        <w:pStyle w:val="Nagwek5"/>
        <w:jc w:val="left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Część III – Opis przedmiotu zamówienia</w:t>
      </w:r>
      <w:r w:rsidR="00514D59">
        <w:rPr>
          <w:rFonts w:ascii="Calibri" w:hAnsi="Calibri" w:cs="Calibri"/>
          <w:sz w:val="22"/>
          <w:szCs w:val="22"/>
        </w:rPr>
        <w:t xml:space="preserve"> - </w:t>
      </w:r>
      <w:r w:rsidR="00514D59" w:rsidRPr="00514D59">
        <w:rPr>
          <w:rFonts w:ascii="Calibri" w:hAnsi="Calibri" w:cs="Calibri"/>
          <w:sz w:val="22"/>
          <w:szCs w:val="22"/>
        </w:rPr>
        <w:t>CZĘŚĆ NR 1</w:t>
      </w:r>
    </w:p>
    <w:p w14:paraId="574D8E38" w14:textId="77777777" w:rsidR="00CC7A8E" w:rsidRPr="00F41D47" w:rsidRDefault="00CC7A8E" w:rsidP="002D021F">
      <w:pPr>
        <w:rPr>
          <w:rFonts w:ascii="Calibri" w:hAnsi="Calibri" w:cs="Calibri"/>
          <w:sz w:val="22"/>
          <w:szCs w:val="22"/>
        </w:rPr>
      </w:pPr>
    </w:p>
    <w:p w14:paraId="5555EB42" w14:textId="4CDB7050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Przedmiotem zamówienia jest dostawa wraz z montażem i instalacją </w:t>
      </w:r>
      <w:r w:rsidR="00DC4A2B" w:rsidRPr="00F41D47">
        <w:rPr>
          <w:rFonts w:ascii="Calibri" w:hAnsi="Calibri" w:cs="Calibri"/>
          <w:sz w:val="22"/>
          <w:szCs w:val="22"/>
        </w:rPr>
        <w:t xml:space="preserve">fabrycznie nowego </w:t>
      </w:r>
      <w:r w:rsidR="0079249D">
        <w:rPr>
          <w:rFonts w:ascii="Calibri" w:hAnsi="Calibri" w:cs="Calibri"/>
          <w:b/>
          <w:sz w:val="22"/>
          <w:szCs w:val="22"/>
        </w:rPr>
        <w:t xml:space="preserve">aparatu do </w:t>
      </w:r>
      <w:proofErr w:type="spellStart"/>
      <w:r w:rsidR="0079249D">
        <w:rPr>
          <w:rFonts w:ascii="Calibri" w:hAnsi="Calibri" w:cs="Calibri"/>
          <w:b/>
          <w:sz w:val="22"/>
          <w:szCs w:val="22"/>
        </w:rPr>
        <w:t>znieczukania</w:t>
      </w:r>
      <w:proofErr w:type="spellEnd"/>
      <w:r w:rsidR="00286599" w:rsidRPr="00286599">
        <w:rPr>
          <w:rFonts w:ascii="Calibri" w:hAnsi="Calibri" w:cs="Calibri"/>
          <w:b/>
          <w:sz w:val="22"/>
          <w:szCs w:val="22"/>
        </w:rPr>
        <w:t xml:space="preserve"> </w:t>
      </w:r>
      <w:r w:rsidR="00CB5834" w:rsidRPr="00F41D47">
        <w:rPr>
          <w:rFonts w:ascii="Calibri" w:hAnsi="Calibri" w:cs="Calibri"/>
          <w:sz w:val="22"/>
          <w:szCs w:val="22"/>
        </w:rPr>
        <w:t xml:space="preserve">w ilościach </w:t>
      </w:r>
      <w:r w:rsidR="00514D59">
        <w:rPr>
          <w:rFonts w:ascii="Calibri" w:hAnsi="Calibri" w:cs="Calibri"/>
          <w:sz w:val="22"/>
          <w:szCs w:val="22"/>
        </w:rPr>
        <w:br/>
      </w:r>
      <w:r w:rsidR="00CB5834" w:rsidRPr="00F41D47">
        <w:rPr>
          <w:rFonts w:ascii="Calibri" w:hAnsi="Calibri" w:cs="Calibri"/>
          <w:sz w:val="22"/>
          <w:szCs w:val="22"/>
        </w:rPr>
        <w:t>i asortymencie wymienionym w poniższych tabelach „zestawienie parametrów technicznych”</w:t>
      </w:r>
      <w:r w:rsidR="00CC7A8E" w:rsidRPr="00F41D47">
        <w:rPr>
          <w:rFonts w:ascii="Calibri" w:hAnsi="Calibri" w:cs="Calibri"/>
          <w:sz w:val="22"/>
          <w:szCs w:val="22"/>
        </w:rPr>
        <w:t xml:space="preserve"> </w:t>
      </w:r>
      <w:r w:rsidR="00654A73" w:rsidRPr="00F41D47">
        <w:rPr>
          <w:rFonts w:ascii="Calibri" w:hAnsi="Calibri" w:cs="Calibri"/>
          <w:sz w:val="22"/>
          <w:szCs w:val="22"/>
        </w:rPr>
        <w:t>oraz szkolenie personelu Zamawiającego w zakres</w:t>
      </w:r>
      <w:r w:rsidR="00A90641" w:rsidRPr="00F41D47">
        <w:rPr>
          <w:rFonts w:ascii="Calibri" w:hAnsi="Calibri" w:cs="Calibri"/>
          <w:sz w:val="22"/>
          <w:szCs w:val="22"/>
        </w:rPr>
        <w:t xml:space="preserve">ie uruchomienia, eksploatacji, </w:t>
      </w:r>
      <w:r w:rsidR="00654A73" w:rsidRPr="00F41D47">
        <w:rPr>
          <w:rFonts w:ascii="Calibri" w:hAnsi="Calibri" w:cs="Calibri"/>
          <w:sz w:val="22"/>
          <w:szCs w:val="22"/>
        </w:rPr>
        <w:t>obsługi i konserwacji</w:t>
      </w:r>
      <w:r w:rsidR="00751613" w:rsidRPr="00F41D47">
        <w:rPr>
          <w:rFonts w:ascii="Calibri" w:hAnsi="Calibri" w:cs="Calibri"/>
          <w:sz w:val="22"/>
          <w:szCs w:val="22"/>
        </w:rPr>
        <w:t xml:space="preserve"> przedmiotu zamówienia</w:t>
      </w:r>
      <w:r w:rsidR="00CB5834" w:rsidRPr="00F41D47">
        <w:rPr>
          <w:rFonts w:ascii="Calibri" w:hAnsi="Calibri" w:cs="Calibri"/>
          <w:sz w:val="22"/>
          <w:szCs w:val="22"/>
        </w:rPr>
        <w:t xml:space="preserve"> – jeśli jest wymagane</w:t>
      </w:r>
      <w:r w:rsidRPr="00F41D47">
        <w:rPr>
          <w:rFonts w:ascii="Calibri" w:hAnsi="Calibri" w:cs="Calibri"/>
          <w:sz w:val="22"/>
          <w:szCs w:val="22"/>
        </w:rPr>
        <w:t xml:space="preserve">. </w:t>
      </w:r>
    </w:p>
    <w:p w14:paraId="5C2F38EA" w14:textId="4BF5A9CB" w:rsidR="00CC7A8E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Zamówienie należy zrealizować w terminie do </w:t>
      </w:r>
      <w:r w:rsidR="00F24A14">
        <w:rPr>
          <w:rFonts w:ascii="Calibri" w:hAnsi="Calibri" w:cs="Calibri"/>
          <w:b/>
          <w:sz w:val="22"/>
          <w:szCs w:val="22"/>
        </w:rPr>
        <w:t>56</w:t>
      </w:r>
      <w:r w:rsidR="00BB146C"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b/>
          <w:sz w:val="22"/>
          <w:szCs w:val="22"/>
        </w:rPr>
        <w:t>dni</w:t>
      </w:r>
      <w:r w:rsidRPr="00F41D47">
        <w:rPr>
          <w:rFonts w:ascii="Calibri" w:hAnsi="Calibri" w:cs="Calibri"/>
          <w:sz w:val="22"/>
          <w:szCs w:val="22"/>
        </w:rPr>
        <w:t xml:space="preserve"> od dnia </w:t>
      </w:r>
      <w:r w:rsidR="002D021F" w:rsidRPr="00F41D47">
        <w:rPr>
          <w:rFonts w:ascii="Calibri" w:hAnsi="Calibri" w:cs="Calibri"/>
          <w:sz w:val="22"/>
          <w:szCs w:val="22"/>
        </w:rPr>
        <w:t>zawarcia</w:t>
      </w:r>
      <w:r w:rsidRPr="00F41D47">
        <w:rPr>
          <w:rFonts w:ascii="Calibri" w:hAnsi="Calibri" w:cs="Calibri"/>
          <w:sz w:val="22"/>
          <w:szCs w:val="22"/>
        </w:rPr>
        <w:t xml:space="preserve"> umowy.</w:t>
      </w:r>
    </w:p>
    <w:p w14:paraId="1AA73F1A" w14:textId="77777777" w:rsidR="00A3333F" w:rsidRPr="00F41D47" w:rsidRDefault="00E531A4" w:rsidP="002D021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Wszelkie czynności i prace związane z montażem, rozmieszczeniem i instalacją, oferowanego przez Wykonawcę przedmiotu dostawy, niezbędne do prawidłowego i zgodnego z przeznaczeniem funkcjonowania przedmiotu zamówienia Wykonawca zobowiązany jest uwzględnić w cenie oferty.</w:t>
      </w:r>
    </w:p>
    <w:p w14:paraId="1D2C96F9" w14:textId="77777777" w:rsidR="00A3333F" w:rsidRPr="00F41D47" w:rsidRDefault="00A3333F" w:rsidP="00A3333F">
      <w:pPr>
        <w:numPr>
          <w:ilvl w:val="0"/>
          <w:numId w:val="1"/>
        </w:numPr>
        <w:tabs>
          <w:tab w:val="clear" w:pos="720"/>
          <w:tab w:val="num" w:pos="426"/>
        </w:tabs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Wymagania dotyczące </w:t>
      </w:r>
      <w:r w:rsidRPr="00F41D47">
        <w:rPr>
          <w:rFonts w:ascii="Calibri" w:hAnsi="Calibri" w:cs="Calibri"/>
          <w:bCs/>
          <w:sz w:val="22"/>
          <w:szCs w:val="22"/>
        </w:rPr>
        <w:t>dostawy, montażu i uruchomienia przedmiotu zamówienia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52A88FB8" w14:textId="77777777" w:rsidR="00A3333F" w:rsidRPr="00FD1EE7" w:rsidRDefault="00A3333F" w:rsidP="00FD1EE7">
      <w:pPr>
        <w:numPr>
          <w:ilvl w:val="0"/>
          <w:numId w:val="36"/>
        </w:numPr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ma obowiązek dostarczyć przedmiot zamówienia na teren </w:t>
      </w:r>
      <w:r w:rsidR="00FD1EE7" w:rsidRPr="00FD1EE7">
        <w:rPr>
          <w:rFonts w:ascii="Calibri" w:hAnsi="Calibri" w:cs="Calibri"/>
          <w:b/>
          <w:sz w:val="22"/>
          <w:szCs w:val="22"/>
        </w:rPr>
        <w:t>Szpital</w:t>
      </w:r>
      <w:r w:rsidR="00FD1EE7">
        <w:rPr>
          <w:rFonts w:ascii="Calibri" w:hAnsi="Calibri" w:cs="Calibri"/>
          <w:b/>
          <w:sz w:val="22"/>
          <w:szCs w:val="22"/>
        </w:rPr>
        <w:t>a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Powiatow</w:t>
      </w:r>
      <w:r w:rsidR="00FD1EE7">
        <w:rPr>
          <w:rFonts w:ascii="Calibri" w:hAnsi="Calibri" w:cs="Calibri"/>
          <w:b/>
          <w:sz w:val="22"/>
          <w:szCs w:val="22"/>
        </w:rPr>
        <w:t>ego</w:t>
      </w:r>
      <w:r w:rsidR="00FD1EE7" w:rsidRPr="00FD1EE7">
        <w:rPr>
          <w:rFonts w:ascii="Calibri" w:hAnsi="Calibri" w:cs="Calibri"/>
          <w:b/>
          <w:sz w:val="22"/>
          <w:szCs w:val="22"/>
        </w:rPr>
        <w:t xml:space="preserve"> w Sławnie</w:t>
      </w:r>
      <w:r w:rsidR="00FD1EE7">
        <w:rPr>
          <w:rFonts w:ascii="Calibri" w:hAnsi="Calibri" w:cs="Calibri"/>
          <w:b/>
          <w:sz w:val="22"/>
          <w:szCs w:val="22"/>
        </w:rPr>
        <w:t xml:space="preserve"> </w:t>
      </w:r>
      <w:r w:rsidR="00FD1EE7" w:rsidRPr="00FD1EE7">
        <w:rPr>
          <w:rFonts w:ascii="Calibri" w:hAnsi="Calibri" w:cs="Calibri"/>
          <w:b/>
          <w:sz w:val="22"/>
          <w:szCs w:val="22"/>
        </w:rPr>
        <w:t>ul. I-go Pułku Ułanów 9, 76-100 Sławno</w:t>
      </w:r>
      <w:r w:rsidRPr="00FD1EE7">
        <w:rPr>
          <w:rFonts w:ascii="Calibri" w:hAnsi="Calibri" w:cs="Calibri"/>
          <w:sz w:val="22"/>
          <w:szCs w:val="22"/>
        </w:rPr>
        <w:t xml:space="preserve"> oraz rozmieścić w miejscu wskazany przez Zamawiającego - każdego dnia roboczego (pn. – pt.) w godzinach od 8</w:t>
      </w:r>
      <w:r w:rsidRPr="00FD1EE7">
        <w:rPr>
          <w:rFonts w:ascii="Calibri" w:hAnsi="Calibri" w:cs="Calibri"/>
          <w:sz w:val="22"/>
          <w:szCs w:val="22"/>
          <w:vertAlign w:val="superscript"/>
        </w:rPr>
        <w:t xml:space="preserve">00 - </w:t>
      </w:r>
      <w:r w:rsidRPr="00FD1EE7">
        <w:rPr>
          <w:rFonts w:ascii="Calibri" w:hAnsi="Calibri" w:cs="Calibri"/>
          <w:sz w:val="22"/>
          <w:szCs w:val="22"/>
        </w:rPr>
        <w:t>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Rozładunek musi się zakończyć do godziny 15</w:t>
      </w:r>
      <w:r w:rsidRPr="00FD1EE7">
        <w:rPr>
          <w:rFonts w:ascii="Calibri" w:hAnsi="Calibri" w:cs="Calibri"/>
          <w:sz w:val="22"/>
          <w:szCs w:val="22"/>
          <w:vertAlign w:val="superscript"/>
        </w:rPr>
        <w:t>00</w:t>
      </w:r>
      <w:r w:rsidRPr="00FD1EE7">
        <w:rPr>
          <w:rFonts w:ascii="Calibri" w:hAnsi="Calibri" w:cs="Calibri"/>
          <w:sz w:val="22"/>
          <w:szCs w:val="22"/>
        </w:rPr>
        <w:t>. W uzasadnionych przypadkach Wykonawca może zwrócić się do Zamawiającego o wyrażenie zgody na zmianę godzin rozładunku.</w:t>
      </w:r>
    </w:p>
    <w:p w14:paraId="279E67B4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zabezpieczyć rozładunek do wskazanych przez odbiorcę pomieszczeń.</w:t>
      </w:r>
    </w:p>
    <w:p w14:paraId="02FD206A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odpowiada za utylizację zbędnych opakowań po dostarczonym przez siebie sprzęcie.</w:t>
      </w:r>
    </w:p>
    <w:p w14:paraId="43D12294" w14:textId="77777777" w:rsidR="00751E57" w:rsidRPr="00F41D47" w:rsidRDefault="00751E57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Wszystkie odpady powstałe podczas realizacji zamówienia Wykonawca jest zobowiązany zagospodarować na własny koszt. Wykonawca po dostarczeniu przedmiotu zamówienia oraz po zakończeniu prac montażowych jest zobowiązany do uporządkowania terenu dostaw i miejsca montażu.</w:t>
      </w:r>
    </w:p>
    <w:p w14:paraId="492857B7" w14:textId="77777777" w:rsidR="00A3333F" w:rsidRPr="00F41D47" w:rsidRDefault="00A3333F" w:rsidP="00A3333F">
      <w:pPr>
        <w:numPr>
          <w:ilvl w:val="0"/>
          <w:numId w:val="36"/>
        </w:numPr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Dostawca sprzętu zobowiązany jest do zabezpieczenia przed uszkodzeniem podłóg, ścian i innych istniejących elementów wyposażenia.</w:t>
      </w:r>
    </w:p>
    <w:p w14:paraId="2BB9F10E" w14:textId="77777777" w:rsidR="00E531A4" w:rsidRPr="00F41D47" w:rsidRDefault="00E531A4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Szkolenie personelu:</w:t>
      </w:r>
    </w:p>
    <w:p w14:paraId="17617D4E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Wykonawca zobowiązany jest do przeprowadze</w:t>
      </w:r>
      <w:r w:rsidR="006B6DEB" w:rsidRPr="00F41D47">
        <w:rPr>
          <w:rFonts w:ascii="Calibri" w:hAnsi="Calibri" w:cs="Calibri"/>
          <w:sz w:val="22"/>
          <w:szCs w:val="22"/>
        </w:rPr>
        <w:t xml:space="preserve">nia szkolenia personelu </w:t>
      </w:r>
      <w:r w:rsidR="00A90641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 xml:space="preserve"> z zakresu prawidłowej eksploatacji przedmiotu zamówienia. </w:t>
      </w:r>
    </w:p>
    <w:p w14:paraId="1210DD4D" w14:textId="77777777" w:rsidR="00E531A4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Wykonawca zobowiązany jest zapewnić niezbędny sprzęt do przeprowadzenia szkoleń w siedzibie Odbiorcy, jak również materiały eksploatacyjne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(tzw. Pakiet rozruchowy </w:t>
      </w:r>
      <w:r w:rsidR="00A90641" w:rsidRPr="00F41D47">
        <w:rPr>
          <w:rFonts w:ascii="Calibri" w:hAnsi="Calibri" w:cs="Calibri"/>
          <w:sz w:val="22"/>
          <w:szCs w:val="22"/>
        </w:rPr>
        <w:t>– jeśli jest wymagany). Zamawiający</w:t>
      </w:r>
      <w:r w:rsidRPr="00F41D47">
        <w:rPr>
          <w:rFonts w:ascii="Calibri" w:hAnsi="Calibri" w:cs="Calibri"/>
          <w:sz w:val="22"/>
          <w:szCs w:val="22"/>
        </w:rPr>
        <w:t xml:space="preserve"> ze swojej strony zapewni wyłącznie miejsce do przeprowadzenia szkoleń.</w:t>
      </w:r>
    </w:p>
    <w:p w14:paraId="2C067CC9" w14:textId="77777777" w:rsidR="00CC7A8E" w:rsidRPr="00F41D47" w:rsidRDefault="00E531A4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Zamawiający dopuszcza przeprowadzenie </w:t>
      </w:r>
      <w:r w:rsidR="00A90641" w:rsidRPr="00F41D47">
        <w:rPr>
          <w:rFonts w:ascii="Calibri" w:hAnsi="Calibri" w:cs="Calibri"/>
          <w:sz w:val="22"/>
          <w:szCs w:val="22"/>
        </w:rPr>
        <w:t xml:space="preserve">szkolenia poza siedzibą </w:t>
      </w:r>
      <w:r w:rsidR="00E408CE" w:rsidRPr="00F41D47">
        <w:rPr>
          <w:rFonts w:ascii="Calibri" w:hAnsi="Calibri" w:cs="Calibri"/>
          <w:sz w:val="22"/>
          <w:szCs w:val="22"/>
        </w:rPr>
        <w:t>Zamawiającego</w:t>
      </w:r>
      <w:r w:rsidRPr="00F41D47">
        <w:rPr>
          <w:rFonts w:ascii="Calibri" w:hAnsi="Calibri" w:cs="Calibri"/>
          <w:sz w:val="22"/>
          <w:szCs w:val="22"/>
        </w:rPr>
        <w:t>. W takim przypadku wszelkie koszty związane ze szkoleniem ponosi Wykonawca. Zamawiający przyjmuje, że koszty szkolenia Wykonawca uwzględnił w składanej ofercie.</w:t>
      </w:r>
    </w:p>
    <w:p w14:paraId="0FEDEC23" w14:textId="77777777" w:rsidR="00056525" w:rsidRPr="00F41D47" w:rsidRDefault="00B1535E" w:rsidP="002D021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/>
        <w:jc w:val="both"/>
        <w:rPr>
          <w:rFonts w:ascii="Calibri" w:hAnsi="Calibri" w:cs="Calibri"/>
          <w:b/>
          <w:sz w:val="22"/>
          <w:szCs w:val="22"/>
        </w:rPr>
      </w:pPr>
      <w:r w:rsidRPr="00F41D47">
        <w:rPr>
          <w:rFonts w:ascii="Calibri" w:hAnsi="Calibri" w:cs="Calibri"/>
          <w:b/>
          <w:sz w:val="22"/>
          <w:szCs w:val="22"/>
        </w:rPr>
        <w:t>Wymagane parametry przedmiotu</w:t>
      </w:r>
      <w:r w:rsidR="00056525" w:rsidRPr="00F41D47">
        <w:rPr>
          <w:rFonts w:ascii="Calibri" w:hAnsi="Calibri" w:cs="Calibri"/>
          <w:b/>
          <w:sz w:val="22"/>
          <w:szCs w:val="22"/>
        </w:rPr>
        <w:t xml:space="preserve"> zamówienia.</w:t>
      </w:r>
    </w:p>
    <w:p w14:paraId="3588A846" w14:textId="77777777" w:rsidR="00056525" w:rsidRPr="00F41D47" w:rsidRDefault="00056525" w:rsidP="002D021F">
      <w:pPr>
        <w:ind w:firstLine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Poniższe tabele z parametrami wymaganymi musi wypełnić Wykonawca i dołączyć do oferty</w:t>
      </w:r>
      <w:r w:rsidR="00FD1EE7">
        <w:rPr>
          <w:rFonts w:ascii="Calibri" w:hAnsi="Calibri" w:cs="Calibri"/>
          <w:sz w:val="22"/>
          <w:szCs w:val="22"/>
        </w:rPr>
        <w:t xml:space="preserve"> jako przedmiotowy środek dowodowy</w:t>
      </w:r>
      <w:r w:rsidRPr="00F41D47">
        <w:rPr>
          <w:rFonts w:ascii="Calibri" w:hAnsi="Calibri" w:cs="Calibri"/>
          <w:sz w:val="22"/>
          <w:szCs w:val="22"/>
        </w:rPr>
        <w:t>.</w:t>
      </w:r>
    </w:p>
    <w:p w14:paraId="56AC49B0" w14:textId="77777777" w:rsidR="005F3C8B" w:rsidRPr="00F41D47" w:rsidRDefault="00056525" w:rsidP="002D021F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Parametry podane w </w:t>
      </w:r>
      <w:r w:rsidR="00B1535E" w:rsidRPr="00F41D47">
        <w:rPr>
          <w:rFonts w:ascii="Calibri" w:hAnsi="Calibri" w:cs="Calibri"/>
          <w:sz w:val="22"/>
          <w:szCs w:val="22"/>
        </w:rPr>
        <w:t>tabeli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stanowią </w:t>
      </w:r>
      <w:r w:rsidRPr="00F41D47">
        <w:rPr>
          <w:rFonts w:ascii="Calibri" w:hAnsi="Calibri" w:cs="Calibri"/>
          <w:b/>
          <w:sz w:val="22"/>
          <w:szCs w:val="22"/>
          <w:u w:val="single"/>
        </w:rPr>
        <w:t>minimalne</w:t>
      </w:r>
      <w:r w:rsidRPr="00F41D47">
        <w:rPr>
          <w:rFonts w:ascii="Calibri" w:hAnsi="Calibri" w:cs="Calibri"/>
          <w:sz w:val="22"/>
          <w:szCs w:val="22"/>
        </w:rPr>
        <w:t xml:space="preserve"> wymagania graniczne (odcinające), których niespełnienie spowoduje odrzucenie oferty. Brak wpisu </w:t>
      </w:r>
      <w:r w:rsidR="00FD1EE7">
        <w:rPr>
          <w:rFonts w:ascii="Calibri" w:hAnsi="Calibri" w:cs="Calibri"/>
          <w:sz w:val="22"/>
          <w:szCs w:val="22"/>
        </w:rPr>
        <w:br/>
      </w:r>
      <w:r w:rsidRPr="00F41D47">
        <w:rPr>
          <w:rFonts w:ascii="Calibri" w:hAnsi="Calibri" w:cs="Calibri"/>
          <w:sz w:val="22"/>
          <w:szCs w:val="22"/>
        </w:rPr>
        <w:t xml:space="preserve">w rubryce </w:t>
      </w:r>
      <w:r w:rsidRPr="00F41D47">
        <w:rPr>
          <w:rFonts w:ascii="Calibri" w:hAnsi="Calibri" w:cs="Calibri"/>
          <w:b/>
          <w:sz w:val="22"/>
          <w:szCs w:val="22"/>
        </w:rPr>
        <w:t>„Parametry oferowane”</w:t>
      </w:r>
      <w:r w:rsidRPr="00F41D47">
        <w:rPr>
          <w:rFonts w:ascii="Calibri" w:hAnsi="Calibri" w:cs="Calibri"/>
          <w:sz w:val="22"/>
          <w:szCs w:val="22"/>
        </w:rPr>
        <w:t xml:space="preserve"> zostanie potraktowany jako niespełnienie parametru skutkujące odrzuceniem oferty.</w:t>
      </w:r>
    </w:p>
    <w:p w14:paraId="2A93D0FC" w14:textId="4332B38B" w:rsidR="002D021F" w:rsidRDefault="002D021F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0B1EA24F" w14:textId="314556C4" w:rsidR="00ED21F4" w:rsidRDefault="00ED21F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4C1E5B2B" w14:textId="77777777" w:rsidR="00ED21F4" w:rsidRPr="00F41D47" w:rsidRDefault="00ED21F4" w:rsidP="00A3333F">
      <w:pPr>
        <w:pStyle w:val="Tekstpodstawowy"/>
        <w:rPr>
          <w:rFonts w:ascii="Calibri" w:hAnsi="Calibri" w:cs="Calibri"/>
          <w:b/>
          <w:color w:val="000000"/>
          <w:sz w:val="22"/>
          <w:szCs w:val="22"/>
        </w:rPr>
      </w:pPr>
    </w:p>
    <w:p w14:paraId="03C52A8B" w14:textId="562C457C" w:rsidR="005F3C8B" w:rsidRPr="00F41D47" w:rsidRDefault="005F3C8B" w:rsidP="002D021F">
      <w:pPr>
        <w:pStyle w:val="Nagwek4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lastRenderedPageBreak/>
        <w:t xml:space="preserve">Przedmiotem zamówienia jest dostawa fabrycznie nowego </w:t>
      </w:r>
      <w:r w:rsidR="0079249D">
        <w:rPr>
          <w:rFonts w:ascii="Calibri" w:hAnsi="Calibri" w:cs="Calibri"/>
          <w:b/>
          <w:sz w:val="22"/>
          <w:szCs w:val="22"/>
        </w:rPr>
        <w:t>aparat do znieczulania</w:t>
      </w:r>
      <w:r w:rsidR="00514D59">
        <w:rPr>
          <w:rFonts w:ascii="Calibri" w:hAnsi="Calibri" w:cs="Calibri"/>
          <w:b/>
          <w:sz w:val="22"/>
          <w:szCs w:val="22"/>
        </w:rPr>
        <w:t xml:space="preserve"> </w:t>
      </w:r>
      <w:r w:rsidR="006D3E93">
        <w:rPr>
          <w:rFonts w:ascii="Calibri" w:hAnsi="Calibri" w:cs="Calibri"/>
          <w:b/>
          <w:sz w:val="22"/>
          <w:szCs w:val="22"/>
        </w:rPr>
        <w:t xml:space="preserve">– </w:t>
      </w:r>
      <w:r w:rsidR="00B406E7">
        <w:rPr>
          <w:rFonts w:ascii="Calibri" w:hAnsi="Calibri" w:cs="Calibri"/>
          <w:b/>
          <w:sz w:val="22"/>
          <w:szCs w:val="22"/>
        </w:rPr>
        <w:t>1</w:t>
      </w:r>
      <w:r w:rsidRPr="00F41D47">
        <w:rPr>
          <w:rFonts w:ascii="Calibri" w:hAnsi="Calibri" w:cs="Calibri"/>
          <w:b/>
          <w:sz w:val="22"/>
          <w:szCs w:val="22"/>
        </w:rPr>
        <w:t xml:space="preserve"> szt</w:t>
      </w:r>
      <w:r w:rsidR="006D3E93">
        <w:rPr>
          <w:rFonts w:ascii="Calibri" w:hAnsi="Calibri" w:cs="Calibri"/>
          <w:b/>
          <w:sz w:val="22"/>
          <w:szCs w:val="22"/>
        </w:rPr>
        <w:t>.</w:t>
      </w:r>
      <w:r w:rsidRPr="00F41D47">
        <w:rPr>
          <w:rFonts w:ascii="Calibri" w:hAnsi="Calibri" w:cs="Calibri"/>
          <w:b/>
          <w:sz w:val="22"/>
          <w:szCs w:val="22"/>
        </w:rPr>
        <w:t xml:space="preserve"> </w:t>
      </w:r>
      <w:r w:rsidRPr="00F41D47">
        <w:rPr>
          <w:rFonts w:ascii="Calibri" w:hAnsi="Calibri" w:cs="Calibri"/>
          <w:sz w:val="22"/>
          <w:szCs w:val="22"/>
        </w:rPr>
        <w:t xml:space="preserve"> uruchomienie i przeszkolenie personelu Zamawiającego w zakresie jego obsługi i eksploatacji; </w:t>
      </w:r>
    </w:p>
    <w:p w14:paraId="3DFDC58D" w14:textId="77777777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</w:p>
    <w:p w14:paraId="4B908EC2" w14:textId="77777777" w:rsidR="005F3C8B" w:rsidRPr="00F41D47" w:rsidRDefault="005F3C8B" w:rsidP="002D021F">
      <w:pPr>
        <w:pStyle w:val="Nagwek1"/>
        <w:spacing w:before="0" w:after="0"/>
        <w:rPr>
          <w:rFonts w:ascii="Calibri" w:hAnsi="Calibri" w:cs="Calibri"/>
          <w:color w:val="000000"/>
          <w:sz w:val="22"/>
          <w:szCs w:val="22"/>
        </w:rPr>
      </w:pPr>
      <w:r w:rsidRPr="00F41D47">
        <w:rPr>
          <w:rFonts w:ascii="Calibri" w:hAnsi="Calibri" w:cs="Calibri"/>
          <w:color w:val="000000"/>
          <w:sz w:val="22"/>
          <w:szCs w:val="22"/>
        </w:rPr>
        <w:t xml:space="preserve">ZESTAWIENIE PARAMETRÓW TECHNICZNYCH </w:t>
      </w:r>
    </w:p>
    <w:p w14:paraId="03C18ED5" w14:textId="77777777" w:rsidR="005F3C8B" w:rsidRPr="00F41D47" w:rsidRDefault="005F3C8B" w:rsidP="002D021F">
      <w:pPr>
        <w:pStyle w:val="Nagwek2"/>
        <w:rPr>
          <w:rFonts w:ascii="Calibri" w:hAnsi="Calibri" w:cs="Calibri"/>
          <w:b w:val="0"/>
          <w:sz w:val="22"/>
          <w:szCs w:val="22"/>
        </w:rPr>
      </w:pPr>
      <w:r w:rsidRPr="00F41D47">
        <w:rPr>
          <w:rFonts w:ascii="Calibri" w:hAnsi="Calibri" w:cs="Calibri"/>
          <w:b w:val="0"/>
          <w:sz w:val="22"/>
          <w:szCs w:val="22"/>
        </w:rPr>
        <w:t xml:space="preserve">Producent: </w:t>
      </w:r>
    </w:p>
    <w:p w14:paraId="33913980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Urządzenie typ: </w:t>
      </w:r>
    </w:p>
    <w:p w14:paraId="6557BF36" w14:textId="77777777" w:rsidR="005F3C8B" w:rsidRPr="00F41D47" w:rsidRDefault="005F3C8B" w:rsidP="002D021F">
      <w:pPr>
        <w:pStyle w:val="Tekstpodstawowy"/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 xml:space="preserve">Kraj pochodzenia: </w:t>
      </w:r>
    </w:p>
    <w:p w14:paraId="724F610B" w14:textId="39A4A91B" w:rsidR="005F3C8B" w:rsidRPr="00F41D47" w:rsidRDefault="005F3C8B" w:rsidP="002D021F">
      <w:pPr>
        <w:rPr>
          <w:rFonts w:ascii="Calibri" w:hAnsi="Calibri" w:cs="Calibri"/>
          <w:sz w:val="22"/>
          <w:szCs w:val="22"/>
        </w:rPr>
      </w:pPr>
      <w:r w:rsidRPr="00F41D47">
        <w:rPr>
          <w:rFonts w:ascii="Calibri" w:hAnsi="Calibri" w:cs="Calibri"/>
          <w:sz w:val="22"/>
          <w:szCs w:val="22"/>
        </w:rPr>
        <w:t>Rok produkcji</w:t>
      </w:r>
      <w:r w:rsidR="00F97DA0">
        <w:rPr>
          <w:rFonts w:ascii="Calibri" w:hAnsi="Calibri" w:cs="Calibri"/>
          <w:sz w:val="22"/>
          <w:szCs w:val="22"/>
        </w:rPr>
        <w:t xml:space="preserve"> min. 202</w:t>
      </w:r>
      <w:r w:rsidR="00472ACA">
        <w:rPr>
          <w:rFonts w:ascii="Calibri" w:hAnsi="Calibri" w:cs="Calibri"/>
          <w:sz w:val="22"/>
          <w:szCs w:val="22"/>
        </w:rPr>
        <w:t>6</w:t>
      </w:r>
      <w:r w:rsidRPr="00F41D47">
        <w:rPr>
          <w:rFonts w:ascii="Calibri" w:hAnsi="Calibri" w:cs="Calibri"/>
          <w:sz w:val="22"/>
          <w:szCs w:val="22"/>
        </w:rPr>
        <w:t>:</w:t>
      </w:r>
    </w:p>
    <w:p w14:paraId="6A4AC872" w14:textId="77777777" w:rsidR="005F3C8B" w:rsidRPr="00F41D47" w:rsidRDefault="00F97DA0" w:rsidP="002D021F">
      <w:pPr>
        <w:pStyle w:val="Tekstpodstawowy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43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6871"/>
        <w:gridCol w:w="1276"/>
        <w:gridCol w:w="5631"/>
      </w:tblGrid>
      <w:tr w:rsidR="005F3C8B" w:rsidRPr="00B53D1B" w14:paraId="39DA205C" w14:textId="77777777" w:rsidTr="00FB0B7C">
        <w:tc>
          <w:tcPr>
            <w:tcW w:w="567" w:type="dxa"/>
            <w:vAlign w:val="center"/>
          </w:tcPr>
          <w:p w14:paraId="51F8BB85" w14:textId="77777777" w:rsidR="005F3C8B" w:rsidRPr="00B53D1B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</w:rPr>
              <w:t>LP.</w:t>
            </w:r>
          </w:p>
        </w:tc>
        <w:tc>
          <w:tcPr>
            <w:tcW w:w="6871" w:type="dxa"/>
            <w:vAlign w:val="center"/>
          </w:tcPr>
          <w:p w14:paraId="4E3EABB1" w14:textId="77777777" w:rsidR="005F3C8B" w:rsidRPr="00B53D1B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</w:rPr>
              <w:t>OPIS PRZEDMIOTU ZAMÓWIENIA</w:t>
            </w:r>
          </w:p>
        </w:tc>
        <w:tc>
          <w:tcPr>
            <w:tcW w:w="1276" w:type="dxa"/>
            <w:vAlign w:val="center"/>
          </w:tcPr>
          <w:p w14:paraId="554D7EFD" w14:textId="77777777" w:rsidR="005F3C8B" w:rsidRPr="00B53D1B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</w:rPr>
              <w:t>PARAMETRY WYMAGANE</w:t>
            </w:r>
          </w:p>
        </w:tc>
        <w:tc>
          <w:tcPr>
            <w:tcW w:w="5631" w:type="dxa"/>
            <w:vAlign w:val="center"/>
          </w:tcPr>
          <w:p w14:paraId="190D9A03" w14:textId="710269A0" w:rsidR="005F3C8B" w:rsidRPr="00B53D1B" w:rsidRDefault="005F3C8B" w:rsidP="00111D1A">
            <w:pPr>
              <w:pStyle w:val="Nagwek8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</w:rPr>
              <w:t>PARAMETRY OFEROWANE</w:t>
            </w:r>
            <w:r w:rsidR="00B53D1B">
              <w:rPr>
                <w:rFonts w:asciiTheme="minorHAnsi" w:hAnsiTheme="minorHAnsi" w:cstheme="minorHAnsi"/>
              </w:rPr>
              <w:t>/PODAĆ</w:t>
            </w:r>
          </w:p>
        </w:tc>
      </w:tr>
      <w:tr w:rsidR="00864813" w:rsidRPr="00B53D1B" w14:paraId="0023178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C4428D2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A03EE7E" w14:textId="682B56FE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Aparat do znieczulania ogólnego noworodków, dzieci i dorosłych  </w:t>
            </w:r>
          </w:p>
        </w:tc>
        <w:tc>
          <w:tcPr>
            <w:tcW w:w="1276" w:type="dxa"/>
            <w:vAlign w:val="center"/>
          </w:tcPr>
          <w:p w14:paraId="43E13788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21C3B7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3BE15A1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D499BAF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BE67106" w14:textId="61B529C2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eastAsia="Calibri" w:hAnsiTheme="minorHAnsi" w:cstheme="minorHAnsi"/>
                <w:lang w:eastAsia="en-US"/>
              </w:rPr>
              <w:t xml:space="preserve">Aparat jezdny  </w:t>
            </w:r>
          </w:p>
        </w:tc>
        <w:tc>
          <w:tcPr>
            <w:tcW w:w="1276" w:type="dxa"/>
            <w:vAlign w:val="center"/>
          </w:tcPr>
          <w:p w14:paraId="028AE35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540A407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24DDB5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F4A0204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53C2F3D" w14:textId="7E0FEF5C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Aparat wyposażony w 4 koła z hamulcem centralnym minimum dwóch kół przednich</w:t>
            </w:r>
          </w:p>
        </w:tc>
        <w:tc>
          <w:tcPr>
            <w:tcW w:w="1276" w:type="dxa"/>
            <w:vAlign w:val="center"/>
          </w:tcPr>
          <w:p w14:paraId="50ED248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4A03CEB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5957258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FE45585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45E8E3D" w14:textId="77777777" w:rsidR="00864813" w:rsidRPr="00BC5D19" w:rsidRDefault="00864813" w:rsidP="00864813">
            <w:pPr>
              <w:jc w:val="both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Zasilanie dostosowane do 230 V 50 </w:t>
            </w:r>
            <w:proofErr w:type="spellStart"/>
            <w:r w:rsidRPr="00BC5D19">
              <w:rPr>
                <w:rFonts w:asciiTheme="minorHAnsi" w:hAnsiTheme="minorHAnsi" w:cstheme="minorHAnsi"/>
              </w:rPr>
              <w:t>Hz</w:t>
            </w:r>
            <w:proofErr w:type="spellEnd"/>
            <w:r w:rsidRPr="00BC5D19">
              <w:rPr>
                <w:rFonts w:asciiTheme="minorHAnsi" w:hAnsiTheme="minorHAnsi" w:cstheme="minorHAnsi"/>
              </w:rPr>
              <w:t>,</w:t>
            </w:r>
          </w:p>
          <w:p w14:paraId="75B1C301" w14:textId="7A8390B3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wbudowane fabrycznie gniazda elektryczne 230 V (minimum 3 gniazda)</w:t>
            </w:r>
          </w:p>
        </w:tc>
        <w:tc>
          <w:tcPr>
            <w:tcW w:w="1276" w:type="dxa"/>
            <w:vAlign w:val="center"/>
          </w:tcPr>
          <w:p w14:paraId="3F92FFA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566F1C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1F8D432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F47A6FF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ADE879C" w14:textId="24531B5D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Indywidualne, automatyczne bezpieczniki gniazd elektrycznych</w:t>
            </w:r>
          </w:p>
        </w:tc>
        <w:tc>
          <w:tcPr>
            <w:tcW w:w="1276" w:type="dxa"/>
            <w:vAlign w:val="center"/>
          </w:tcPr>
          <w:p w14:paraId="460558F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633E2B6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2C52AE5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956CDC6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220CFC9" w14:textId="234D8DD6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Transformator separacyjny</w:t>
            </w:r>
          </w:p>
        </w:tc>
        <w:tc>
          <w:tcPr>
            <w:tcW w:w="1276" w:type="dxa"/>
            <w:vAlign w:val="center"/>
          </w:tcPr>
          <w:p w14:paraId="1FD04E54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559AD1B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2BFDCD1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AF6142B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D709F0B" w14:textId="7147166B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Zasilanie awaryjne zapewniające pracę aparatu przy zaniku napięcia sieci elektroenergetycznej przez co najmniej 30 min. w warunkach ekstremalnych i co najmniej 90 min. w warunkach standardowych</w:t>
            </w:r>
          </w:p>
        </w:tc>
        <w:tc>
          <w:tcPr>
            <w:tcW w:w="1276" w:type="dxa"/>
            <w:vAlign w:val="center"/>
          </w:tcPr>
          <w:p w14:paraId="749258B6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6237A7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6C3D765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2B2F4BB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66374EF" w14:textId="4F33F23E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Zasilanie w gazy ( O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, N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O, powietrze) z centralnej sieci szpitalnej</w:t>
            </w:r>
          </w:p>
        </w:tc>
        <w:tc>
          <w:tcPr>
            <w:tcW w:w="1276" w:type="dxa"/>
            <w:vAlign w:val="center"/>
          </w:tcPr>
          <w:p w14:paraId="1089EE36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6844AFC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FCE747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CF0FA4A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EEAC1C3" w14:textId="16E1199B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Awaryjne zasilanie gazowego z 10 l butli (O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 xml:space="preserve"> i N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O)</w:t>
            </w:r>
          </w:p>
        </w:tc>
        <w:tc>
          <w:tcPr>
            <w:tcW w:w="1276" w:type="dxa"/>
            <w:vAlign w:val="center"/>
          </w:tcPr>
          <w:p w14:paraId="3F18482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195EDBF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9D50AB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E576015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90DF7D1" w14:textId="54A0040F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Prezentacja ciśnień gazów zasilających z sieci centralnej i butli rezerwowych na ekranie głównym aparatu do znieczulenia</w:t>
            </w:r>
          </w:p>
        </w:tc>
        <w:tc>
          <w:tcPr>
            <w:tcW w:w="1276" w:type="dxa"/>
            <w:vAlign w:val="center"/>
          </w:tcPr>
          <w:p w14:paraId="27E9063D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1A108A2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660E0B5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D08DC7B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7FF37E4" w14:textId="19C8887F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Węże wysokociśnieniowe ( O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, N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O, powietrze) kodowane odpowiednimi kolorami o dł. min. 5 m.</w:t>
            </w:r>
          </w:p>
        </w:tc>
        <w:tc>
          <w:tcPr>
            <w:tcW w:w="1276" w:type="dxa"/>
            <w:vAlign w:val="center"/>
          </w:tcPr>
          <w:p w14:paraId="45102488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756552B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6EC6589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3D5F5B3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23FBFDA" w14:textId="3D2929D5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Precyzyjne elektroniczne przepływomierze tlenu, podtlenku azotu i powietrza</w:t>
            </w:r>
          </w:p>
        </w:tc>
        <w:tc>
          <w:tcPr>
            <w:tcW w:w="1276" w:type="dxa"/>
          </w:tcPr>
          <w:p w14:paraId="62AFD048" w14:textId="60F3F6FE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DD63BF2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13B5C22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ADA0785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95F2659" w14:textId="6F36A4F8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Kalibracja przepływomierzy dostosowana do znieczulania z niskimi i minimalnymi przepływami gazów</w:t>
            </w:r>
          </w:p>
        </w:tc>
        <w:tc>
          <w:tcPr>
            <w:tcW w:w="1276" w:type="dxa"/>
          </w:tcPr>
          <w:p w14:paraId="024F048B" w14:textId="0A5765CA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C6E04A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6BF70B8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EE54AB3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D6F7F47" w14:textId="1E63C112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Wbudowany przepływomierz tlenu, niezależny od układu okrężnego, z regulowanym przepływem tlenu minimum do 10 l/min.</w:t>
            </w:r>
          </w:p>
        </w:tc>
        <w:tc>
          <w:tcPr>
            <w:tcW w:w="1276" w:type="dxa"/>
          </w:tcPr>
          <w:p w14:paraId="3972C739" w14:textId="55E89EFE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3519613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C66508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F811AF8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6F49B66" w14:textId="73F2967E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eastAsia="Calibri" w:hAnsiTheme="minorHAnsi" w:cstheme="minorHAnsi"/>
                <w:lang w:eastAsia="en-US"/>
              </w:rPr>
              <w:t>Elektroniczny lub pneumatyczny mieszalnik gazów</w:t>
            </w:r>
          </w:p>
        </w:tc>
        <w:tc>
          <w:tcPr>
            <w:tcW w:w="1276" w:type="dxa"/>
          </w:tcPr>
          <w:p w14:paraId="40FA62E9" w14:textId="58286158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0B149B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72E217A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C2CB485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A162BDA" w14:textId="3C846080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System automatycznego utrzymywania stężenia tlenu w mieszaninie z podtlenkiem azotu na poziomie minimum 25%.  </w:t>
            </w:r>
          </w:p>
        </w:tc>
        <w:tc>
          <w:tcPr>
            <w:tcW w:w="1276" w:type="dxa"/>
          </w:tcPr>
          <w:p w14:paraId="6F9D4CB8" w14:textId="202B5C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09518B9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7001349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6B1F5BF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542D9FD7" w14:textId="3D76EABD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Wbudowana regulowana zastawka nadciśnieniowa APL wentylacji ręcznej</w:t>
            </w:r>
          </w:p>
        </w:tc>
        <w:tc>
          <w:tcPr>
            <w:tcW w:w="1276" w:type="dxa"/>
          </w:tcPr>
          <w:p w14:paraId="7559D3D1" w14:textId="3A86FF7F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21FFB87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455F7EC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94BA127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57251C6" w14:textId="16181F24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Aparat wyposażony w blat do pisania i minimum trzy szuflady na </w:t>
            </w:r>
            <w:proofErr w:type="spellStart"/>
            <w:r w:rsidRPr="00BC5D19">
              <w:rPr>
                <w:rFonts w:asciiTheme="minorHAnsi" w:hAnsiTheme="minorHAnsi" w:cstheme="minorHAnsi"/>
              </w:rPr>
              <w:t>akcesoriaw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tym jedną zamykaną na kluczyk</w:t>
            </w:r>
          </w:p>
        </w:tc>
        <w:tc>
          <w:tcPr>
            <w:tcW w:w="1276" w:type="dxa"/>
          </w:tcPr>
          <w:p w14:paraId="6DB7F577" w14:textId="680482CD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550BC95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1AB9238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B8EE87C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479E199" w14:textId="366F70AF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Wbudowane oświetlenie blatu z regulacją natężenia światła.</w:t>
            </w:r>
          </w:p>
        </w:tc>
        <w:tc>
          <w:tcPr>
            <w:tcW w:w="1276" w:type="dxa"/>
          </w:tcPr>
          <w:p w14:paraId="42D06A7F" w14:textId="101AE03F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09261A7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3CB8A6F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B93CB8D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FF4C932" w14:textId="6C42C3C9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Światło typu LED z płynną regulacją</w:t>
            </w:r>
          </w:p>
        </w:tc>
        <w:tc>
          <w:tcPr>
            <w:tcW w:w="1276" w:type="dxa"/>
          </w:tcPr>
          <w:p w14:paraId="6CD76F5C" w14:textId="72198855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FD8015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0534DE8F" w14:textId="77777777" w:rsidTr="006A1F31">
        <w:trPr>
          <w:trHeight w:val="175"/>
        </w:trPr>
        <w:tc>
          <w:tcPr>
            <w:tcW w:w="14345" w:type="dxa"/>
            <w:gridSpan w:val="4"/>
            <w:vAlign w:val="center"/>
          </w:tcPr>
          <w:p w14:paraId="376DAA8E" w14:textId="5060CA38" w:rsidR="00FB0B7C" w:rsidRPr="00FB0B7C" w:rsidRDefault="00FB0B7C" w:rsidP="00FB0B7C">
            <w:pPr>
              <w:jc w:val="center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b/>
                <w:bCs/>
              </w:rPr>
              <w:t>Układ oddechowy</w:t>
            </w:r>
          </w:p>
        </w:tc>
      </w:tr>
      <w:tr w:rsidR="00864813" w:rsidRPr="00B53D1B" w14:paraId="6575902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84AC6AD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47B4B390" w14:textId="25FB4EA1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Kompaktowy układ oddechowy okrężny do wentylacji dzieci i dorosłych </w:t>
            </w:r>
          </w:p>
        </w:tc>
        <w:tc>
          <w:tcPr>
            <w:tcW w:w="1276" w:type="dxa"/>
          </w:tcPr>
          <w:p w14:paraId="7A59778C" w14:textId="298D0F2D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54C26B3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43AFF60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A27C397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2876421" w14:textId="35044D8E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Układ oddechowy o prostej budowie, do łatwej wymiany i sterylizacji, pozbawiony lateksu.</w:t>
            </w:r>
          </w:p>
        </w:tc>
        <w:tc>
          <w:tcPr>
            <w:tcW w:w="1276" w:type="dxa"/>
          </w:tcPr>
          <w:p w14:paraId="6F190B85" w14:textId="238BF409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EDBDCBC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1BC1C25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CAA9EED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89FD0E7" w14:textId="01201CFA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Możliwość podłączenia układów bezzastawkowych bez ingerencji w układ okrężny aparatu.</w:t>
            </w:r>
          </w:p>
        </w:tc>
        <w:tc>
          <w:tcPr>
            <w:tcW w:w="1276" w:type="dxa"/>
          </w:tcPr>
          <w:p w14:paraId="461DE97C" w14:textId="4B1DCA12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4932366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4B55334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34A6078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763D103" w14:textId="480454DF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Obejście tlenowe o dużej wydajności: zakres minimum:  od 25 l/min. do 75 l/min.</w:t>
            </w:r>
          </w:p>
        </w:tc>
        <w:tc>
          <w:tcPr>
            <w:tcW w:w="1276" w:type="dxa"/>
          </w:tcPr>
          <w:p w14:paraId="1B56057B" w14:textId="50DDF559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E1D0BA9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A0689C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E9CFF50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7FB75B6" w14:textId="6938D5BD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Pochłaniacz dwutlenku węgla, wielokrotnego użytku, o budowie przeziernej i pojemności maksymalnej  do 1,4 l.</w:t>
            </w:r>
          </w:p>
        </w:tc>
        <w:tc>
          <w:tcPr>
            <w:tcW w:w="1276" w:type="dxa"/>
          </w:tcPr>
          <w:p w14:paraId="54DF6BD5" w14:textId="6E1A24E1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A38A45F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280A1206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7DFA8A0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46C9A16" w14:textId="77777777" w:rsidR="00864813" w:rsidRPr="00BC5D19" w:rsidRDefault="00864813" w:rsidP="00864813">
            <w:pPr>
              <w:suppressLineNumbers/>
              <w:snapToGrid w:val="0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Możliwość używania zamiennie pochłaniaczy wielorazowych i jednorazowych. </w:t>
            </w:r>
          </w:p>
          <w:p w14:paraId="1A54D11A" w14:textId="15602373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Wymiana bez stosowania narzędzi.</w:t>
            </w:r>
          </w:p>
        </w:tc>
        <w:tc>
          <w:tcPr>
            <w:tcW w:w="1276" w:type="dxa"/>
          </w:tcPr>
          <w:p w14:paraId="42E69728" w14:textId="7C05CBDD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341A2A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2C425A1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56247D9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66B173D" w14:textId="243CA402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Możliwość używania zamiennie pochłaniaczy wielorazowych i jednorazowych podczas znieczulenia bez rozszczelnienia układu</w:t>
            </w:r>
          </w:p>
        </w:tc>
        <w:tc>
          <w:tcPr>
            <w:tcW w:w="1276" w:type="dxa"/>
          </w:tcPr>
          <w:p w14:paraId="15675CF9" w14:textId="056ACE81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9667FD1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A20475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886935A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DCF8E42" w14:textId="456CA12A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Usuwanie gazów anestetycznych poza salę operacyjną dostosowane do systemu odprowadzania gazów z kolumny. Wyjście ewakuacji gazów z zabezpieczeniem przed wyssaniem gazów z układu okrężnego. Przewód do podłączenia wyjścia ewakuacji gazów anestetycznych aparatu z odciągiem gazów w kolumnie anestezjologicznej (kompletny przewód o długości min. 5 m z wtyczką do gazów kolumny)</w:t>
            </w:r>
          </w:p>
        </w:tc>
        <w:tc>
          <w:tcPr>
            <w:tcW w:w="1276" w:type="dxa"/>
          </w:tcPr>
          <w:p w14:paraId="0E91340D" w14:textId="6D80F005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386816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7AE6DC6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35D50CA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DF0FEBD" w14:textId="736FAA30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Urządzenie do ekonomizacji znieczulania: funkcja optymalnego doboru przepływu świeżych gazów i oszczędzania środków wziewnych.</w:t>
            </w:r>
          </w:p>
        </w:tc>
        <w:tc>
          <w:tcPr>
            <w:tcW w:w="1276" w:type="dxa"/>
          </w:tcPr>
          <w:p w14:paraId="2169A30E" w14:textId="0684E2C3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CA11671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6D3C872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5A1E58A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EEF8054" w14:textId="1DE0DCCA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Zapobieganie powstawaniu mieszaniny </w:t>
            </w:r>
            <w:proofErr w:type="spellStart"/>
            <w:r w:rsidRPr="00BC5D19">
              <w:rPr>
                <w:rFonts w:asciiTheme="minorHAnsi" w:hAnsiTheme="minorHAnsi" w:cstheme="minorHAnsi"/>
              </w:rPr>
              <w:t>hipoksycznej</w:t>
            </w:r>
            <w:proofErr w:type="spellEnd"/>
          </w:p>
        </w:tc>
        <w:tc>
          <w:tcPr>
            <w:tcW w:w="1276" w:type="dxa"/>
          </w:tcPr>
          <w:p w14:paraId="351ADBE6" w14:textId="32FBF888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272E809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3D66ED9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61A7E06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1617A56" w14:textId="5682F3D8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Wyświetlanie wartości minimalnego przepływu O2 potrzebnego do utrzymania zdefiniowanego przez użytkownika stężenia wdechowego tlenu</w:t>
            </w:r>
          </w:p>
        </w:tc>
        <w:tc>
          <w:tcPr>
            <w:tcW w:w="1276" w:type="dxa"/>
          </w:tcPr>
          <w:p w14:paraId="139ED3AB" w14:textId="077A3AE6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F2AF0DB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5595EF9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0B4BA54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05CFC83" w14:textId="78D183BA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Możliwość automatycznej oceny zużycia środka wziewnego w godzinie znieczulenia z podaniem kosztu(np. w Euro, dolar) – wyświetlanie w sposób ciągły razem z wartością </w:t>
            </w:r>
            <w:proofErr w:type="spellStart"/>
            <w:r w:rsidRPr="00BC5D19">
              <w:rPr>
                <w:rFonts w:asciiTheme="minorHAnsi" w:hAnsiTheme="minorHAnsi" w:cstheme="minorHAnsi"/>
              </w:rPr>
              <w:t>przpływu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anestetyku w ml/h</w:t>
            </w:r>
          </w:p>
        </w:tc>
        <w:tc>
          <w:tcPr>
            <w:tcW w:w="1276" w:type="dxa"/>
          </w:tcPr>
          <w:p w14:paraId="2A4FF8D2" w14:textId="77323396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90951D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07DEA0F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88538A6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9DB2720" w14:textId="18B763BE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Wyświetlanie w czasie rzeczywistym emisji CO2 w kg wynikającej ze stosowania anestetyku wziewnego</w:t>
            </w:r>
          </w:p>
        </w:tc>
        <w:tc>
          <w:tcPr>
            <w:tcW w:w="1276" w:type="dxa"/>
          </w:tcPr>
          <w:p w14:paraId="5778C2FA" w14:textId="65584E2F" w:rsidR="00864813" w:rsidRPr="00B53D1B" w:rsidRDefault="004C043A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043A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EDCCE2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561DC22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2D2E16E" w14:textId="77777777" w:rsidR="00864813" w:rsidRPr="00B53D1B" w:rsidRDefault="00864813" w:rsidP="00864813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F1EF26E" w14:textId="4E7A3C86" w:rsidR="00864813" w:rsidRPr="00B53D1B" w:rsidRDefault="00864813" w:rsidP="00864813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Układ oddechowy kompaktowy pozbawiony lateksu nadający się do sterylizacji w autoklawie</w:t>
            </w:r>
          </w:p>
        </w:tc>
        <w:tc>
          <w:tcPr>
            <w:tcW w:w="1276" w:type="dxa"/>
          </w:tcPr>
          <w:p w14:paraId="11474C05" w14:textId="543F4BD9" w:rsidR="00864813" w:rsidRPr="00B53D1B" w:rsidRDefault="004C043A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4C043A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73C0F24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5CEAF642" w14:textId="77777777" w:rsidTr="003967A7">
        <w:trPr>
          <w:trHeight w:val="175"/>
        </w:trPr>
        <w:tc>
          <w:tcPr>
            <w:tcW w:w="14345" w:type="dxa"/>
            <w:gridSpan w:val="4"/>
            <w:vAlign w:val="center"/>
          </w:tcPr>
          <w:p w14:paraId="3A5EABA0" w14:textId="3A1160F4" w:rsidR="00FB0B7C" w:rsidRPr="00B53D1B" w:rsidRDefault="00FB0B7C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5D19">
              <w:rPr>
                <w:rFonts w:asciiTheme="minorHAnsi" w:hAnsiTheme="minorHAnsi" w:cstheme="minorHAnsi"/>
                <w:b/>
                <w:bCs/>
              </w:rPr>
              <w:t>Respirator anestetyczny   </w:t>
            </w:r>
          </w:p>
        </w:tc>
      </w:tr>
      <w:tr w:rsidR="004C043A" w:rsidRPr="00B53D1B" w14:paraId="39C1C78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CF639B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D10DEFF" w14:textId="7C4E13D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Tryb wentylacji ciśnieniowo – zmienny (PC).</w:t>
            </w:r>
          </w:p>
        </w:tc>
        <w:tc>
          <w:tcPr>
            <w:tcW w:w="1276" w:type="dxa"/>
          </w:tcPr>
          <w:p w14:paraId="1B47BB59" w14:textId="6CBF527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9EB0F9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E1F934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A11792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B620D48" w14:textId="5A5C90D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Tryb wentylacji objętościowo – zmienny (VC).</w:t>
            </w:r>
          </w:p>
        </w:tc>
        <w:tc>
          <w:tcPr>
            <w:tcW w:w="1276" w:type="dxa"/>
          </w:tcPr>
          <w:p w14:paraId="2BA478DF" w14:textId="02CB161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FBDC44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B7A86E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C6239E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F54195B" w14:textId="2C2CC79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Tryby z gwarantowaną objętością</w:t>
            </w:r>
          </w:p>
        </w:tc>
        <w:tc>
          <w:tcPr>
            <w:tcW w:w="1276" w:type="dxa"/>
          </w:tcPr>
          <w:p w14:paraId="285D61A5" w14:textId="441B443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177C98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D7A86A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695028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D8E2BD6" w14:textId="4CF1DCF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Synchronizowana przerywana wentylacja wymuszona (SIMV) w trybie objętościowo – zmiennym</w:t>
            </w:r>
          </w:p>
        </w:tc>
        <w:tc>
          <w:tcPr>
            <w:tcW w:w="1276" w:type="dxa"/>
          </w:tcPr>
          <w:p w14:paraId="62349F42" w14:textId="65143C2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7CEA41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369F57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08DD07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B839730" w14:textId="75B8071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Synchronizowana przerywana wentylacja wymuszona (SIMV) w trybie ciśnieniowo – zmiennym</w:t>
            </w:r>
          </w:p>
        </w:tc>
        <w:tc>
          <w:tcPr>
            <w:tcW w:w="1276" w:type="dxa"/>
          </w:tcPr>
          <w:p w14:paraId="724BCF1F" w14:textId="5455B7E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155CB6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AA9DC1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2FB443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C745488" w14:textId="2FF5D3A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Synchronizowana przerywana wentylacja wymuszona (SIMV) w trybie ciśnieniowo zmiennym z gwarantowaną objętością</w:t>
            </w:r>
          </w:p>
        </w:tc>
        <w:tc>
          <w:tcPr>
            <w:tcW w:w="1276" w:type="dxa"/>
          </w:tcPr>
          <w:p w14:paraId="15DBD6DA" w14:textId="777C26A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CE33E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CBF24C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16C460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1C749D0" w14:textId="04C4972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Tryb wentylacji wspomaganej ciśnieniem (tzw. </w:t>
            </w:r>
            <w:proofErr w:type="spellStart"/>
            <w:r w:rsidRPr="00BC5D19">
              <w:rPr>
                <w:rFonts w:asciiTheme="minorHAnsi" w:hAnsiTheme="minorHAnsi" w:cstheme="minorHAnsi"/>
              </w:rPr>
              <w:t>Pressure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Support</w:t>
            </w:r>
            <w:proofErr w:type="spellEnd"/>
            <w:r w:rsidRPr="00BC5D19">
              <w:rPr>
                <w:rFonts w:asciiTheme="minorHAnsi" w:hAnsiTheme="minorHAnsi" w:cstheme="minorHAnsi"/>
              </w:rPr>
              <w:t>) z automatycznym włączeniem wentylacji zapasowej po wystąpieniu alarmu bezdechu respiratora. Czułość wyzwalania przepływowego min. 0,2-10 l/min.</w:t>
            </w:r>
          </w:p>
        </w:tc>
        <w:tc>
          <w:tcPr>
            <w:tcW w:w="1276" w:type="dxa"/>
          </w:tcPr>
          <w:p w14:paraId="0567B783" w14:textId="70E3AE6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F7D54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C25685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BF36B9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472821F" w14:textId="04E6F6C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Tryb wentylacji CPAP+PSV.</w:t>
            </w:r>
          </w:p>
        </w:tc>
        <w:tc>
          <w:tcPr>
            <w:tcW w:w="1276" w:type="dxa"/>
          </w:tcPr>
          <w:p w14:paraId="67F6E78E" w14:textId="69A7A32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61E1C0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05ACEE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221D0B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650CBE7" w14:textId="2B95FAB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Tryb wentylacji ręczny.</w:t>
            </w:r>
          </w:p>
        </w:tc>
        <w:tc>
          <w:tcPr>
            <w:tcW w:w="1276" w:type="dxa"/>
          </w:tcPr>
          <w:p w14:paraId="14AB4B71" w14:textId="5F2BE0D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A79DE8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1AF032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6BFBF3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5189320" w14:textId="33BF66A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Pauza w przepływie gazów minimum do 1 min. w trybie wentylacji ręcznej i mechanicznej</w:t>
            </w:r>
          </w:p>
        </w:tc>
        <w:tc>
          <w:tcPr>
            <w:tcW w:w="1276" w:type="dxa"/>
          </w:tcPr>
          <w:p w14:paraId="4AD1268A" w14:textId="315E979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4C055F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21F0DC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217E26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954718A" w14:textId="50D2661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Automatyczny jednoetapowy manewr rekrutacji pęcherzyków płucnych- podanie na żądanie dodatkowego jednego oddechu pod określonym ciśnieniem przez określony czas bez wykonania zmian w ustawieniach respiratora – wentylacja mechaniczna</w:t>
            </w:r>
          </w:p>
        </w:tc>
        <w:tc>
          <w:tcPr>
            <w:tcW w:w="1276" w:type="dxa"/>
          </w:tcPr>
          <w:p w14:paraId="47948DDA" w14:textId="14EA47C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912D26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5C8112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C5FE93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2A3747F" w14:textId="77777777" w:rsidR="004C043A" w:rsidRPr="00BC5D19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Automatyczna wielostopniowa rekrutacja pęcherzyków płucnych programowana i obrazowana na ekranie respiratora z możliwością ustawienia PEEP na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wyjsciu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i wyświetlaniem wartości podatności płuc przy każdym etapie procedury</w:t>
            </w:r>
          </w:p>
          <w:p w14:paraId="568230ED" w14:textId="43B8F47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proofErr w:type="spellStart"/>
            <w:r w:rsidRPr="00BC5D19">
              <w:rPr>
                <w:rFonts w:asciiTheme="minorHAnsi" w:hAnsiTheme="minorHAnsi" w:cstheme="minorHAnsi"/>
              </w:rPr>
              <w:t>Mżliwość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prekonfiguracji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min. 4 procedur</w:t>
            </w:r>
          </w:p>
        </w:tc>
        <w:tc>
          <w:tcPr>
            <w:tcW w:w="1276" w:type="dxa"/>
          </w:tcPr>
          <w:p w14:paraId="5B9BE769" w14:textId="7ACFB76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70995E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B16CBF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746463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E010919" w14:textId="298677C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Łatwe przełączanie wentylacji ręcznej na mechaniczną i wentylacji mechanicznej na ręczną.</w:t>
            </w:r>
          </w:p>
        </w:tc>
        <w:tc>
          <w:tcPr>
            <w:tcW w:w="1276" w:type="dxa"/>
          </w:tcPr>
          <w:p w14:paraId="28C6B862" w14:textId="0DBB4FF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A9C593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D0ECB4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49AFBA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8B3F481" w14:textId="26AD05C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Przełączanie mechaniczne wentylacji  przy pomocy dźwigni </w:t>
            </w:r>
          </w:p>
        </w:tc>
        <w:tc>
          <w:tcPr>
            <w:tcW w:w="1276" w:type="dxa"/>
          </w:tcPr>
          <w:p w14:paraId="3AB7C85D" w14:textId="65F7B26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78E66E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175D51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B99BD2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3F9A6E2" w14:textId="56C25A0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regulacji stosunku wdechu do wydechu: minimum 2:1 ÷ 1:4.</w:t>
            </w:r>
          </w:p>
        </w:tc>
        <w:tc>
          <w:tcPr>
            <w:tcW w:w="1276" w:type="dxa"/>
          </w:tcPr>
          <w:p w14:paraId="1B83E460" w14:textId="6A85484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DCFA2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DF1D58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07C467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904E974" w14:textId="77777777" w:rsidR="004C043A" w:rsidRPr="00BC5D19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regulacji częstości oddechu w trybie wentylacji ciśnieniowo-zmiennej i objętościowo-zmiennej: minimum</w:t>
            </w:r>
          </w:p>
          <w:p w14:paraId="6AA83A24" w14:textId="4C7CED5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 4 ÷ 100 oddechów / min.  </w:t>
            </w:r>
          </w:p>
        </w:tc>
        <w:tc>
          <w:tcPr>
            <w:tcW w:w="1276" w:type="dxa"/>
          </w:tcPr>
          <w:p w14:paraId="52CB5B1B" w14:textId="1631D01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E73077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B6A334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19903C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63255BD" w14:textId="6FAA198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regulacji objętości oddechowej w trybie wentylacji objętościowo-zmiennej: minimum 20 ÷ 1500 ml.</w:t>
            </w:r>
          </w:p>
        </w:tc>
        <w:tc>
          <w:tcPr>
            <w:tcW w:w="1276" w:type="dxa"/>
          </w:tcPr>
          <w:p w14:paraId="740FFDD6" w14:textId="1008BA1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489F43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405DEE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43EE49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BA1C0E8" w14:textId="77777777" w:rsidR="004C043A" w:rsidRPr="00BC5D19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objętości oddechowej w trybie wentylacji ciśnieniowo-zmiennej lub objętościowo zmiennej:</w:t>
            </w:r>
          </w:p>
          <w:p w14:paraId="4BD469F8" w14:textId="37726A1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 minimum 5 ÷ 1500 ml.</w:t>
            </w:r>
          </w:p>
        </w:tc>
        <w:tc>
          <w:tcPr>
            <w:tcW w:w="1276" w:type="dxa"/>
          </w:tcPr>
          <w:p w14:paraId="2EF22543" w14:textId="39D856A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A8C50D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EEF30C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044665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B16A9BE" w14:textId="3B5D885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regulacji dodatniego ciśnienia końcowo-wydechowego (PEEP): minimum 4÷25 cm H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>2</w:t>
            </w:r>
            <w:r w:rsidRPr="00BC5D19">
              <w:rPr>
                <w:rFonts w:asciiTheme="minorHAnsi" w:hAnsiTheme="minorHAnsi" w:cstheme="minorHAnsi"/>
              </w:rPr>
              <w:t>O.</w:t>
            </w:r>
          </w:p>
        </w:tc>
        <w:tc>
          <w:tcPr>
            <w:tcW w:w="1276" w:type="dxa"/>
          </w:tcPr>
          <w:p w14:paraId="4F7A8FDA" w14:textId="3B8225E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BED700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E8BC09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92F2EA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21D1615" w14:textId="0E43649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Zakres regulacji Plateau wdechu: minimum 5 ÷ 60 % czasu wdechu.</w:t>
            </w:r>
          </w:p>
        </w:tc>
        <w:tc>
          <w:tcPr>
            <w:tcW w:w="1276" w:type="dxa"/>
          </w:tcPr>
          <w:p w14:paraId="20E4E891" w14:textId="0AF40C5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83152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8BABA5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6027DAE8" w14:textId="77777777" w:rsidTr="00936B15">
        <w:trPr>
          <w:trHeight w:val="175"/>
        </w:trPr>
        <w:tc>
          <w:tcPr>
            <w:tcW w:w="14345" w:type="dxa"/>
            <w:gridSpan w:val="4"/>
            <w:vAlign w:val="center"/>
          </w:tcPr>
          <w:p w14:paraId="0A2247C4" w14:textId="0557E648" w:rsidR="00FB0B7C" w:rsidRPr="00B53D1B" w:rsidRDefault="00FB0B7C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5D19">
              <w:rPr>
                <w:rFonts w:asciiTheme="minorHAnsi" w:eastAsia="SimSun" w:hAnsiTheme="minorHAnsi" w:cstheme="minorHAnsi"/>
                <w:b/>
                <w:bCs/>
                <w:lang w:bidi="hi-IN"/>
              </w:rPr>
              <w:t>System alarmów</w:t>
            </w:r>
          </w:p>
        </w:tc>
      </w:tr>
      <w:tr w:rsidR="004C043A" w:rsidRPr="00B53D1B" w14:paraId="0C8C4B8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405D2A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E6FC28A" w14:textId="4BC48A4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Alarm niskiej objętości minutowej (MV)  i  objętości oddechowej (TV).</w:t>
            </w:r>
          </w:p>
        </w:tc>
        <w:tc>
          <w:tcPr>
            <w:tcW w:w="1276" w:type="dxa"/>
          </w:tcPr>
          <w:p w14:paraId="4086E87F" w14:textId="3B8E7E0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2922B1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993EDD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D3B488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bottom"/>
          </w:tcPr>
          <w:p w14:paraId="665A1086" w14:textId="4DF8841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Alarmy TV z regulowanymi progami górnym i dolnym</w:t>
            </w:r>
          </w:p>
        </w:tc>
        <w:tc>
          <w:tcPr>
            <w:tcW w:w="1276" w:type="dxa"/>
          </w:tcPr>
          <w:p w14:paraId="2838C869" w14:textId="64853BE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56D34E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B3E6D0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B1936F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15E68FD" w14:textId="51F0C4E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Alarm minimalnego i maksymalnego ciśnienia wdechowego</w:t>
            </w:r>
          </w:p>
        </w:tc>
        <w:tc>
          <w:tcPr>
            <w:tcW w:w="1276" w:type="dxa"/>
          </w:tcPr>
          <w:p w14:paraId="5DEE81DB" w14:textId="66585F6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1F8A77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78CBA4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4EA9B9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75F99BE" w14:textId="1CBE4AC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Alarm </w:t>
            </w:r>
            <w:proofErr w:type="spellStart"/>
            <w:r w:rsidRPr="00BC5D19">
              <w:rPr>
                <w:rFonts w:asciiTheme="minorHAnsi" w:hAnsiTheme="minorHAnsi" w:cstheme="minorHAnsi"/>
              </w:rPr>
              <w:t>Apnea</w:t>
            </w:r>
            <w:proofErr w:type="spellEnd"/>
            <w:r w:rsidRPr="00BC5D19">
              <w:rPr>
                <w:rFonts w:asciiTheme="minorHAnsi" w:hAnsiTheme="minorHAnsi" w:cstheme="minorHAnsi"/>
              </w:rPr>
              <w:t>.</w:t>
            </w:r>
          </w:p>
        </w:tc>
        <w:tc>
          <w:tcPr>
            <w:tcW w:w="1276" w:type="dxa"/>
          </w:tcPr>
          <w:p w14:paraId="6999D61A" w14:textId="675061E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DB7999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81A4EC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CD42AD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27D22AC" w14:textId="4B486A7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Alarm braku zasilania w energię elektryczną.</w:t>
            </w:r>
          </w:p>
        </w:tc>
        <w:tc>
          <w:tcPr>
            <w:tcW w:w="1276" w:type="dxa"/>
          </w:tcPr>
          <w:p w14:paraId="55A7F7C6" w14:textId="11C9E92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7D9583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3625BD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44C505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EB276E9" w14:textId="342A63A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Alarm braku zasilania w gazy</w:t>
            </w:r>
          </w:p>
        </w:tc>
        <w:tc>
          <w:tcPr>
            <w:tcW w:w="1276" w:type="dxa"/>
          </w:tcPr>
          <w:p w14:paraId="1F88C507" w14:textId="0A02B3D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CFB651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F870AF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F69B57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564AF09" w14:textId="593EC00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b/>
                <w:bCs/>
                <w:color w:val="000000"/>
                <w:lang w:eastAsia="ar-SA"/>
              </w:rPr>
              <w:t>Pomiary i obrazowanie</w:t>
            </w:r>
          </w:p>
        </w:tc>
        <w:tc>
          <w:tcPr>
            <w:tcW w:w="1276" w:type="dxa"/>
          </w:tcPr>
          <w:p w14:paraId="329BEDAC" w14:textId="24BA392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2F9ADA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843794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ABDCF1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EBED297" w14:textId="5758F69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stężenia tlenu w gazach oddechowych</w:t>
            </w:r>
          </w:p>
        </w:tc>
        <w:tc>
          <w:tcPr>
            <w:tcW w:w="1276" w:type="dxa"/>
          </w:tcPr>
          <w:p w14:paraId="39A1C2E6" w14:textId="172FD5F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DBEB57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FB671B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F8F9E3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43B5512A" w14:textId="0AF93EA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objętości oddechowej (TV).</w:t>
            </w:r>
          </w:p>
        </w:tc>
        <w:tc>
          <w:tcPr>
            <w:tcW w:w="1276" w:type="dxa"/>
          </w:tcPr>
          <w:p w14:paraId="1DF7801E" w14:textId="2130A9D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AFAB9C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6A2FFD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422C2E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49C4EAC" w14:textId="16E6265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objętości minutowej (MV).</w:t>
            </w:r>
          </w:p>
        </w:tc>
        <w:tc>
          <w:tcPr>
            <w:tcW w:w="1276" w:type="dxa"/>
          </w:tcPr>
          <w:p w14:paraId="1B82D0C9" w14:textId="62F17F8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490809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48494B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63CEDA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A755199" w14:textId="16590FD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częstości oddechu.</w:t>
            </w:r>
          </w:p>
        </w:tc>
        <w:tc>
          <w:tcPr>
            <w:tcW w:w="1276" w:type="dxa"/>
          </w:tcPr>
          <w:p w14:paraId="51C803B8" w14:textId="65B5CAE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14378F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52215C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D4AFDE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0FBC487" w14:textId="71C0EB0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ciśnienia szczytowego.</w:t>
            </w:r>
          </w:p>
        </w:tc>
        <w:tc>
          <w:tcPr>
            <w:tcW w:w="1276" w:type="dxa"/>
          </w:tcPr>
          <w:p w14:paraId="55AF27FD" w14:textId="0A3726D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B9DF08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751C34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7AA7B3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245B37C" w14:textId="1105D33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ciśnienia średniego.</w:t>
            </w:r>
          </w:p>
        </w:tc>
        <w:tc>
          <w:tcPr>
            <w:tcW w:w="1276" w:type="dxa"/>
          </w:tcPr>
          <w:p w14:paraId="27039967" w14:textId="00D8DA4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020D9D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620139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6BD612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A44A6EE" w14:textId="2784FD76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ciśnienia Plateau.</w:t>
            </w:r>
          </w:p>
        </w:tc>
        <w:tc>
          <w:tcPr>
            <w:tcW w:w="1276" w:type="dxa"/>
          </w:tcPr>
          <w:p w14:paraId="56C4ADCF" w14:textId="1A3B5C3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24CC4A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5A93B5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79BEC5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3C745DC" w14:textId="33FC63D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ciśnienia PEEP.</w:t>
            </w:r>
          </w:p>
        </w:tc>
        <w:tc>
          <w:tcPr>
            <w:tcW w:w="1276" w:type="dxa"/>
          </w:tcPr>
          <w:p w14:paraId="7ECFEADA" w14:textId="724CA1A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971968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FE16DE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855970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6909487" w14:textId="748F365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ciśnienia napędowego „</w:t>
            </w:r>
            <w:proofErr w:type="spellStart"/>
            <w:r w:rsidRPr="00BC5D19">
              <w:rPr>
                <w:rFonts w:asciiTheme="minorHAnsi" w:hAnsiTheme="minorHAnsi" w:cstheme="minorHAnsi"/>
              </w:rPr>
              <w:t>driving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pressure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“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wspierajacy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strategię wentylacji ochronnej płuc</w:t>
            </w:r>
          </w:p>
        </w:tc>
        <w:tc>
          <w:tcPr>
            <w:tcW w:w="1276" w:type="dxa"/>
          </w:tcPr>
          <w:p w14:paraId="239EF1D6" w14:textId="00E3B2C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3B05CB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14C854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6425B8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ABE7314" w14:textId="3524EF3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Wyświetlanie manometru pomiaru ciśnienia w układzie na ekranie głównym aparatu do znieczulenia</w:t>
            </w:r>
          </w:p>
        </w:tc>
        <w:tc>
          <w:tcPr>
            <w:tcW w:w="1276" w:type="dxa"/>
          </w:tcPr>
          <w:p w14:paraId="7751BE13" w14:textId="3A4DF8E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5F5C9D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083D8E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FA20EF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7261F6F" w14:textId="64F9E69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Pomiar stężenia wdechowego i wydechowego tlenu w gazach oddechowych metodą paramagnetyczną.</w:t>
            </w:r>
          </w:p>
        </w:tc>
        <w:tc>
          <w:tcPr>
            <w:tcW w:w="1276" w:type="dxa"/>
          </w:tcPr>
          <w:p w14:paraId="1C90B427" w14:textId="5C5348E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5BF2F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F0F34E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D25B9C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4B545A7C" w14:textId="6211533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Pomiar stężenia gazów i środków anestetycznych (podtlenku azotu,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sevofluranu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C5D19">
              <w:rPr>
                <w:rFonts w:asciiTheme="minorHAnsi" w:hAnsiTheme="minorHAnsi" w:cstheme="minorHAnsi"/>
              </w:rPr>
              <w:t>desfluranu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, </w:t>
            </w:r>
            <w:proofErr w:type="spellStart"/>
            <w:r w:rsidRPr="00BC5D19">
              <w:rPr>
                <w:rFonts w:asciiTheme="minorHAnsi" w:hAnsiTheme="minorHAnsi" w:cstheme="minorHAnsi"/>
              </w:rPr>
              <w:t>isofluranu</w:t>
            </w:r>
            <w:proofErr w:type="spellEnd"/>
            <w:r w:rsidRPr="00BC5D19">
              <w:rPr>
                <w:rFonts w:asciiTheme="minorHAnsi" w:hAnsiTheme="minorHAnsi" w:cstheme="minorHAnsi"/>
              </w:rPr>
              <w:t>) w mieszaninie wdechowej i wydechowej.</w:t>
            </w:r>
          </w:p>
        </w:tc>
        <w:tc>
          <w:tcPr>
            <w:tcW w:w="1276" w:type="dxa"/>
          </w:tcPr>
          <w:p w14:paraId="7E202F6B" w14:textId="0220C30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3C81D0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B19F81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56CFF5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18DB29B" w14:textId="4DB1CBE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Automatyczna identyfikacja anestetyku wziewnego i analiza MAC z uwzględnieniem wieku pacjenta.</w:t>
            </w:r>
          </w:p>
        </w:tc>
        <w:tc>
          <w:tcPr>
            <w:tcW w:w="1276" w:type="dxa"/>
          </w:tcPr>
          <w:p w14:paraId="1409CF02" w14:textId="3DE78A3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7574C6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2317C3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E501FF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2E71FBF" w14:textId="38E7565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Ekran kolorowy LCD, dotykowy, do nastaw i prezentacji parametrów wentylacji i krzywych.</w:t>
            </w:r>
          </w:p>
        </w:tc>
        <w:tc>
          <w:tcPr>
            <w:tcW w:w="1276" w:type="dxa"/>
          </w:tcPr>
          <w:p w14:paraId="17B9B423" w14:textId="76AF08B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A405CB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9A5A77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F7762D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2177434" w14:textId="1DE8657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Przekątna ekranu: minimum 15".</w:t>
            </w:r>
          </w:p>
        </w:tc>
        <w:tc>
          <w:tcPr>
            <w:tcW w:w="1276" w:type="dxa"/>
          </w:tcPr>
          <w:p w14:paraId="58D194CE" w14:textId="33ED90E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B46793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86B51A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3169B1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554945F4" w14:textId="7789EEA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Rozdzielczość: minimum 1024 x 768 pikseli.</w:t>
            </w:r>
          </w:p>
        </w:tc>
        <w:tc>
          <w:tcPr>
            <w:tcW w:w="1276" w:type="dxa"/>
          </w:tcPr>
          <w:p w14:paraId="770D9819" w14:textId="3BDC815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F90FDF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90A4C1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8296A7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bottom"/>
          </w:tcPr>
          <w:p w14:paraId="57E5FA12" w14:textId="01958E1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Ekran główny respiratora niewbudowany w korpus aparatu</w:t>
            </w:r>
          </w:p>
        </w:tc>
        <w:tc>
          <w:tcPr>
            <w:tcW w:w="1276" w:type="dxa"/>
          </w:tcPr>
          <w:p w14:paraId="2CB77023" w14:textId="155A28B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455C24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21DF12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B171B8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bottom"/>
          </w:tcPr>
          <w:p w14:paraId="2088C558" w14:textId="61796B0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Ekran umieszczony na ruchomym wysięgniku z regulacją przesuwu w poziomie i kąta pochylenia.</w:t>
            </w:r>
          </w:p>
        </w:tc>
        <w:tc>
          <w:tcPr>
            <w:tcW w:w="1276" w:type="dxa"/>
          </w:tcPr>
          <w:p w14:paraId="3A0781A2" w14:textId="3ED8CCF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D04F45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F42CB4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1B8B58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6184EB7" w14:textId="0A0B3DB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Możliwość konfigurowania i zapamiętania minimum 4-ech niezależnych stron ekranu respiratora.</w:t>
            </w:r>
          </w:p>
        </w:tc>
        <w:tc>
          <w:tcPr>
            <w:tcW w:w="1276" w:type="dxa"/>
          </w:tcPr>
          <w:p w14:paraId="6D907A13" w14:textId="1E3C33C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AA8229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B74DF2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07E0C6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EAEDDE7" w14:textId="6C4A67F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Prezentacja wartości numerycznych i krzywej dynamicznej prężności CO</w:t>
            </w:r>
            <w:r w:rsidRPr="00BC5D19">
              <w:rPr>
                <w:rFonts w:asciiTheme="minorHAnsi" w:hAnsiTheme="minorHAnsi" w:cstheme="minorHAnsi"/>
                <w:vertAlign w:val="subscript"/>
              </w:rPr>
              <w:t xml:space="preserve">2 </w:t>
            </w:r>
            <w:r w:rsidRPr="00BC5D19">
              <w:rPr>
                <w:rFonts w:asciiTheme="minorHAnsi" w:hAnsiTheme="minorHAnsi" w:cstheme="minorHAnsi"/>
              </w:rPr>
              <w:t>w strumieniu wdechowym i wydechowym.</w:t>
            </w:r>
          </w:p>
        </w:tc>
        <w:tc>
          <w:tcPr>
            <w:tcW w:w="1276" w:type="dxa"/>
          </w:tcPr>
          <w:p w14:paraId="5583C4E1" w14:textId="069BA33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B24BD0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999021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DA2CA8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9410061" w14:textId="7D82950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Prezentacja koncentracji anestetyku wziewnego na wdechu i wydechu. Możliwość obrazowania krzywej. </w:t>
            </w:r>
          </w:p>
        </w:tc>
        <w:tc>
          <w:tcPr>
            <w:tcW w:w="1276" w:type="dxa"/>
          </w:tcPr>
          <w:p w14:paraId="1DB84076" w14:textId="1BD1AF8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08DC3B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859679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DF20D5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9F5918C" w14:textId="159C90A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Prezentacja krzywej przepływu w drogach oddechowych</w:t>
            </w:r>
          </w:p>
        </w:tc>
        <w:tc>
          <w:tcPr>
            <w:tcW w:w="1276" w:type="dxa"/>
          </w:tcPr>
          <w:p w14:paraId="0CDD9FC0" w14:textId="5648990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462DD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E7C3C8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8E73D6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2661F6D" w14:textId="77777777" w:rsidR="004C043A" w:rsidRPr="00BC5D19" w:rsidRDefault="004C043A" w:rsidP="004C04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Prezentacja pętli:</w:t>
            </w:r>
          </w:p>
          <w:p w14:paraId="12D05A63" w14:textId="77777777" w:rsidR="004C043A" w:rsidRPr="00BC5D19" w:rsidRDefault="004C043A" w:rsidP="004C04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lastRenderedPageBreak/>
              <w:t>-ciśnienie / objętość</w:t>
            </w:r>
          </w:p>
          <w:p w14:paraId="5E284DDF" w14:textId="77777777" w:rsidR="004C043A" w:rsidRPr="00BC5D19" w:rsidRDefault="004C043A" w:rsidP="004C043A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-przepływ / objętość</w:t>
            </w:r>
          </w:p>
          <w:p w14:paraId="7A2B91E0" w14:textId="4B404FE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-ciśnienie/przepływ</w:t>
            </w:r>
          </w:p>
        </w:tc>
        <w:tc>
          <w:tcPr>
            <w:tcW w:w="1276" w:type="dxa"/>
          </w:tcPr>
          <w:p w14:paraId="74882912" w14:textId="3A227A9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lastRenderedPageBreak/>
              <w:t>TAK</w:t>
            </w:r>
          </w:p>
        </w:tc>
        <w:tc>
          <w:tcPr>
            <w:tcW w:w="5631" w:type="dxa"/>
            <w:vAlign w:val="center"/>
          </w:tcPr>
          <w:p w14:paraId="269C8A8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4406186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F2B0A2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131E885" w14:textId="7D4666B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Prezentacja podatności układu oddechowego</w:t>
            </w:r>
          </w:p>
        </w:tc>
        <w:tc>
          <w:tcPr>
            <w:tcW w:w="1276" w:type="dxa"/>
          </w:tcPr>
          <w:p w14:paraId="42B1E213" w14:textId="57C64B7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D3ACFB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EDF6CF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4EA1FA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4CE336C" w14:textId="10DEBEB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Możliwość zapisania minimum jednej pętli spirometrycznej i jednej pętli wzorcowej</w:t>
            </w:r>
          </w:p>
        </w:tc>
        <w:tc>
          <w:tcPr>
            <w:tcW w:w="1276" w:type="dxa"/>
          </w:tcPr>
          <w:p w14:paraId="15978E94" w14:textId="6D4A3F8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2457D2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608811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C649FF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B5A9FC7" w14:textId="4C4641E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Możliwość zapisania min. 6 pętli spirometrycznych</w:t>
            </w:r>
          </w:p>
        </w:tc>
        <w:tc>
          <w:tcPr>
            <w:tcW w:w="1276" w:type="dxa"/>
          </w:tcPr>
          <w:p w14:paraId="2EB05A3A" w14:textId="54738DA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E82411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59F53C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F4C8EB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70AFF82" w14:textId="3E5A035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Wyświetlanie aktualnie kreślonej pętli spirometrycznej w </w:t>
            </w:r>
            <w:proofErr w:type="spellStart"/>
            <w:r w:rsidRPr="00BC5D19">
              <w:rPr>
                <w:rFonts w:asciiTheme="minorHAnsi" w:hAnsiTheme="minorHAnsi" w:cstheme="minorHAnsi"/>
              </w:rPr>
              <w:t>nalożeniu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na zapisaną pętlę wzorcową</w:t>
            </w:r>
          </w:p>
        </w:tc>
        <w:tc>
          <w:tcPr>
            <w:tcW w:w="1276" w:type="dxa"/>
          </w:tcPr>
          <w:p w14:paraId="6BF8E495" w14:textId="700D623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666177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04AAB9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C5EA6F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637C36C" w14:textId="1E3F201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Automatyczna kalkulacja parametrów wentylacji po wprowadzeniu masy, masy należnej lub wzrostu pacjenta</w:t>
            </w:r>
          </w:p>
        </w:tc>
        <w:tc>
          <w:tcPr>
            <w:tcW w:w="1276" w:type="dxa"/>
          </w:tcPr>
          <w:p w14:paraId="1450C57A" w14:textId="4C7E5E3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9B4987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14A22C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BA63C2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35DFAF5" w14:textId="76BDB82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Moduł pomiarów gazowych wyjmowany z aparatu. </w:t>
            </w:r>
            <w:proofErr w:type="spellStart"/>
            <w:r w:rsidRPr="00BC5D19">
              <w:rPr>
                <w:rFonts w:asciiTheme="minorHAnsi" w:hAnsiTheme="minorHAnsi" w:cstheme="minorHAnsi"/>
              </w:rPr>
              <w:t>Mozliwość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zastosowania w monitorze</w:t>
            </w:r>
          </w:p>
        </w:tc>
        <w:tc>
          <w:tcPr>
            <w:tcW w:w="1276" w:type="dxa"/>
          </w:tcPr>
          <w:p w14:paraId="277166BE" w14:textId="26F1CD6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47F436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5337B0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425345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5256A83B" w14:textId="674EFF7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Uchwyt dla minimum 2-ch parowników. </w:t>
            </w:r>
          </w:p>
        </w:tc>
        <w:tc>
          <w:tcPr>
            <w:tcW w:w="1276" w:type="dxa"/>
          </w:tcPr>
          <w:p w14:paraId="6180AE2E" w14:textId="2560FB2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0A7173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69C018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3032BF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0BBA383D" w14:textId="5CAC75B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Zabezpieczenie przed podaniem dwóch środków wziewnych równocześnie</w:t>
            </w:r>
          </w:p>
        </w:tc>
        <w:tc>
          <w:tcPr>
            <w:tcW w:w="1276" w:type="dxa"/>
          </w:tcPr>
          <w:p w14:paraId="020C34A9" w14:textId="1490A74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690CBC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94CE93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4C1FF668" w14:textId="77777777" w:rsidTr="00EC34C0">
        <w:trPr>
          <w:trHeight w:val="175"/>
        </w:trPr>
        <w:tc>
          <w:tcPr>
            <w:tcW w:w="14345" w:type="dxa"/>
            <w:gridSpan w:val="4"/>
            <w:vAlign w:val="center"/>
          </w:tcPr>
          <w:p w14:paraId="145997C4" w14:textId="14A3EC68" w:rsidR="00FB0B7C" w:rsidRPr="00B53D1B" w:rsidRDefault="00FB0B7C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5D19">
              <w:rPr>
                <w:rFonts w:asciiTheme="minorHAnsi" w:hAnsiTheme="minorHAnsi" w:cstheme="minorHAnsi"/>
                <w:b/>
                <w:color w:val="000000"/>
                <w:lang w:eastAsia="ar-SA"/>
              </w:rPr>
              <w:t>Ssak</w:t>
            </w:r>
          </w:p>
        </w:tc>
      </w:tr>
      <w:tr w:rsidR="004C043A" w:rsidRPr="00B53D1B" w14:paraId="39A39DF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13CDED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73CD0CB" w14:textId="2FDF257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Aparat wyposażony w wbudowany ssak inżektorowy z regulacja podciśnienia, z pojemnikami 1,0 l do wymiennych wkładów.</w:t>
            </w:r>
          </w:p>
        </w:tc>
        <w:tc>
          <w:tcPr>
            <w:tcW w:w="1276" w:type="dxa"/>
          </w:tcPr>
          <w:p w14:paraId="1322BF8F" w14:textId="5567D2A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92E8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71B9EB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8FBC88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4EEFA2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F0038BB" w14:textId="1EAD3B1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Wymienne wkłady: minimum 5 szt. (zestaw startowy).</w:t>
            </w:r>
          </w:p>
        </w:tc>
        <w:tc>
          <w:tcPr>
            <w:tcW w:w="1276" w:type="dxa"/>
          </w:tcPr>
          <w:p w14:paraId="768D5A76" w14:textId="0B0A0F7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D92E8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7D45CE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40A55D43" w14:textId="77777777" w:rsidTr="00F27F23">
        <w:trPr>
          <w:trHeight w:val="175"/>
        </w:trPr>
        <w:tc>
          <w:tcPr>
            <w:tcW w:w="14345" w:type="dxa"/>
            <w:gridSpan w:val="4"/>
            <w:vAlign w:val="center"/>
          </w:tcPr>
          <w:p w14:paraId="70C13F46" w14:textId="71D3B924" w:rsidR="00FB0B7C" w:rsidRPr="00B53D1B" w:rsidRDefault="00FB0B7C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5D19">
              <w:rPr>
                <w:rFonts w:asciiTheme="minorHAnsi" w:hAnsiTheme="minorHAnsi" w:cstheme="minorHAnsi"/>
                <w:b/>
                <w:bCs/>
              </w:rPr>
              <w:t>System testowania aparatu</w:t>
            </w:r>
          </w:p>
        </w:tc>
      </w:tr>
      <w:tr w:rsidR="004C043A" w:rsidRPr="00B53D1B" w14:paraId="3912BDD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2F7B56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3F7C129" w14:textId="0529578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Automatyczny lub automatyczny z interakcją z personelem test kontrolny aparatu, sprawdzający jego działanie.</w:t>
            </w:r>
          </w:p>
        </w:tc>
        <w:tc>
          <w:tcPr>
            <w:tcW w:w="1276" w:type="dxa"/>
          </w:tcPr>
          <w:p w14:paraId="22B9FBF7" w14:textId="1FD5BDF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40403C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9CD106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F09D04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5688E2BA" w14:textId="1E10054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proofErr w:type="spellStart"/>
            <w:r w:rsidRPr="00BC5D19">
              <w:rPr>
                <w:rFonts w:asciiTheme="minorHAnsi" w:hAnsiTheme="minorHAnsi" w:cstheme="minorHAnsi"/>
              </w:rPr>
              <w:t>Autotest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szczelności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właczanych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parowników z interakcją z użytkownikiem i zapisem wyniku testu w dzienniku uwidacznianym na ekranie aparatu do znieczulenia</w:t>
            </w:r>
          </w:p>
        </w:tc>
        <w:tc>
          <w:tcPr>
            <w:tcW w:w="1276" w:type="dxa"/>
          </w:tcPr>
          <w:p w14:paraId="5C6EE1B8" w14:textId="65E6B23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4D63C1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876F05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AFC3B6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97ED5E7" w14:textId="67A82F5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Dziennik testów kontrolnych prezentowany na ekranie aparatu</w:t>
            </w:r>
          </w:p>
        </w:tc>
        <w:tc>
          <w:tcPr>
            <w:tcW w:w="1276" w:type="dxa"/>
          </w:tcPr>
          <w:p w14:paraId="31E0B458" w14:textId="5E4F7B8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4735B0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5C9F49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5EEC4D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40275BF" w14:textId="3A2D0AA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>Konstrukcja aparatu umożliwiająca zainstalowanie kardiomonitora w ergonomicznej dla personelu medycznego pozycji.</w:t>
            </w:r>
          </w:p>
        </w:tc>
        <w:tc>
          <w:tcPr>
            <w:tcW w:w="1276" w:type="dxa"/>
          </w:tcPr>
          <w:p w14:paraId="4D6C1427" w14:textId="2A43204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64DE7F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03351A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FB8D4E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0CC03BA" w14:textId="6CFF622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proofErr w:type="spellStart"/>
            <w:r w:rsidRPr="00BC5D19">
              <w:rPr>
                <w:rFonts w:asciiTheme="minorHAnsi" w:hAnsiTheme="minorHAnsi" w:cstheme="minorHAnsi"/>
              </w:rPr>
              <w:t>Mozliwość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rozbudowy o aplikację analityczną umożliwiającą retrospektywną analizę danych. Dane są automatycznie przechwytywane (co 5 sekund) z aparatu do znieczulenia i/lub monitora i przechowywane na chronionej platformie analitycznej opartej na chmurze. Dane w postaci pulpitu nawigacyjnego. Możliwość podglądu danych ze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wszyskich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operacyjnych lub pojedynczych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>. Widok danych z 1-dnia lub miesiąca</w:t>
            </w:r>
          </w:p>
        </w:tc>
        <w:tc>
          <w:tcPr>
            <w:tcW w:w="1276" w:type="dxa"/>
          </w:tcPr>
          <w:p w14:paraId="7DB7A253" w14:textId="6C39C75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8DB4D5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E92843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BCF88D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53C0B961" w14:textId="1C65E4D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Pulpit nawigacyjny związany ze zużyciem środków anestetycznych, emisji CO2, oraz danych dotyczących przepływu świeżych gazów w l/min w różnych etapach znieczulenia(indukcja, utrzymanie znieczulenia). Możliwość podglądu danych ze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wszyskich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operacyjnych lub pojedynczych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>. Widok danych z 1-dnia lub miesiąca</w:t>
            </w:r>
          </w:p>
        </w:tc>
        <w:tc>
          <w:tcPr>
            <w:tcW w:w="1276" w:type="dxa"/>
          </w:tcPr>
          <w:p w14:paraId="239496F5" w14:textId="7FA0368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66FEAE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826911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5E720F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EE7E47D" w14:textId="0C09B2A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Pulpit nawigacyjny związany z wentylacją protekcyjną płuc – analiza danych dotyczących podatności płuc, objętości oddechowej, </w:t>
            </w:r>
            <w:proofErr w:type="spellStart"/>
            <w:r w:rsidRPr="00BC5D19">
              <w:rPr>
                <w:rFonts w:asciiTheme="minorHAnsi" w:hAnsiTheme="minorHAnsi" w:cstheme="minorHAnsi"/>
              </w:rPr>
              <w:t>driving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presure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, PEEP, użycia manewrów rekrutacyjnych oraz trybów wentylacji .Możliwość podglądu danych ze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wszyskich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operacyjnych lub pojedynczych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>. Widok danych z 1-dnia lub miesiąca</w:t>
            </w:r>
          </w:p>
        </w:tc>
        <w:tc>
          <w:tcPr>
            <w:tcW w:w="1276" w:type="dxa"/>
          </w:tcPr>
          <w:p w14:paraId="213583ED" w14:textId="4057E92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D12DFF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D40828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A983BE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3D3FCB97" w14:textId="6B17654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Pulpit nawigacyjny związany z wykonaniem testów kontrolnych aparatów do znieczulenia Możliwość podglądu danych ze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wszyskich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operacyjnych lub pojedynczych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>. Widok danych z 1-dnia lub miesiąca</w:t>
            </w:r>
          </w:p>
        </w:tc>
        <w:tc>
          <w:tcPr>
            <w:tcW w:w="1276" w:type="dxa"/>
          </w:tcPr>
          <w:p w14:paraId="53722743" w14:textId="079935F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D59132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A5315D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EDC5A3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167D1240" w14:textId="7B94CF2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Pulpit nawigacyjny związany z organizacją pracy na bloku operacyjnym- wgląd w </w:t>
            </w:r>
            <w:proofErr w:type="spellStart"/>
            <w:r w:rsidRPr="00BC5D19">
              <w:rPr>
                <w:rFonts w:asciiTheme="minorHAnsi" w:hAnsiTheme="minorHAnsi" w:cstheme="minorHAnsi"/>
              </w:rPr>
              <w:t>bieżacy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status i fazę znieczulenia dla trwających przypadków, a także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wskazniki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wydajności , takie jak obciążenie, rozpoczęte przypadki i czasy rotacji Możliwość podglądu danych ze </w:t>
            </w:r>
            <w:proofErr w:type="spellStart"/>
            <w:r w:rsidRPr="00BC5D19">
              <w:rPr>
                <w:rFonts w:asciiTheme="minorHAnsi" w:hAnsiTheme="minorHAnsi" w:cstheme="minorHAnsi"/>
              </w:rPr>
              <w:t>wszyskich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 xml:space="preserve"> operacyjnych lub pojedynczych </w:t>
            </w:r>
            <w:proofErr w:type="spellStart"/>
            <w:r w:rsidRPr="00BC5D19">
              <w:rPr>
                <w:rFonts w:asciiTheme="minorHAnsi" w:hAnsiTheme="minorHAnsi" w:cstheme="minorHAnsi"/>
              </w:rPr>
              <w:t>sal</w:t>
            </w:r>
            <w:proofErr w:type="spellEnd"/>
            <w:r w:rsidRPr="00BC5D19">
              <w:rPr>
                <w:rFonts w:asciiTheme="minorHAnsi" w:hAnsiTheme="minorHAnsi" w:cstheme="minorHAnsi"/>
              </w:rPr>
              <w:t>. Widok danych z 1-dnia lub miesiąca</w:t>
            </w:r>
          </w:p>
        </w:tc>
        <w:tc>
          <w:tcPr>
            <w:tcW w:w="1276" w:type="dxa"/>
          </w:tcPr>
          <w:p w14:paraId="5731CBE2" w14:textId="1BB9388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C67848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4F145A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EEF0F7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24317AA3" w14:textId="16DCB35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eastAsia="Lucida Sans Unicode" w:hAnsiTheme="minorHAnsi" w:cstheme="minorHAnsi"/>
                <w:lang w:val="pl" w:eastAsia="en-US"/>
              </w:rPr>
              <w:t>Menu w języku polskim.</w:t>
            </w:r>
          </w:p>
        </w:tc>
        <w:tc>
          <w:tcPr>
            <w:tcW w:w="1276" w:type="dxa"/>
          </w:tcPr>
          <w:p w14:paraId="193A855A" w14:textId="2BBA520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51A81C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623F56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708C3B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764862D2" w14:textId="2BD9AB5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</w:rPr>
              <w:t xml:space="preserve">Urządzenie wyposażone w system zwiększający </w:t>
            </w:r>
            <w:proofErr w:type="spellStart"/>
            <w:r w:rsidRPr="00BC5D19">
              <w:rPr>
                <w:rFonts w:asciiTheme="minorHAnsi" w:hAnsiTheme="minorHAnsi" w:cstheme="minorHAnsi"/>
              </w:rPr>
              <w:t>cyberbezpieczeństwo</w:t>
            </w:r>
            <w:proofErr w:type="spellEnd"/>
            <w:r w:rsidRPr="00BC5D19">
              <w:rPr>
                <w:rFonts w:asciiTheme="minorHAnsi" w:hAnsiTheme="minorHAnsi" w:cstheme="minorHAnsi"/>
              </w:rPr>
              <w:t>, zabezpieczone systemowo hasłem lub fizycznie plombą przed nieautoryzowanym dostępem firm trzecich.</w:t>
            </w:r>
          </w:p>
        </w:tc>
        <w:tc>
          <w:tcPr>
            <w:tcW w:w="1276" w:type="dxa"/>
          </w:tcPr>
          <w:p w14:paraId="5204065A" w14:textId="25EADA1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F74927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23E65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C89B11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</w:tcPr>
          <w:p w14:paraId="695C1FFD" w14:textId="588DDC3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eastAsia="Lucida Sans Unicode" w:hAnsiTheme="minorHAnsi" w:cstheme="minorHAnsi"/>
                <w:lang w:val="pl" w:eastAsia="en-US"/>
              </w:rPr>
              <w:t>Roczny dostęp do interaktywnego symulatora aparatu do znieczulenia na dedykowanej platformie szkoleniowej online dla personelu medycznego szpitala</w:t>
            </w:r>
          </w:p>
        </w:tc>
        <w:tc>
          <w:tcPr>
            <w:tcW w:w="1276" w:type="dxa"/>
          </w:tcPr>
          <w:p w14:paraId="0E441C2F" w14:textId="3DBCCF7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E76D98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5F9E06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FB0B7C" w:rsidRPr="00B53D1B" w14:paraId="028FA377" w14:textId="77777777" w:rsidTr="005E6BD2">
        <w:trPr>
          <w:trHeight w:val="175"/>
        </w:trPr>
        <w:tc>
          <w:tcPr>
            <w:tcW w:w="14345" w:type="dxa"/>
            <w:gridSpan w:val="4"/>
            <w:vAlign w:val="center"/>
          </w:tcPr>
          <w:p w14:paraId="58E2742C" w14:textId="0453A0D8" w:rsidR="00FB0B7C" w:rsidRPr="00B53D1B" w:rsidRDefault="00FB0B7C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C5D19">
              <w:rPr>
                <w:rFonts w:asciiTheme="minorHAnsi" w:eastAsia="Lucida Sans Unicode" w:hAnsiTheme="minorHAnsi" w:cstheme="minorHAnsi"/>
                <w:b/>
                <w:bCs/>
                <w:lang w:val="pl" w:eastAsia="en-US"/>
              </w:rPr>
              <w:t>KARDIOMONITOR DO APARATU DO ZNIECZULENIA</w:t>
            </w:r>
          </w:p>
        </w:tc>
      </w:tr>
      <w:tr w:rsidR="004C043A" w:rsidRPr="00B53D1B" w14:paraId="4DDF2AC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B7EB9C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A3EA6" w14:textId="0777105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Możliwość integracji z dostępnym klinicznym systemem informatycznym (CIS) producenta oferowanego systemu monitorowania pacjenta, w polskiej wersji językowej, umożliwiającym prowadzenie elektronicznej dokumentacji medycznej i jej ciągłość w zakresie opieki około-intensywnej i około-operacyjnej, zapewniającym przynajmniej: automatyczną akwizycję parametrów życiowych z oferowanych monitorów, ale także: respiratorów, aparatów do znieczulania, pomp infuzyjnych i do terapii nerkozastępczej; dokumentację terapii płynowej i lekowej, obliczanie bilansu płynów, ocenę stanu pacjenta wg. znanych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skal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ocen (m.in.: APACHE II, GCS, TISS-28, SOFA), tworzenie zleceń lekarskich, dokumentację procesu opieki pielęgniarskiej, generowanie raportów (w tym karta znieczulenia).</w:t>
            </w:r>
          </w:p>
        </w:tc>
        <w:tc>
          <w:tcPr>
            <w:tcW w:w="1276" w:type="dxa"/>
          </w:tcPr>
          <w:p w14:paraId="49321CA1" w14:textId="4C7EF0A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2811A6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154ADF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577E43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CB00" w14:textId="7DBB23C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System monitorowania pacjenta o budowie modułowej lub kompaktowo-modułowej, w technologii wymiennych modułów podłączanych podczas pracy przez użytkownika</w:t>
            </w:r>
          </w:p>
        </w:tc>
        <w:tc>
          <w:tcPr>
            <w:tcW w:w="1276" w:type="dxa"/>
          </w:tcPr>
          <w:p w14:paraId="78CAA19A" w14:textId="3CE2B47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0A692A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8C95AF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8A2B76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6F49" w14:textId="0F57CC3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zapewnia monitorowanie pacjenta stacjonarnie i w transporcie: monitor stacjonarny wyposażony w niewielkich rozmiarów moduł transportowy z ekranem</w:t>
            </w:r>
          </w:p>
        </w:tc>
        <w:tc>
          <w:tcPr>
            <w:tcW w:w="1276" w:type="dxa"/>
          </w:tcPr>
          <w:p w14:paraId="0C543C4F" w14:textId="60333BB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69A4EA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42FF33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FB3122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BE34" w14:textId="3642A59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we wbudowaną ramę na min. 2 moduły rozszerzeń z możliwością rozbudowy o dodatkową ramę do podłączenia min. 2 dodatkowych modułów pomiarowych.</w:t>
            </w:r>
          </w:p>
        </w:tc>
        <w:tc>
          <w:tcPr>
            <w:tcW w:w="1276" w:type="dxa"/>
          </w:tcPr>
          <w:p w14:paraId="2A4CA38A" w14:textId="28868B3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92AA60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5890B2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E9195C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2AF1" w14:textId="35D64CA5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Wszystkie elementy systemu monitorowania pacjenta chłodzone konwekcyjnie, pasywnie - bez użycia wentylatorów</w:t>
            </w:r>
          </w:p>
        </w:tc>
        <w:tc>
          <w:tcPr>
            <w:tcW w:w="1276" w:type="dxa"/>
          </w:tcPr>
          <w:p w14:paraId="3378411C" w14:textId="4C97652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76695A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5D4319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57CBF7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90C58" w14:textId="79472CC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System monitorowania pacjenta przeznaczony do monitorowania pacjentów we wszystkich kategoriach wiekowych: dorosłych, dzieci i noworodków</w:t>
            </w:r>
          </w:p>
        </w:tc>
        <w:tc>
          <w:tcPr>
            <w:tcW w:w="1276" w:type="dxa"/>
          </w:tcPr>
          <w:p w14:paraId="54EB71F2" w14:textId="670FFDB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77F32F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F2A961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87E1B6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D4FAC" w14:textId="3A8DE28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Komunikacja z użytkownikiem w języku polskim</w:t>
            </w:r>
          </w:p>
        </w:tc>
        <w:tc>
          <w:tcPr>
            <w:tcW w:w="1276" w:type="dxa"/>
          </w:tcPr>
          <w:p w14:paraId="731667DA" w14:textId="6B84C43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D9B056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05B558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FCC8BC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B3DB8" w14:textId="70372D6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 tryb "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Standby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" - tymczasowe wstrzymanie monitorowania pacjenta oraz sygnalizowania alarmów, np. na czas toalety pacjenta lub badania diagnostycznego. Po wznowieniu monitorowania następuje kontynuacja monitorowania tego samego pacjenta bez utraty zapisanych danych</w:t>
            </w:r>
          </w:p>
        </w:tc>
        <w:tc>
          <w:tcPr>
            <w:tcW w:w="1276" w:type="dxa"/>
          </w:tcPr>
          <w:p w14:paraId="011B68F4" w14:textId="5F69874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396197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738BD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AEDE27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5E86E" w14:textId="0FD6A22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 konfigurowalny tryb nocny: uruchamiany automatycznie w wybranych przez użytkownika godzinach. Przełączenie w tryb nocny zapewnia min. obniżenie jasności ekranu oraz poziomu głośności alarmów.</w:t>
            </w:r>
          </w:p>
        </w:tc>
        <w:tc>
          <w:tcPr>
            <w:tcW w:w="1276" w:type="dxa"/>
          </w:tcPr>
          <w:p w14:paraId="1A829170" w14:textId="6E77289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E12487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C4BC1D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1C9C72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9CE2D" w14:textId="3816F62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Dostęp na ekranie monitora do kompletu dokumentacji: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instruckji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obsługi wraz z dodatkami, instrukcji technicznej, opisu interfejsu HL7 oraz kompletnej listy akcesoriów i materiałów zużywalnych. Nawigacja po instrukcji przy użyciu hiperłączy ułatwiających przełączanie pomiędzy dokumentami i rozdziałami.</w:t>
            </w:r>
          </w:p>
        </w:tc>
        <w:tc>
          <w:tcPr>
            <w:tcW w:w="1276" w:type="dxa"/>
          </w:tcPr>
          <w:p w14:paraId="78977860" w14:textId="6C5C665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5F1E78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27D6AB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1583DD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9D1DA" w14:textId="63EDFD0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Zasilanie sieciowe, zgodne z PN, dostosowane do 230V/50Hz</w:t>
            </w:r>
          </w:p>
        </w:tc>
        <w:tc>
          <w:tcPr>
            <w:tcW w:w="1276" w:type="dxa"/>
          </w:tcPr>
          <w:p w14:paraId="48046320" w14:textId="2FCE263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B5B8EA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B10922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073259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55C5C" w14:textId="3C11AF1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 zasilanie akumulatorowe zapewniające przynajmniej 120 minut pracy na wypadek zaniku zasilania lub transportu. W czasie pracy na baterii parametry są wyświetlane na dużym ekranie monitora stacjonarno-transportowego lub stacjonarnego – dopuszcza się realizację tej funkcjonalności przy pomocy zewnętrznego zasilacza UPS klasy medycznej montowanego na stanowisku. W przypadku zewnętrznego zasilacza w ofercie ujęty uchwyt do montażu zasilacza na stanowisku pacjenta.</w:t>
            </w:r>
          </w:p>
        </w:tc>
        <w:tc>
          <w:tcPr>
            <w:tcW w:w="1276" w:type="dxa"/>
          </w:tcPr>
          <w:p w14:paraId="2D64F4BD" w14:textId="129DD2E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50DBCC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3C30796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5C4F82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E8C7" w14:textId="0D77F21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pracy w sieci centralnego monitorowania, zgodnej ze standardem Ethernet.</w:t>
            </w:r>
          </w:p>
        </w:tc>
        <w:tc>
          <w:tcPr>
            <w:tcW w:w="1276" w:type="dxa"/>
          </w:tcPr>
          <w:p w14:paraId="6041C526" w14:textId="4BB061C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6353F1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8AF91F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C06ED5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C195E" w14:textId="4D8FD85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Monitory umożliwiają wykorzystanie jednej fizycznej infrastruktury teleinformatycznej, w sieci przewodowej i bezprzewodowej, do celu sieci centralnego monitorowania oraz innych aplikacji szpitalnych, w sposób zapewniający bezpieczeństwo i priorytet przesyłania wrażliwych danych medycznych</w:t>
            </w:r>
          </w:p>
        </w:tc>
        <w:tc>
          <w:tcPr>
            <w:tcW w:w="1276" w:type="dxa"/>
          </w:tcPr>
          <w:p w14:paraId="20F6013E" w14:textId="48A3C6D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89A760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E23FBB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280526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1BF4" w14:textId="226B55F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Monitory gotowe do współpracy z centralą monitorującą, która umożliwia zdalny nadzór nad oferowanymi monitorami, a także w pełni modułowymi monitorami wysokiej klasy tego samego producenta. Nadzór oznacza podgląd bieżących wartości parametrów, krzywych i stanów alarmowych, możliwość wyciszania alarmów i zmiany granic alarmowych, możliwość retrospektywnej analizy danych (trendów i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full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disclosure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)</w:t>
            </w:r>
          </w:p>
        </w:tc>
        <w:tc>
          <w:tcPr>
            <w:tcW w:w="1276" w:type="dxa"/>
          </w:tcPr>
          <w:p w14:paraId="09CB0DA7" w14:textId="4E0F0A4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DD7780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1E920F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57C28D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C081" w14:textId="0ACE1F8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Monitory wyposażone w funkcję wysyłania parametrów życiowych monitorowanych pacjentów do zewnętrznych systemów, za pośrednictwem </w:t>
            </w:r>
            <w:r w:rsidRPr="00BC5D19">
              <w:rPr>
                <w:rFonts w:asciiTheme="minorHAnsi" w:hAnsiTheme="minorHAnsi" w:cstheme="minorHAnsi"/>
                <w:color w:val="000000"/>
              </w:rPr>
              <w:lastRenderedPageBreak/>
              <w:t xml:space="preserve">protokołu HL7. Funkcja realizowana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bezpośrenio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przez kardiomonitory lub dedykowany serwer komunikacyjny - ujęty w ofercie.</w:t>
            </w:r>
          </w:p>
        </w:tc>
        <w:tc>
          <w:tcPr>
            <w:tcW w:w="1276" w:type="dxa"/>
          </w:tcPr>
          <w:p w14:paraId="7A83E1E3" w14:textId="320940A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lastRenderedPageBreak/>
              <w:t>TAK</w:t>
            </w:r>
          </w:p>
        </w:tc>
        <w:tc>
          <w:tcPr>
            <w:tcW w:w="5631" w:type="dxa"/>
            <w:vAlign w:val="center"/>
          </w:tcPr>
          <w:p w14:paraId="307DB72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05A0F3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7A2D25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B2971" w14:textId="209C515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Monitory umożliwiają zdalny podgląd ekranu innego kardiomonitora pracującego w sieci centralnego monitorowania. Funkcjonalność zależy wyłącznie od funkcjonowania sieci monitorowania i nie wymaga obecności dedykowanych komputerów, serwerów, centrali monitorującej, itp.</w:t>
            </w:r>
          </w:p>
        </w:tc>
        <w:tc>
          <w:tcPr>
            <w:tcW w:w="1276" w:type="dxa"/>
          </w:tcPr>
          <w:p w14:paraId="4621C0D9" w14:textId="2801DC6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7F014C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72702D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A07045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A46" w14:textId="27EA360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Monitory umożliwiają wyświetlanie informacji o alarmach występujących na pozostałych kardiomonitorach pracujących w sieci centralnego monitorowania. Możliwość konfiguracji stanowisk, pomiędzy którymi mają być wymieniane informacje o alarmach.</w:t>
            </w:r>
          </w:p>
        </w:tc>
        <w:tc>
          <w:tcPr>
            <w:tcW w:w="1276" w:type="dxa"/>
          </w:tcPr>
          <w:p w14:paraId="28486049" w14:textId="6A71027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BA2947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482ECD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EA5733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B3EE" w14:textId="5F276AD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Monitory zapewniają automatyczne otwarcie ekranu zdalnego monitora w momencie wystąpienia zdarzenia alarmowego</w:t>
            </w:r>
          </w:p>
        </w:tc>
        <w:tc>
          <w:tcPr>
            <w:tcW w:w="1276" w:type="dxa"/>
          </w:tcPr>
          <w:p w14:paraId="694393D7" w14:textId="0C780E5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08B8BE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51492A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CF25EF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ACCE" w14:textId="063A416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drukowania krzywych, trendów graficznych i numerycznych na podłączonej do sieci centralnego monitorowania tradycyjnej drukarce laserowej - bez konieczności pośredniczenia centrali monitorującej</w:t>
            </w:r>
          </w:p>
        </w:tc>
        <w:tc>
          <w:tcPr>
            <w:tcW w:w="1276" w:type="dxa"/>
          </w:tcPr>
          <w:p w14:paraId="41BF1F78" w14:textId="74CAA5D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C27271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318B28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10CB95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D470" w14:textId="03EACB1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 ofercie do każdego monitora uchwyt  do aparatu do znieczulania.</w:t>
            </w:r>
          </w:p>
        </w:tc>
        <w:tc>
          <w:tcPr>
            <w:tcW w:w="1276" w:type="dxa"/>
          </w:tcPr>
          <w:p w14:paraId="75F5BA9B" w14:textId="1D486C6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F04B82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67F614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585346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A4C4" w14:textId="617E8C5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stacjonarny lub stacjonarno-transportowy wyposażony w dotykowy ekran panoramiczny o przekątnej min. 15,4" i rozdzielczości min. 1920 x 1080 pikseli.  Umożliwia wyświetlanie przynajmniej 12 krzywych dynamicznych jednocześnie i pełną obsługę funkcji monitorowania pacjenta. Nie dopuszcza się realizacji tej funkcjonalności z wykorzystaniem zewnętrznego, dodatkowego ekranu lub innych rozwiązań zależnych od funkcjonowania sieci informatycznej. Rozmiar ekranu dostępny w czasie monitorowania transportowego min. 6,2".</w:t>
            </w:r>
          </w:p>
        </w:tc>
        <w:tc>
          <w:tcPr>
            <w:tcW w:w="1276" w:type="dxa"/>
          </w:tcPr>
          <w:p w14:paraId="3215E060" w14:textId="7E73F38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C4D8F4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E4CAA7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FC4A92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2EE2" w14:textId="4EDBEFE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podłączenia dodatkowego ekranu powielającego o przekątnej min. 19”. Ekran podłączany z wykorzystaniem złącza cyfrowego</w:t>
            </w:r>
          </w:p>
        </w:tc>
        <w:tc>
          <w:tcPr>
            <w:tcW w:w="1276" w:type="dxa"/>
          </w:tcPr>
          <w:p w14:paraId="5DA84A0C" w14:textId="4153484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C2DA62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1DA030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E34982E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DB4" w14:textId="668E5CA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Obsługa kardiomonitora poprzez ekran dotykowy lub ekran dotykowy i pokrętło funkcyjne. Możliwość podłączenia czytnika kodów kreskowych do portu USB.</w:t>
            </w:r>
          </w:p>
        </w:tc>
        <w:tc>
          <w:tcPr>
            <w:tcW w:w="1276" w:type="dxa"/>
          </w:tcPr>
          <w:p w14:paraId="367D88EF" w14:textId="3308C6E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8FB0AC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A512AA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3B247D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83A2" w14:textId="7E84A12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zaprogramowania min. 7 różnych konfiguracji (profili) monitora, zawierających m.in. ustawienia monitorowanych parametrów oraz widoki ekranów</w:t>
            </w:r>
          </w:p>
        </w:tc>
        <w:tc>
          <w:tcPr>
            <w:tcW w:w="1276" w:type="dxa"/>
          </w:tcPr>
          <w:p w14:paraId="5C189BBE" w14:textId="72C3501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71BA33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C4FF51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6DD3E6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0B092" w14:textId="4126F0A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wyboru spośród przynajmniej 16 różnych układów (widoków) ekranu, z możliwością edycji i zapisu przynajmniej 6 z nich</w:t>
            </w:r>
          </w:p>
        </w:tc>
        <w:tc>
          <w:tcPr>
            <w:tcW w:w="1276" w:type="dxa"/>
          </w:tcPr>
          <w:p w14:paraId="157283C5" w14:textId="49E4DA8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535CEE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AB1091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27B0C5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51EED" w14:textId="0DEB9D1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Dostępny tzw. ekran dużych liczb z możliwością podziału na 4 oraz 6 okien parametrów</w:t>
            </w:r>
          </w:p>
        </w:tc>
        <w:tc>
          <w:tcPr>
            <w:tcW w:w="1276" w:type="dxa"/>
          </w:tcPr>
          <w:p w14:paraId="04D04238" w14:textId="6BA021D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48919D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776B64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4B7D70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22A66" w14:textId="22F5AA4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Moduł transportowy przystosowany do warunków transportowych, odporny na upadek z wysokości przynajmniej 1,2m</w:t>
            </w:r>
          </w:p>
        </w:tc>
        <w:tc>
          <w:tcPr>
            <w:tcW w:w="1276" w:type="dxa"/>
          </w:tcPr>
          <w:p w14:paraId="52E15DA0" w14:textId="79401DA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AD1A36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322798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03BB86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5DC" w14:textId="459277D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Moduł transportowy przystosowany do warunków transportowych, klasa odporności na zachlapanie wodą nie gorsza niż IP44</w:t>
            </w:r>
          </w:p>
        </w:tc>
        <w:tc>
          <w:tcPr>
            <w:tcW w:w="1276" w:type="dxa"/>
          </w:tcPr>
          <w:p w14:paraId="68052F15" w14:textId="2BBEB85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9EC23B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FDEF97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C9CC7F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6694" w14:textId="1F0BDA8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stacjonarno-transportowy lub monitor stacjonarny odporny przeciwko zachlapaniu i wnikaniu ciał stałych. Klasa odporności nie gorsza niż IP22</w:t>
            </w:r>
          </w:p>
        </w:tc>
        <w:tc>
          <w:tcPr>
            <w:tcW w:w="1276" w:type="dxa"/>
          </w:tcPr>
          <w:p w14:paraId="14FF298A" w14:textId="4EB269E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BE94A9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95175A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816159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61765" w14:textId="24CB571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Masa modułu transportowego wraz z wbudowanym ekranem oraz akumulatorem nie przekracza 2 kg</w:t>
            </w:r>
          </w:p>
        </w:tc>
        <w:tc>
          <w:tcPr>
            <w:tcW w:w="1276" w:type="dxa"/>
          </w:tcPr>
          <w:p w14:paraId="65FC4E9D" w14:textId="2D9662C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B60BD7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5CF1D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51BE92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5FD1" w14:textId="27D801D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stacjonarno-transportowy lub moduł transportowy umożliwia kontynuację monitorowania w czasie transportu przynajmniej następujących parametrów (zgodnie z ich wymogami opisanymi w dalszej części specyfikacji): EKG, SpO2, NIBP, 2x Temp., 2x IBP, z możliwością rozbudowy o pomiar CO2 w strumieniu bocznym, w zależności od podłączonych modułów pomiarowych</w:t>
            </w:r>
          </w:p>
        </w:tc>
        <w:tc>
          <w:tcPr>
            <w:tcW w:w="1276" w:type="dxa"/>
          </w:tcPr>
          <w:p w14:paraId="7727C40B" w14:textId="7D58DA5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B98C225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B505B7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EB77EC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6994A" w14:textId="24CB66B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EKG</w:t>
            </w:r>
          </w:p>
        </w:tc>
        <w:tc>
          <w:tcPr>
            <w:tcW w:w="1276" w:type="dxa"/>
          </w:tcPr>
          <w:p w14:paraId="36B38A4B" w14:textId="54BD183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0CD33F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076C12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4D17C9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3B52" w14:textId="2A2FD9D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Monitorowanie przynajmniej 1 z 3, 7 i 12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odprowadzeń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, z jakością diagnostyczną, w zależności od użytego przewodu EKG</w:t>
            </w:r>
          </w:p>
        </w:tc>
        <w:tc>
          <w:tcPr>
            <w:tcW w:w="1276" w:type="dxa"/>
          </w:tcPr>
          <w:p w14:paraId="74E16E6F" w14:textId="7556E34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7569AA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003E4A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6DD6EA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DDCD" w14:textId="08C3D2E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Jednoczesna prezentacja przynajmniej 3 kanałów EKG na ekranie głównym kardiomonitora: 3 różne odprowadzenia lub 1 odprowadzenie w formie kaskady</w:t>
            </w:r>
          </w:p>
        </w:tc>
        <w:tc>
          <w:tcPr>
            <w:tcW w:w="1276" w:type="dxa"/>
          </w:tcPr>
          <w:p w14:paraId="2EA90473" w14:textId="215ADB5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51C76B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A1891A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068037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6896" w14:textId="5B7F0005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częstości akcji serca w zakresie min. 20 - 300 ud/min. z dokładnością +/- 1% lub +/- 1ud/min.</w:t>
            </w:r>
          </w:p>
        </w:tc>
        <w:tc>
          <w:tcPr>
            <w:tcW w:w="1276" w:type="dxa"/>
          </w:tcPr>
          <w:p w14:paraId="346B39B4" w14:textId="359D4E7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09187E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70D456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B976AA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2BBF1" w14:textId="3230B5A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 komplecie do każdego monitora: przewód do podłączenia 5- elektrod dla dorosłych i dzieci. Długość przewodów przynajmniej 3m.</w:t>
            </w:r>
          </w:p>
        </w:tc>
        <w:tc>
          <w:tcPr>
            <w:tcW w:w="1276" w:type="dxa"/>
          </w:tcPr>
          <w:p w14:paraId="4750E664" w14:textId="6ED88F2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5A35C0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41E67E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32BDB8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A257" w14:textId="11B6A35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Analiza arytmii</w:t>
            </w:r>
          </w:p>
        </w:tc>
        <w:tc>
          <w:tcPr>
            <w:tcW w:w="1276" w:type="dxa"/>
          </w:tcPr>
          <w:p w14:paraId="486AAF96" w14:textId="04F906D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FDEDF0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FFFA82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D8505B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61C0" w14:textId="26A4ECE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Wieloodprowadzeniowa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analiza arytmii</w:t>
            </w:r>
          </w:p>
        </w:tc>
        <w:tc>
          <w:tcPr>
            <w:tcW w:w="1276" w:type="dxa"/>
          </w:tcPr>
          <w:p w14:paraId="21C4FC36" w14:textId="6089269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D0C680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3E0FCB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DE3220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C7CF8" w14:textId="2020A7B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Analiza arytmii w przynajmniej 4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odprowadzeniach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EKG jednocześnie</w:t>
            </w:r>
          </w:p>
        </w:tc>
        <w:tc>
          <w:tcPr>
            <w:tcW w:w="1276" w:type="dxa"/>
          </w:tcPr>
          <w:p w14:paraId="5773128E" w14:textId="0899AA86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49BB0F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9EFE15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94B3A5E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AEBBD" w14:textId="1FCEFCD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Zaawansowana analiza arytmii wg przynajmniej 12 definicji z rozpoznawaniem arytmii komorowych i przedsionkowych, w tym migotania przedsionków. Dopuszcza się realizację tej funkcjonalności przez zewnętrzny aparat EKG z trybem pomiaru ciągłego - w takiej sytuacji należy zaoferować 1 szt. takiego aparatu na każdy oferowany kardiomonitor.</w:t>
            </w:r>
          </w:p>
        </w:tc>
        <w:tc>
          <w:tcPr>
            <w:tcW w:w="1276" w:type="dxa"/>
          </w:tcPr>
          <w:p w14:paraId="3C025EFE" w14:textId="0A2F975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2030BF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4D2E296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2A3DCA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F903" w14:textId="62C7548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Analiza ST</w:t>
            </w:r>
          </w:p>
        </w:tc>
        <w:tc>
          <w:tcPr>
            <w:tcW w:w="1276" w:type="dxa"/>
          </w:tcPr>
          <w:p w14:paraId="1DE1DC15" w14:textId="5ECDDB7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CC4CBF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EEDF4D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94B4C2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BF85" w14:textId="1403436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Analiza odcinka ST w 12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odprowadzeniach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jednocześnie</w:t>
            </w:r>
          </w:p>
        </w:tc>
        <w:tc>
          <w:tcPr>
            <w:tcW w:w="1276" w:type="dxa"/>
          </w:tcPr>
          <w:p w14:paraId="1F815079" w14:textId="1A685B0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EF8EEC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2F6D38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9D6585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89843" w14:textId="5C3E416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Zakres pomiarowy analizy odcinka ST min. -15,0 -(+) 15,0 mm</w:t>
            </w:r>
          </w:p>
        </w:tc>
        <w:tc>
          <w:tcPr>
            <w:tcW w:w="1276" w:type="dxa"/>
          </w:tcPr>
          <w:p w14:paraId="37C63030" w14:textId="3079521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933600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46589F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21E326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1122E" w14:textId="5B60DF7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Oddech</w:t>
            </w:r>
          </w:p>
        </w:tc>
        <w:tc>
          <w:tcPr>
            <w:tcW w:w="1276" w:type="dxa"/>
          </w:tcPr>
          <w:p w14:paraId="61A34A59" w14:textId="394E424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06817C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4B0DA2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66A533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775AB" w14:textId="2E69D58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Pomiar częstości oddechu metodą impedancyjną w zakresie min. 4-120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odd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/min.</w:t>
            </w:r>
          </w:p>
        </w:tc>
        <w:tc>
          <w:tcPr>
            <w:tcW w:w="1276" w:type="dxa"/>
          </w:tcPr>
          <w:p w14:paraId="1139F14C" w14:textId="0A523B9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EAB1B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63D8A8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FACE84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6A4F0" w14:textId="2D30D10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Prezentacja częstości oddechu oraz krzywej oddechowej </w:t>
            </w:r>
          </w:p>
        </w:tc>
        <w:tc>
          <w:tcPr>
            <w:tcW w:w="1276" w:type="dxa"/>
          </w:tcPr>
          <w:p w14:paraId="72023BD0" w14:textId="0FC4215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ABD965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68862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1F75D3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E577" w14:textId="44D04D4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Saturacja (SpO2)</w:t>
            </w:r>
          </w:p>
        </w:tc>
        <w:tc>
          <w:tcPr>
            <w:tcW w:w="1276" w:type="dxa"/>
          </w:tcPr>
          <w:p w14:paraId="11D2E205" w14:textId="723FBD2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235A0D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DF9ACF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AEFD13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5AFC" w14:textId="0631F5D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Pomiar wysycenia hemoglobiny tlenem, z wykorzystaniem algorytmu odpornego na niską perfuzję i artefakty ruchowe: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TruSignal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lub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Masimo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rainbow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SET</w:t>
            </w:r>
          </w:p>
        </w:tc>
        <w:tc>
          <w:tcPr>
            <w:tcW w:w="1276" w:type="dxa"/>
          </w:tcPr>
          <w:p w14:paraId="72C1693C" w14:textId="1248640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0EF0E0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439CA2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E6D165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FA741" w14:textId="45B1DAE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saturacji w zakresie min. 70-100%</w:t>
            </w:r>
          </w:p>
        </w:tc>
        <w:tc>
          <w:tcPr>
            <w:tcW w:w="1276" w:type="dxa"/>
          </w:tcPr>
          <w:p w14:paraId="3FC04EAA" w14:textId="7E311DF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F96B8B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232876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80C38E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5C8D" w14:textId="5328A66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Prezentacja wartości saturacji, krzywej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pletyzmograficznej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i wskaźnika perfuzji</w:t>
            </w:r>
          </w:p>
        </w:tc>
        <w:tc>
          <w:tcPr>
            <w:tcW w:w="1276" w:type="dxa"/>
          </w:tcPr>
          <w:p w14:paraId="4B1B4425" w14:textId="3D56FE3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0121EB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2869F5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780C07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B8AE" w14:textId="5985150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wyboru SPO2 jako źródła częstości rytmu serca</w:t>
            </w:r>
          </w:p>
        </w:tc>
        <w:tc>
          <w:tcPr>
            <w:tcW w:w="1276" w:type="dxa"/>
          </w:tcPr>
          <w:p w14:paraId="466AD54F" w14:textId="4D629503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B86195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F4AEEC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19C38D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F863" w14:textId="6185D78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Modulacja dźwięku tętna przy zmianie wartości % SpO2.</w:t>
            </w:r>
          </w:p>
        </w:tc>
        <w:tc>
          <w:tcPr>
            <w:tcW w:w="1276" w:type="dxa"/>
          </w:tcPr>
          <w:p w14:paraId="116EA4BE" w14:textId="59FB6D8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CB2B80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4070EC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8B773B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F9731" w14:textId="66A9881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 komplecie do każdego monitora: przewód podłączeniowy dł. min. 3m oraz wielorazowy czujnik na palec dla dorosłych. Oryginalne akcesoria pomiarowe producenta algorytmu pomiarowego.</w:t>
            </w:r>
          </w:p>
        </w:tc>
        <w:tc>
          <w:tcPr>
            <w:tcW w:w="1276" w:type="dxa"/>
          </w:tcPr>
          <w:p w14:paraId="1CB7E681" w14:textId="1DA6B5C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612A31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C5B37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DCF5FB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740D" w14:textId="10D7C456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metodą nieinwazyjną (NIBP)</w:t>
            </w:r>
          </w:p>
        </w:tc>
        <w:tc>
          <w:tcPr>
            <w:tcW w:w="1276" w:type="dxa"/>
          </w:tcPr>
          <w:p w14:paraId="684BF3A2" w14:textId="1F98814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4CE70A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4EA0B1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18246B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2264" w14:textId="4093DE2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Algorytm pomiarowy wykorzystuje dwutubowy systemem wężyków i mankietów, skokową deflację, odporny na zakłócenia, artefakty i niemiarową akcję serca, skraca czas pomiarów przez wstępne pompowanie mankietu do wartości bezpośrednio powyżej ostatnio zmierzonej wartości ciśnienia skurczowego</w:t>
            </w:r>
          </w:p>
        </w:tc>
        <w:tc>
          <w:tcPr>
            <w:tcW w:w="1276" w:type="dxa"/>
          </w:tcPr>
          <w:p w14:paraId="5A94217B" w14:textId="38A4C03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FD54CA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A15D86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1B75CC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EEA5A" w14:textId="03BD4506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tętniczego metodą oscylometryczną.</w:t>
            </w:r>
          </w:p>
        </w:tc>
        <w:tc>
          <w:tcPr>
            <w:tcW w:w="1276" w:type="dxa"/>
          </w:tcPr>
          <w:p w14:paraId="3421510B" w14:textId="236F9B2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D2EDE5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8727B0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31AAA1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B7485" w14:textId="0F0DB10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ręczny na żądanie, ciągły przez określony czas oraz automatyczny. Zakres przedziałów czasowych w trybie automatycznym przynajmniej 1 - 120 minut</w:t>
            </w:r>
          </w:p>
        </w:tc>
        <w:tc>
          <w:tcPr>
            <w:tcW w:w="1276" w:type="dxa"/>
          </w:tcPr>
          <w:p w14:paraId="39B1CF16" w14:textId="0BA033D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562556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F893DF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AE5862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F670" w14:textId="1B4D15B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Funkcja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stazy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żylnej.</w:t>
            </w:r>
          </w:p>
        </w:tc>
        <w:tc>
          <w:tcPr>
            <w:tcW w:w="1276" w:type="dxa"/>
          </w:tcPr>
          <w:p w14:paraId="5395D49E" w14:textId="1BF063B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60A988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0060C8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F1A1F6A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40FAF" w14:textId="7746BB7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zaprogramowania własnych cykli pomiarowych NIBP, składających się z min. 4 kroków z możliwością indywidualnej konfiguracji liczby powtórzeń oraz interwału</w:t>
            </w:r>
          </w:p>
        </w:tc>
        <w:tc>
          <w:tcPr>
            <w:tcW w:w="1276" w:type="dxa"/>
          </w:tcPr>
          <w:p w14:paraId="504A6ECF" w14:textId="702E435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289EAE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2410332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31BFBC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B000" w14:textId="6F93721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w zakresie przynajmniej od 15 mmHg dla ciśnienia rozkurczowego do 250 mmHg dla ciśnienia skurczowego</w:t>
            </w:r>
          </w:p>
        </w:tc>
        <w:tc>
          <w:tcPr>
            <w:tcW w:w="1276" w:type="dxa"/>
          </w:tcPr>
          <w:p w14:paraId="1D47E99C" w14:textId="39D93A1E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AD9D804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CE9EB5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32464D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5CA0" w14:textId="068DBC4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Prezentacja wartości: skurczowej, rozkurczowej oraz średniej. Możliwość wyświetlania listy ostatnich wyników pomiarów NIBP na ekranie głównym</w:t>
            </w:r>
          </w:p>
        </w:tc>
        <w:tc>
          <w:tcPr>
            <w:tcW w:w="1276" w:type="dxa"/>
          </w:tcPr>
          <w:p w14:paraId="44BA3087" w14:textId="5D9753A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5E4930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AD77F8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4F5E9A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19A55" w14:textId="067D698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W komplecie do każdego monitora: wężyk z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szybkozłączką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dla dorosłych/dzieci oraz 3 mankiety wielorazowe dla dorosłych (w 3 różnych rozmiarach). Dodatkowo na całą instalację 20 szt. mankietów dla pacjentów otyłych.</w:t>
            </w:r>
          </w:p>
        </w:tc>
        <w:tc>
          <w:tcPr>
            <w:tcW w:w="1276" w:type="dxa"/>
          </w:tcPr>
          <w:p w14:paraId="335AB9F2" w14:textId="11714E2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A9C578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7C8F6F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8437C6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AE59" w14:textId="1446498C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Mankiety dla pacjentów otyłych stożkowe, dedykowane i walidowane do pomiaru na przedramieniu</w:t>
            </w:r>
          </w:p>
        </w:tc>
        <w:tc>
          <w:tcPr>
            <w:tcW w:w="1276" w:type="dxa"/>
          </w:tcPr>
          <w:p w14:paraId="58155CE1" w14:textId="42D07DF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69907B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2EAAA4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3B7C15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01ADD" w14:textId="678029B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Temperatura</w:t>
            </w:r>
          </w:p>
        </w:tc>
        <w:tc>
          <w:tcPr>
            <w:tcW w:w="1276" w:type="dxa"/>
          </w:tcPr>
          <w:p w14:paraId="2C93736B" w14:textId="537C7AD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FBF8F5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067444A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F949142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574C8" w14:textId="3ACE4C78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temperatury w 2 kanałach</w:t>
            </w:r>
          </w:p>
        </w:tc>
        <w:tc>
          <w:tcPr>
            <w:tcW w:w="1276" w:type="dxa"/>
          </w:tcPr>
          <w:p w14:paraId="3DADF466" w14:textId="6981605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585BB6E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90FACF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57A7E6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170D" w14:textId="17586765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Jednoczesna prezentacja w polu parametru temperatury na ekranie głównym monitora stacjonarnego min. 2 wartości temperatury jednocześnie: obu zmierzonych lub jednej zmierzonej i różnicy temperatur</w:t>
            </w:r>
          </w:p>
        </w:tc>
        <w:tc>
          <w:tcPr>
            <w:tcW w:w="1276" w:type="dxa"/>
          </w:tcPr>
          <w:p w14:paraId="16911B34" w14:textId="235A12C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7CD465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93FB81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96BCFF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BB73" w14:textId="3583525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ustawienia etykiet temperatur wg. miejsca pomiaru</w:t>
            </w:r>
          </w:p>
        </w:tc>
        <w:tc>
          <w:tcPr>
            <w:tcW w:w="1276" w:type="dxa"/>
          </w:tcPr>
          <w:p w14:paraId="24C515A1" w14:textId="518FD521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7DB75B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9BEB5D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C86E0B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9E86" w14:textId="09FA22AE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 komplecie do każdego monitora: wielorazowy czujnik temperatury skóry i wielorazowy czujniki temperatury głębokiej dla dorosłych.</w:t>
            </w:r>
          </w:p>
        </w:tc>
        <w:tc>
          <w:tcPr>
            <w:tcW w:w="1276" w:type="dxa"/>
          </w:tcPr>
          <w:p w14:paraId="0B3976EA" w14:textId="15F0359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693A8C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17DB37B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4536B0E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990F" w14:textId="5C112F9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metodą inwazyjną (IBP)</w:t>
            </w:r>
          </w:p>
        </w:tc>
        <w:tc>
          <w:tcPr>
            <w:tcW w:w="1276" w:type="dxa"/>
          </w:tcPr>
          <w:p w14:paraId="6F8284ED" w14:textId="3B44E38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D3265F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011CF1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E5B42F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AF14" w14:textId="1A5BD7E0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metodą inwazyjną w 2 kanałach. Możliwość rozbudowy do przynajmniej 3 kanałów</w:t>
            </w:r>
          </w:p>
        </w:tc>
        <w:tc>
          <w:tcPr>
            <w:tcW w:w="1276" w:type="dxa"/>
          </w:tcPr>
          <w:p w14:paraId="2A006D74" w14:textId="5CDAA888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D73D72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B90609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64313D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7241" w14:textId="5075774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ciśnienia w zakresie przynajmniej -20 do 320 mmHg</w:t>
            </w:r>
          </w:p>
        </w:tc>
        <w:tc>
          <w:tcPr>
            <w:tcW w:w="1276" w:type="dxa"/>
          </w:tcPr>
          <w:p w14:paraId="69F4FC35" w14:textId="4B8063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7C59D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4D3A6AC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CD6F4C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82672" w14:textId="456EB76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monitorowania i wyboru nazw różnych ciśnień, w tym ciśnienia śródczaszkowego, wraz z automatycznym doborem skali i ustawień dla poszczególnych ciśnień</w:t>
            </w:r>
          </w:p>
        </w:tc>
        <w:tc>
          <w:tcPr>
            <w:tcW w:w="1276" w:type="dxa"/>
          </w:tcPr>
          <w:p w14:paraId="75679BD5" w14:textId="1774A1F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2D231F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7E98955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6ADFB6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3C158" w14:textId="437E38D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parametru PPV: automatyczny lub ręczny</w:t>
            </w:r>
          </w:p>
        </w:tc>
        <w:tc>
          <w:tcPr>
            <w:tcW w:w="1276" w:type="dxa"/>
          </w:tcPr>
          <w:p w14:paraId="3E6D15B9" w14:textId="7075B95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9E7425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309124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546477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31566F" w14:textId="5C567A5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AC7EDD">
              <w:rPr>
                <w:rFonts w:asciiTheme="minorHAnsi" w:hAnsiTheme="minorHAnsi" w:cstheme="minorHAnsi"/>
              </w:rPr>
              <w:t>W komplecie do każdego monitora przewody do podłączenia przetworników MERITRANS (po jednym na każdy oferowany kanał)</w:t>
            </w:r>
          </w:p>
        </w:tc>
        <w:tc>
          <w:tcPr>
            <w:tcW w:w="1276" w:type="dxa"/>
          </w:tcPr>
          <w:p w14:paraId="33CDB9DD" w14:textId="6F537B05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602F7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FA58C8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E0F6DAF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B361" w14:textId="7C9F982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ciągłego rzutu minutowego serca w każdym monitorze za pomocą technologii analizy krzywej tętna z jednego dostępu naczyniowego z wykorzystaniem standardowych przetworników ciśnienia krwawego bez konieczności stosowania dedykowanych czujników rzutu serca. W zestawie z każdym monitorem możliwość pomiaru dla min. 20 pacjentów</w:t>
            </w:r>
          </w:p>
        </w:tc>
        <w:tc>
          <w:tcPr>
            <w:tcW w:w="1276" w:type="dxa"/>
          </w:tcPr>
          <w:p w14:paraId="66C18426" w14:textId="70A34EF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8F7A5E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ED91E4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D0CF48E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B971" w14:textId="119D978B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Wynik pomiaru ciągłego rzutu serca prezentowany w formie drzewka decyzyjnego ułatwiającego podejmowanie decyzji klinicznych</w:t>
            </w:r>
          </w:p>
        </w:tc>
        <w:tc>
          <w:tcPr>
            <w:tcW w:w="1276" w:type="dxa"/>
          </w:tcPr>
          <w:p w14:paraId="20ECCCF7" w14:textId="44189BE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77FD9F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EBE5D5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A6BBCA6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F5E3" w14:textId="65CB74F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Pomiar zwiotczenia mięśni przez monitorowanie transmisji nerwowo-mięśniowej NMT z wykorzystaniem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mechanosensora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lub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elektrosensora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- możliwość wyboru przez Użytkownika pomiędzy w/w metodami w trakcie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użytkownia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monitora. Dostępne tryby stymulacji min.: ST, DBS, TET,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ToF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. Kardiomonitor wyposażony w funkcje:</w:t>
            </w:r>
            <w:r w:rsidRPr="00BC5D19">
              <w:rPr>
                <w:rFonts w:asciiTheme="minorHAnsi" w:hAnsiTheme="minorHAnsi" w:cstheme="minorHAnsi"/>
                <w:color w:val="000000"/>
              </w:rPr>
              <w:br/>
              <w:t xml:space="preserve">- tzw.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Hookup-advisor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- narzędzie ekranowe podpowiadające rozmieszczenie elektrod oraz umożliwiające weryfikację prawidłowego ich kontaktu ze skórą pacjenta,</w:t>
            </w:r>
            <w:r w:rsidRPr="00BC5D19">
              <w:rPr>
                <w:rFonts w:asciiTheme="minorHAnsi" w:hAnsiTheme="minorHAnsi" w:cstheme="minorHAnsi"/>
                <w:color w:val="000000"/>
              </w:rPr>
              <w:br/>
              <w:t>- dźwiękową sygnalizację stymulacji,</w:t>
            </w:r>
            <w:r w:rsidRPr="00BC5D19">
              <w:rPr>
                <w:rFonts w:asciiTheme="minorHAnsi" w:hAnsiTheme="minorHAnsi" w:cstheme="minorHAnsi"/>
                <w:color w:val="000000"/>
              </w:rPr>
              <w:br/>
              <w:t>- dźwiękową sygnalizację ustępowania blokady.</w:t>
            </w:r>
            <w:r w:rsidRPr="00BC5D19">
              <w:rPr>
                <w:rFonts w:asciiTheme="minorHAnsi" w:hAnsiTheme="minorHAnsi" w:cstheme="minorHAnsi"/>
                <w:color w:val="000000"/>
              </w:rPr>
              <w:br/>
              <w:t>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W zestawie z każdym monitorem możliwość pomiaru dla min. 20 pacjentów</w:t>
            </w:r>
          </w:p>
        </w:tc>
        <w:tc>
          <w:tcPr>
            <w:tcW w:w="1276" w:type="dxa"/>
          </w:tcPr>
          <w:p w14:paraId="2B55C72E" w14:textId="7F223F8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4C6EEA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5CF4BD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80F1F2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16FE" w14:textId="49529D1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Pomiar głębokości uśpienia. Pomiar realizowany przez analizę sygnału EEG, wspomaganego pomiarem elektromiografii mięśni czoła, z obliczaniem parametrów SE, RE i BSR.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W zestawie z każdym monitorem możliwość pomiaru dla min. 20 pacjentów</w:t>
            </w:r>
          </w:p>
        </w:tc>
        <w:tc>
          <w:tcPr>
            <w:tcW w:w="1276" w:type="dxa"/>
          </w:tcPr>
          <w:p w14:paraId="04C0FE98" w14:textId="5FEC81A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AF3CB68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92FF74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C9D691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BC05" w14:textId="01615D2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Pomiar poziomu analgezji - pomiar reakcji hemodynamicznej pacjenta na bodźce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nocyceptywne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i środki przeciwbólowe, realizowany za pośrednictwem czujnika saturacji - bez konieczności stosowania dodatkowych akcesoriów zużywalnych. Wynik pomiaru prezentowany na wspólnym wykresie z pomiarem głębokości uśpienia, w sposób ułatwiający prowadzenie znieczulenia i optymalizację zużycia </w:t>
            </w:r>
            <w:r w:rsidRPr="00BC5D19">
              <w:rPr>
                <w:rFonts w:asciiTheme="minorHAnsi" w:hAnsiTheme="minorHAnsi" w:cstheme="minorHAnsi"/>
                <w:color w:val="000000"/>
              </w:rPr>
              <w:lastRenderedPageBreak/>
              <w:t>środków znieczulających. W zestawie z każdym monitorem możliwość pomiaru dla min. 20 pacjentów</w:t>
            </w:r>
          </w:p>
        </w:tc>
        <w:tc>
          <w:tcPr>
            <w:tcW w:w="1276" w:type="dxa"/>
          </w:tcPr>
          <w:p w14:paraId="553DD58B" w14:textId="0F379D1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lastRenderedPageBreak/>
              <w:t>TAK</w:t>
            </w:r>
          </w:p>
        </w:tc>
        <w:tc>
          <w:tcPr>
            <w:tcW w:w="5631" w:type="dxa"/>
            <w:vAlign w:val="center"/>
          </w:tcPr>
          <w:p w14:paraId="40362B8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704F1E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02E9C4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498" w14:textId="0F3EE32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Podłączenie aparatu do znieczulania, zapewniające prezentację na ekranie kardiomonitora wartości parametrów i krzywych dynamicznych oraz sygnalizację alarmów. Dane przesyłane dalej do systemu centralnego monitorowania.</w:t>
            </w:r>
          </w:p>
        </w:tc>
        <w:tc>
          <w:tcPr>
            <w:tcW w:w="1276" w:type="dxa"/>
          </w:tcPr>
          <w:p w14:paraId="2EA1A086" w14:textId="639273F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997FE56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550F61D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3C1CBE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C067" w14:textId="7A9C338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Możliwość rozbudowy o monitorowanie gazowe w strumieniu bocznym, min.: CO2, O2, N2O i anestetyków z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automatyczą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identyfikacją środka znieczulającego oraz prezentacją MAC /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MACage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. Pomiary możliwe u pacjentów zaintubowanych i niezaintubowanych.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pacjenta. Możliwość zamiennego stosowania modułu pomiarowego pomiędzy różnymi monitorami i aparatami do znieczulania tego samego producenta.</w:t>
            </w:r>
          </w:p>
        </w:tc>
        <w:tc>
          <w:tcPr>
            <w:tcW w:w="1276" w:type="dxa"/>
          </w:tcPr>
          <w:p w14:paraId="16B9F494" w14:textId="04789BB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6E89E5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CC8B68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A2A820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A199B" w14:textId="5572369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Możliwość rozbudowy o pomiar rzutu minutowego serca z wykorzystaniem cewnika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Swana-Ganza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>. Pomiar realizowany z wykorzystaniem modułu oferowanego systemu monitorowania, przenoszonego pomiędzy stanowiskami, zapewniającego wyświetlanie monitorowanych parametrów na ekranie monitora i pełną obsługę funkcji monitorowania i alarmowania za pośrednictwem ekranu monitora pacjenta</w:t>
            </w:r>
          </w:p>
        </w:tc>
        <w:tc>
          <w:tcPr>
            <w:tcW w:w="1276" w:type="dxa"/>
          </w:tcPr>
          <w:p w14:paraId="734546D1" w14:textId="21F95C3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3BAB54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13D350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B108960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2AC6" w14:textId="19A463D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Alarmy przynajmniej 3-stopniowe, sygnalizowane wizualnie i dźwiękowo, z wizualizacją parametru, który wywołał alarm</w:t>
            </w:r>
          </w:p>
        </w:tc>
        <w:tc>
          <w:tcPr>
            <w:tcW w:w="1276" w:type="dxa"/>
          </w:tcPr>
          <w:p w14:paraId="013CD45C" w14:textId="7652B8E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5AB8C9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0D4324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42921E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68BFC" w14:textId="52962E87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zmiany priorytetu alarmów</w:t>
            </w:r>
          </w:p>
        </w:tc>
        <w:tc>
          <w:tcPr>
            <w:tcW w:w="1276" w:type="dxa"/>
          </w:tcPr>
          <w:p w14:paraId="1B35200F" w14:textId="5E8CBF2C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01BAD4C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39107A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7987B7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58999" w14:textId="6683D692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Alarmy techniczne z podaniem przyczyny.</w:t>
            </w:r>
          </w:p>
        </w:tc>
        <w:tc>
          <w:tcPr>
            <w:tcW w:w="1276" w:type="dxa"/>
          </w:tcPr>
          <w:p w14:paraId="583CBF12" w14:textId="588EF6FD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7B058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8B9464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DDE8CA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76C83" w14:textId="6ACB7D9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Granice alarmowe regulowane ręcznie - przez użytkownika, i automatycznie (na żądanie) - na podstawie bieżących wartości </w:t>
            </w:r>
            <w:r w:rsidRPr="00634BE6">
              <w:rPr>
                <w:rFonts w:asciiTheme="minorHAnsi" w:hAnsiTheme="minorHAnsi" w:cstheme="minorHAnsi"/>
                <w:color w:val="000000"/>
              </w:rPr>
              <w:t>parametrów</w:t>
            </w:r>
            <w:r w:rsidRPr="00BC5D19">
              <w:rPr>
                <w:rFonts w:asciiTheme="minorHAnsi" w:hAnsiTheme="minorHAnsi" w:cstheme="minorHAnsi"/>
                <w:color w:val="000000"/>
              </w:rPr>
              <w:t>.</w:t>
            </w:r>
          </w:p>
        </w:tc>
        <w:tc>
          <w:tcPr>
            <w:tcW w:w="1276" w:type="dxa"/>
          </w:tcPr>
          <w:p w14:paraId="169AC91D" w14:textId="7FA6395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B222A30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7C135D3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67570F87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B9D64" w14:textId="1B9E3944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Granice regulowane indywidualnie - w oknach poszczególnych parametrów - oraz zbiorczo, w oknie ustawień alarmów</w:t>
            </w:r>
          </w:p>
        </w:tc>
        <w:tc>
          <w:tcPr>
            <w:tcW w:w="1276" w:type="dxa"/>
          </w:tcPr>
          <w:p w14:paraId="7CD1B5A7" w14:textId="26F30BB0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432CDF1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A322A03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DEB9F1C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BB88" w14:textId="2007A1B9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wyciszenia alarmów. Czas wyciszenia alarmów przynajmniej: 2 minuty oraz bez limitu czasowego.</w:t>
            </w:r>
          </w:p>
        </w:tc>
        <w:tc>
          <w:tcPr>
            <w:tcW w:w="1276" w:type="dxa"/>
          </w:tcPr>
          <w:p w14:paraId="787E1962" w14:textId="5514184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8A0C1A9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1725CC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182A915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D4500" w14:textId="5FD3FCA3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bezdotykowego wyciszania alarmów gestem - poprzez odpowiedni ruch dłonią przed ekranem kardiomonitora</w:t>
            </w:r>
          </w:p>
        </w:tc>
        <w:tc>
          <w:tcPr>
            <w:tcW w:w="1276" w:type="dxa"/>
          </w:tcPr>
          <w:p w14:paraId="286CD796" w14:textId="7EF3741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2974D03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471B30C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B5E45B1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5365" w14:textId="628FEF86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 pamięć przynajmniej 100 zdarzeń alarmowych zawierających wycinki krzywych dynamicznych. Zdarzenia zapisywane automatycznie - w chwili wystąpienia zdarzenia alarmowego, a także ręcznie - po naciśnięciu odpowiedniego przycisku</w:t>
            </w:r>
          </w:p>
        </w:tc>
        <w:tc>
          <w:tcPr>
            <w:tcW w:w="1276" w:type="dxa"/>
          </w:tcPr>
          <w:p w14:paraId="4D201718" w14:textId="5CB98792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322BF8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66A65837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92C2B98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617A" w14:textId="46E4E09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Możliwość rozbudowy kardiomonitora o funkcję zaawansowanych alarmów ułatwiających diagnozowanie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trudnch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stanów klinicznych poprzez informowanie personelu o jednoczasowym zajściu kilku warunków brzegowych - </w:t>
            </w:r>
            <w:r w:rsidRPr="00BC5D19">
              <w:rPr>
                <w:rFonts w:asciiTheme="minorHAnsi" w:hAnsiTheme="minorHAnsi" w:cstheme="minorHAnsi"/>
                <w:color w:val="000000"/>
              </w:rPr>
              <w:lastRenderedPageBreak/>
              <w:t>konfigurowanych przez użytkownika - związanych z wartościami różnych mierzonych parametrów.</w:t>
            </w:r>
          </w:p>
        </w:tc>
        <w:tc>
          <w:tcPr>
            <w:tcW w:w="1276" w:type="dxa"/>
          </w:tcPr>
          <w:p w14:paraId="1A555785" w14:textId="5492D78F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lastRenderedPageBreak/>
              <w:t>TAK</w:t>
            </w:r>
          </w:p>
        </w:tc>
        <w:tc>
          <w:tcPr>
            <w:tcW w:w="5631" w:type="dxa"/>
            <w:vAlign w:val="center"/>
          </w:tcPr>
          <w:p w14:paraId="570B46C2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88FBC9E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16932AB9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AAE89" w14:textId="5589C751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Stanowisko monitorowania pacjenta wyposażone w pamięć trendów z ostatnich min. 96 godzin.</w:t>
            </w:r>
          </w:p>
        </w:tc>
        <w:tc>
          <w:tcPr>
            <w:tcW w:w="1276" w:type="dxa"/>
          </w:tcPr>
          <w:p w14:paraId="2E668182" w14:textId="20647BE4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2D83137F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C137CE4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D43A5D4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AB35" w14:textId="21B057ED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Monitor wyposażony w pamięć przynajmniej 168 godzin trendów</w:t>
            </w:r>
          </w:p>
        </w:tc>
        <w:tc>
          <w:tcPr>
            <w:tcW w:w="1276" w:type="dxa"/>
          </w:tcPr>
          <w:p w14:paraId="63DDC706" w14:textId="49F1A5BB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E2928EA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1B9A95D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2AAEF2D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5B9A" w14:textId="0529EF5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>Możliwość wyświetlania trendów w formie graficznej i tabelarycznej</w:t>
            </w:r>
          </w:p>
        </w:tc>
        <w:tc>
          <w:tcPr>
            <w:tcW w:w="1276" w:type="dxa"/>
          </w:tcPr>
          <w:p w14:paraId="2314FD03" w14:textId="566FD0D9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773B1C4D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2B59F7A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AA32423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13E8" w14:textId="34CFF16A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Monitor z możliwością rozbudowy o funkcje wczesnego ostrzegania wg skali NEWS2 i MEWS oraz funkcję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OxyCRG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oraz wbudowaną pamięć pełnych przebiegów dynamicznych Full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Disclosure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z min. 72 godzin dla przynajmniej: wszystkich przebiegów EKG, SpO2, Oddechu i 2x IBP.</w:t>
            </w:r>
          </w:p>
        </w:tc>
        <w:tc>
          <w:tcPr>
            <w:tcW w:w="1276" w:type="dxa"/>
          </w:tcPr>
          <w:p w14:paraId="743E5FCE" w14:textId="1AABED7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17EE4857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3027463F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57F083B" w14:textId="77777777" w:rsidR="004C043A" w:rsidRPr="00B53D1B" w:rsidRDefault="004C043A" w:rsidP="004C043A">
            <w:pPr>
              <w:numPr>
                <w:ilvl w:val="0"/>
                <w:numId w:val="6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B803F" w14:textId="286D3F4F" w:rsidR="004C043A" w:rsidRPr="00B53D1B" w:rsidRDefault="004C043A" w:rsidP="004C043A">
            <w:pPr>
              <w:rPr>
                <w:rFonts w:asciiTheme="minorHAnsi" w:hAnsiTheme="minorHAnsi" w:cstheme="minorHAnsi"/>
              </w:rPr>
            </w:pPr>
            <w:r w:rsidRPr="00BC5D19">
              <w:rPr>
                <w:rFonts w:asciiTheme="minorHAnsi" w:hAnsiTheme="minorHAnsi" w:cstheme="minorHAnsi"/>
                <w:color w:val="000000"/>
              </w:rPr>
              <w:t xml:space="preserve">Monitor wyposażony w funkcję przenoszenia konfiguracji oraz trendów parametrów życiowych pacjenta za pośrednictwem pamięci USB. Funkcja eksportu trendów zabezpieczona przed niepowołanym dostępem, trendy eksportowane w formie zanonimizowanej, zaszyfrowanej w formacie umożliwiającym odczyt z wykorzystaniem pakietu MS Excel lub </w:t>
            </w:r>
            <w:proofErr w:type="spellStart"/>
            <w:r w:rsidRPr="00BC5D19">
              <w:rPr>
                <w:rFonts w:asciiTheme="minorHAnsi" w:hAnsiTheme="minorHAnsi" w:cstheme="minorHAnsi"/>
                <w:color w:val="000000"/>
              </w:rPr>
              <w:t>Acrobat</w:t>
            </w:r>
            <w:proofErr w:type="spellEnd"/>
            <w:r w:rsidRPr="00BC5D19">
              <w:rPr>
                <w:rFonts w:asciiTheme="minorHAnsi" w:hAnsiTheme="minorHAnsi" w:cstheme="minorHAnsi"/>
                <w:color w:val="000000"/>
              </w:rPr>
              <w:t xml:space="preserve"> Reader.</w:t>
            </w:r>
          </w:p>
        </w:tc>
        <w:tc>
          <w:tcPr>
            <w:tcW w:w="1276" w:type="dxa"/>
          </w:tcPr>
          <w:p w14:paraId="6823CF4B" w14:textId="50C2103A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0A0501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0D46B5B" w14:textId="77777777" w:rsidR="004C043A" w:rsidRPr="00B53D1B" w:rsidRDefault="004C043A" w:rsidP="004C043A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4C043A" w:rsidRPr="00B53D1B" w14:paraId="174AB935" w14:textId="77777777" w:rsidTr="004F7913">
        <w:trPr>
          <w:trHeight w:val="175"/>
        </w:trPr>
        <w:tc>
          <w:tcPr>
            <w:tcW w:w="14345" w:type="dxa"/>
            <w:gridSpan w:val="4"/>
            <w:vAlign w:val="center"/>
          </w:tcPr>
          <w:p w14:paraId="5AF22A39" w14:textId="7D1B1A2B" w:rsidR="004C043A" w:rsidRPr="00B53D1B" w:rsidRDefault="004C043A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  <w:r w:rsidRPr="00B53D1B">
              <w:rPr>
                <w:rFonts w:asciiTheme="minorHAnsi" w:hAnsiTheme="minorHAnsi" w:cstheme="minorHAnsi"/>
                <w:b/>
                <w:color w:val="000000"/>
              </w:rPr>
              <w:t>Warunki gwarancji i serwisu</w:t>
            </w:r>
          </w:p>
        </w:tc>
      </w:tr>
      <w:tr w:rsidR="00864813" w:rsidRPr="00B53D1B" w14:paraId="6A68E830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28AFDA55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7D57AB91" w14:textId="232B78CE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 xml:space="preserve">Gwarancja dla wszystkich urządzeń należących do przedmiotu zamówienia min 24 m-ce liczona od dnia podpisania protokołu odbioru -  </w:t>
            </w:r>
            <w:r w:rsidRPr="00B53D1B">
              <w:rPr>
                <w:rFonts w:asciiTheme="minorHAnsi" w:hAnsiTheme="minorHAnsi" w:cstheme="minorHAnsi"/>
                <w:b/>
                <w:color w:val="000000"/>
              </w:rPr>
              <w:t>okres gwarancji jest parametrem ocenianym w zakresie od 24 do 48 miesięcy zgodnie z zapisami IDW.</w:t>
            </w:r>
          </w:p>
        </w:tc>
        <w:tc>
          <w:tcPr>
            <w:tcW w:w="1276" w:type="dxa"/>
            <w:vAlign w:val="center"/>
          </w:tcPr>
          <w:p w14:paraId="275DDED3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573A15F3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597ED0F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55A05C44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04008CF3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Liczba napraw gwarancyjnych tego samego podzespołu uprawniająca do wymiany podzespołu na nowy max 3 naprawy</w:t>
            </w:r>
          </w:p>
        </w:tc>
        <w:tc>
          <w:tcPr>
            <w:tcW w:w="1276" w:type="dxa"/>
            <w:vAlign w:val="center"/>
          </w:tcPr>
          <w:p w14:paraId="242BFD80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46A8EC52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44746949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71228E81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55C1ECB7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</w:rPr>
              <w:t>Czas reakcji na zgłoszenie awarii „przyjęcie zgłoszenia – podjęcie nap</w:t>
            </w:r>
            <w:bookmarkStart w:id="0" w:name="_GoBack"/>
            <w:bookmarkEnd w:id="0"/>
            <w:r w:rsidRPr="00B53D1B">
              <w:rPr>
                <w:rFonts w:asciiTheme="minorHAnsi" w:hAnsiTheme="minorHAnsi" w:cstheme="minorHAnsi"/>
              </w:rPr>
              <w:t>rawy” max 24 godz. w dni robocze</w:t>
            </w:r>
          </w:p>
        </w:tc>
        <w:tc>
          <w:tcPr>
            <w:tcW w:w="1276" w:type="dxa"/>
            <w:vAlign w:val="center"/>
          </w:tcPr>
          <w:p w14:paraId="0BA2FA15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0660A3B1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264A6A18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40F7E0E6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007BA70F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Czas oczekiwania na usunięcie awarii max 5 dni roboczych</w:t>
            </w:r>
          </w:p>
        </w:tc>
        <w:tc>
          <w:tcPr>
            <w:tcW w:w="1276" w:type="dxa"/>
            <w:vAlign w:val="center"/>
          </w:tcPr>
          <w:p w14:paraId="22C49336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6A505143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44921F0A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0FD4E859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75E258B3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</w:rPr>
              <w:t>Instrukcje obsługi w języku polskim zgodna z wymogami ustawy o wyrobach medycznych</w:t>
            </w:r>
          </w:p>
        </w:tc>
        <w:tc>
          <w:tcPr>
            <w:tcW w:w="1276" w:type="dxa"/>
            <w:vAlign w:val="center"/>
          </w:tcPr>
          <w:p w14:paraId="0771B7FA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</w:t>
            </w:r>
          </w:p>
        </w:tc>
        <w:tc>
          <w:tcPr>
            <w:tcW w:w="5631" w:type="dxa"/>
            <w:vAlign w:val="center"/>
          </w:tcPr>
          <w:p w14:paraId="30ABA97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3FE9F551" w14:textId="77777777" w:rsidTr="00FB0B7C">
        <w:trPr>
          <w:trHeight w:val="175"/>
        </w:trPr>
        <w:tc>
          <w:tcPr>
            <w:tcW w:w="567" w:type="dxa"/>
            <w:vAlign w:val="center"/>
          </w:tcPr>
          <w:p w14:paraId="34BD9B6D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69006170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 xml:space="preserve">W cenie oferty gwarancyjne przeglądy okresowe niezbędne do prawidłowej pracy przedmiotu zamówienia w tym jeden przegląd w ostatnim miesiącu przed upływem gwarancji – </w:t>
            </w:r>
            <w:r w:rsidRPr="00B53D1B">
              <w:rPr>
                <w:rFonts w:asciiTheme="minorHAnsi" w:hAnsiTheme="minorHAnsi" w:cstheme="minorHAnsi"/>
                <w:b/>
                <w:color w:val="000000"/>
              </w:rPr>
              <w:t>podać ilość przeglądów w roku wymaganych przez producenta.</w:t>
            </w:r>
          </w:p>
        </w:tc>
        <w:tc>
          <w:tcPr>
            <w:tcW w:w="1276" w:type="dxa"/>
            <w:vAlign w:val="center"/>
          </w:tcPr>
          <w:p w14:paraId="4EA6F268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>TAK/podać</w:t>
            </w:r>
          </w:p>
        </w:tc>
        <w:tc>
          <w:tcPr>
            <w:tcW w:w="5631" w:type="dxa"/>
            <w:vAlign w:val="center"/>
          </w:tcPr>
          <w:p w14:paraId="75AE6F1F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  <w:tr w:rsidR="00864813" w:rsidRPr="00B53D1B" w14:paraId="192A3C79" w14:textId="77777777" w:rsidTr="00FB0B7C">
        <w:trPr>
          <w:trHeight w:val="321"/>
        </w:trPr>
        <w:tc>
          <w:tcPr>
            <w:tcW w:w="567" w:type="dxa"/>
            <w:vAlign w:val="center"/>
          </w:tcPr>
          <w:p w14:paraId="0D75046A" w14:textId="77777777" w:rsidR="00864813" w:rsidRPr="00B53D1B" w:rsidRDefault="00864813" w:rsidP="00864813">
            <w:pPr>
              <w:numPr>
                <w:ilvl w:val="0"/>
                <w:numId w:val="10"/>
              </w:num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71" w:type="dxa"/>
            <w:vAlign w:val="center"/>
          </w:tcPr>
          <w:p w14:paraId="5D36FDC5" w14:textId="77777777" w:rsidR="00864813" w:rsidRPr="00B53D1B" w:rsidRDefault="00864813" w:rsidP="00864813">
            <w:pPr>
              <w:snapToGrid w:val="0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 xml:space="preserve">Możliwość zgłaszania usterek 24 h/dobę </w:t>
            </w:r>
          </w:p>
        </w:tc>
        <w:tc>
          <w:tcPr>
            <w:tcW w:w="1276" w:type="dxa"/>
            <w:vAlign w:val="center"/>
          </w:tcPr>
          <w:p w14:paraId="21B24F4D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  <w:lang w:eastAsia="en-US"/>
              </w:rPr>
            </w:pPr>
            <w:r w:rsidRPr="00B53D1B">
              <w:rPr>
                <w:rFonts w:asciiTheme="minorHAnsi" w:hAnsiTheme="minorHAnsi" w:cstheme="minorHAnsi"/>
                <w:color w:val="000000"/>
              </w:rPr>
              <w:t xml:space="preserve">tak, </w:t>
            </w:r>
            <w:r w:rsidRPr="00B53D1B">
              <w:rPr>
                <w:rFonts w:asciiTheme="minorHAnsi" w:hAnsiTheme="minorHAnsi" w:cstheme="minorHAnsi"/>
                <w:color w:val="000000"/>
              </w:rPr>
              <w:br/>
              <w:t xml:space="preserve">podać nr tel. </w:t>
            </w:r>
          </w:p>
        </w:tc>
        <w:tc>
          <w:tcPr>
            <w:tcW w:w="5631" w:type="dxa"/>
            <w:vAlign w:val="center"/>
          </w:tcPr>
          <w:p w14:paraId="5099038E" w14:textId="77777777" w:rsidR="00864813" w:rsidRPr="00B53D1B" w:rsidRDefault="00864813" w:rsidP="00864813">
            <w:pPr>
              <w:jc w:val="center"/>
              <w:rPr>
                <w:rFonts w:asciiTheme="minorHAnsi" w:hAnsiTheme="minorHAnsi" w:cstheme="minorHAnsi"/>
                <w:color w:val="000000"/>
              </w:rPr>
            </w:pPr>
          </w:p>
        </w:tc>
      </w:tr>
    </w:tbl>
    <w:p w14:paraId="045EB84A" w14:textId="77777777" w:rsidR="005C5F4F" w:rsidRPr="00F41D47" w:rsidRDefault="005C5F4F" w:rsidP="002D021F">
      <w:pPr>
        <w:jc w:val="both"/>
        <w:rPr>
          <w:rFonts w:ascii="Calibri" w:hAnsi="Calibri" w:cs="Calibri"/>
          <w:b/>
          <w:sz w:val="22"/>
          <w:szCs w:val="22"/>
        </w:rPr>
      </w:pPr>
    </w:p>
    <w:sectPr w:rsidR="005C5F4F" w:rsidRPr="00F41D47" w:rsidSect="00FD5071">
      <w:footerReference w:type="default" r:id="rId10"/>
      <w:headerReference w:type="first" r:id="rId11"/>
      <w:pgSz w:w="16838" w:h="11906" w:orient="landscape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9EEB44" w14:textId="77777777" w:rsidR="00864813" w:rsidRDefault="00864813" w:rsidP="00DC4A2B">
      <w:r>
        <w:separator/>
      </w:r>
    </w:p>
  </w:endnote>
  <w:endnote w:type="continuationSeparator" w:id="0">
    <w:p w14:paraId="0B4F259D" w14:textId="77777777" w:rsidR="00864813" w:rsidRDefault="00864813" w:rsidP="00DC4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F29463" w14:textId="77777777" w:rsidR="00864813" w:rsidRDefault="00864813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fldChar w:fldCharType="end"/>
    </w:r>
  </w:p>
  <w:p w14:paraId="29337A8D" w14:textId="77777777" w:rsidR="00864813" w:rsidRDefault="0086481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00568AE" w14:textId="77777777" w:rsidR="00864813" w:rsidRDefault="00864813" w:rsidP="00DC4A2B">
      <w:r>
        <w:separator/>
      </w:r>
    </w:p>
  </w:footnote>
  <w:footnote w:type="continuationSeparator" w:id="0">
    <w:p w14:paraId="778A5ADC" w14:textId="77777777" w:rsidR="00864813" w:rsidRDefault="00864813" w:rsidP="00DC4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CBF42" w14:textId="77777777" w:rsidR="006F487C" w:rsidRDefault="006F487C" w:rsidP="000C4FD9">
    <w:pPr>
      <w:pStyle w:val="Nagwek"/>
      <w:pBdr>
        <w:bottom w:val="single" w:sz="6" w:space="1" w:color="auto"/>
      </w:pBdr>
      <w:jc w:val="center"/>
    </w:pPr>
    <w:r>
      <w:rPr>
        <w:noProof/>
      </w:rPr>
      <w:drawing>
        <wp:inline distT="0" distB="0" distL="0" distR="0" wp14:anchorId="26A5769A" wp14:editId="34C3AABE">
          <wp:extent cx="5952490" cy="438150"/>
          <wp:effectExtent l="0" t="0" r="0" b="0"/>
          <wp:docPr id="11" name="Obraz 11" descr="Znak programu Fundusze Europejskie dla Pomorza Zachodniego, znak barw Rzeczypospolitej Polskiej, znak Unii Europejskiej, logo Województwa Zachodnio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2490" cy="438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DE1E6D2" w14:textId="77777777" w:rsidR="006F487C" w:rsidRDefault="006F487C" w:rsidP="000C4FD9">
    <w:pPr>
      <w:pStyle w:val="Nagwek"/>
      <w:pBdr>
        <w:bottom w:val="single" w:sz="6" w:space="1" w:color="auto"/>
      </w:pBdr>
      <w:jc w:val="center"/>
    </w:pPr>
  </w:p>
  <w:p w14:paraId="3E60E7B2" w14:textId="77777777" w:rsidR="006F487C" w:rsidRDefault="006F487C" w:rsidP="000C4FD9">
    <w:pPr>
      <w:pStyle w:val="Nagwek"/>
      <w:jc w:val="center"/>
    </w:pPr>
  </w:p>
  <w:p w14:paraId="17424544" w14:textId="77777777" w:rsidR="00864813" w:rsidRPr="006F487C" w:rsidRDefault="00864813" w:rsidP="006F487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F0AEB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A86B94"/>
    <w:multiLevelType w:val="hybridMultilevel"/>
    <w:tmpl w:val="C192740C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A0AE6"/>
    <w:multiLevelType w:val="hybridMultilevel"/>
    <w:tmpl w:val="8BB2CC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A0AB7"/>
    <w:multiLevelType w:val="hybridMultilevel"/>
    <w:tmpl w:val="904ACD0E"/>
    <w:lvl w:ilvl="0" w:tplc="B072B20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6401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98192E"/>
    <w:multiLevelType w:val="hybridMultilevel"/>
    <w:tmpl w:val="58D8E8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73A8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E6D35"/>
    <w:multiLevelType w:val="hybridMultilevel"/>
    <w:tmpl w:val="AA145A00"/>
    <w:lvl w:ilvl="0" w:tplc="D332B7BC">
      <w:start w:val="1"/>
      <w:numFmt w:val="bullet"/>
      <w:lvlText w:val=""/>
      <w:lvlJc w:val="left"/>
      <w:pPr>
        <w:tabs>
          <w:tab w:val="num" w:pos="738"/>
        </w:tabs>
        <w:ind w:left="738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CE544A4"/>
    <w:multiLevelType w:val="hybridMultilevel"/>
    <w:tmpl w:val="2DCA28C2"/>
    <w:lvl w:ilvl="0" w:tplc="02586C1A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614104"/>
    <w:multiLevelType w:val="hybridMultilevel"/>
    <w:tmpl w:val="DBACE60A"/>
    <w:lvl w:ilvl="0" w:tplc="71180E2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64605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64775F"/>
    <w:multiLevelType w:val="hybridMultilevel"/>
    <w:tmpl w:val="570CE4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3A34E7"/>
    <w:multiLevelType w:val="hybridMultilevel"/>
    <w:tmpl w:val="6C0C90D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C5650E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36F1D"/>
    <w:multiLevelType w:val="hybridMultilevel"/>
    <w:tmpl w:val="85080EEA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FE27C3B"/>
    <w:multiLevelType w:val="hybridMultilevel"/>
    <w:tmpl w:val="8A1E1F0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13A020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7263113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AC3A32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932811"/>
    <w:multiLevelType w:val="hybridMultilevel"/>
    <w:tmpl w:val="8A2407F6"/>
    <w:lvl w:ilvl="0" w:tplc="CBFC0458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AF72BF7"/>
    <w:multiLevelType w:val="hybridMultilevel"/>
    <w:tmpl w:val="28E08094"/>
    <w:lvl w:ilvl="0" w:tplc="3C54E4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344807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D80EF4"/>
    <w:multiLevelType w:val="hybridMultilevel"/>
    <w:tmpl w:val="BCC8F134"/>
    <w:lvl w:ilvl="0" w:tplc="71180E2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6E85794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B215D0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DE2AF6"/>
    <w:multiLevelType w:val="hybridMultilevel"/>
    <w:tmpl w:val="FE20C0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8C25ABA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C835BC"/>
    <w:multiLevelType w:val="hybridMultilevel"/>
    <w:tmpl w:val="72DE46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1EA0F1E"/>
    <w:multiLevelType w:val="hybridMultilevel"/>
    <w:tmpl w:val="5C662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1B4078"/>
    <w:multiLevelType w:val="hybridMultilevel"/>
    <w:tmpl w:val="FF16B9DC"/>
    <w:lvl w:ilvl="0" w:tplc="DD6641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72C2F"/>
    <w:multiLevelType w:val="hybridMultilevel"/>
    <w:tmpl w:val="C4A219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AC04A9"/>
    <w:multiLevelType w:val="hybridMultilevel"/>
    <w:tmpl w:val="D024744E"/>
    <w:lvl w:ilvl="0" w:tplc="8288160C">
      <w:start w:val="1"/>
      <w:numFmt w:val="decimal"/>
      <w:lvlText w:val="%1."/>
      <w:lvlJc w:val="center"/>
      <w:pPr>
        <w:tabs>
          <w:tab w:val="num" w:pos="284"/>
        </w:tabs>
        <w:ind w:left="284" w:firstLine="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CEA674E"/>
    <w:multiLevelType w:val="hybridMultilevel"/>
    <w:tmpl w:val="285236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7"/>
  </w:num>
  <w:num w:numId="3">
    <w:abstractNumId w:val="2"/>
  </w:num>
  <w:num w:numId="4">
    <w:abstractNumId w:val="23"/>
  </w:num>
  <w:num w:numId="5">
    <w:abstractNumId w:val="18"/>
  </w:num>
  <w:num w:numId="6">
    <w:abstractNumId w:val="12"/>
  </w:num>
  <w:num w:numId="7">
    <w:abstractNumId w:val="19"/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5"/>
  </w:num>
  <w:num w:numId="12">
    <w:abstractNumId w:val="28"/>
  </w:num>
  <w:num w:numId="13">
    <w:abstractNumId w:val="31"/>
  </w:num>
  <w:num w:numId="14">
    <w:abstractNumId w:val="16"/>
  </w:num>
  <w:num w:numId="15">
    <w:abstractNumId w:val="26"/>
  </w:num>
  <w:num w:numId="16">
    <w:abstractNumId w:val="30"/>
  </w:num>
  <w:num w:numId="17">
    <w:abstractNumId w:val="21"/>
  </w:num>
  <w:num w:numId="18">
    <w:abstractNumId w:val="6"/>
  </w:num>
  <w:num w:numId="19">
    <w:abstractNumId w:val="13"/>
  </w:num>
  <w:num w:numId="20">
    <w:abstractNumId w:val="7"/>
  </w:num>
  <w:num w:numId="21">
    <w:abstractNumId w:val="24"/>
  </w:num>
  <w:num w:numId="22">
    <w:abstractNumId w:val="0"/>
  </w:num>
  <w:num w:numId="23">
    <w:abstractNumId w:val="14"/>
  </w:num>
  <w:num w:numId="24">
    <w:abstractNumId w:val="17"/>
  </w:num>
  <w:num w:numId="25">
    <w:abstractNumId w:val="32"/>
  </w:num>
  <w:num w:numId="26">
    <w:abstractNumId w:val="11"/>
  </w:num>
  <w:num w:numId="27">
    <w:abstractNumId w:val="10"/>
  </w:num>
  <w:num w:numId="28">
    <w:abstractNumId w:val="29"/>
  </w:num>
  <w:num w:numId="29">
    <w:abstractNumId w:val="9"/>
  </w:num>
  <w:num w:numId="30">
    <w:abstractNumId w:val="22"/>
  </w:num>
  <w:num w:numId="31">
    <w:abstractNumId w:val="1"/>
  </w:num>
  <w:num w:numId="32">
    <w:abstractNumId w:val="15"/>
  </w:num>
  <w:num w:numId="33">
    <w:abstractNumId w:val="25"/>
  </w:num>
  <w:num w:numId="3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47E"/>
    <w:rsid w:val="00014F7A"/>
    <w:rsid w:val="00015E30"/>
    <w:rsid w:val="000171F6"/>
    <w:rsid w:val="000305C6"/>
    <w:rsid w:val="00035547"/>
    <w:rsid w:val="00045F3F"/>
    <w:rsid w:val="00056525"/>
    <w:rsid w:val="00064700"/>
    <w:rsid w:val="00075259"/>
    <w:rsid w:val="0008361A"/>
    <w:rsid w:val="00093305"/>
    <w:rsid w:val="00096FBD"/>
    <w:rsid w:val="000B65A3"/>
    <w:rsid w:val="000C1014"/>
    <w:rsid w:val="000C504F"/>
    <w:rsid w:val="000C7F26"/>
    <w:rsid w:val="000D512A"/>
    <w:rsid w:val="000D6582"/>
    <w:rsid w:val="000E1AC0"/>
    <w:rsid w:val="000E486E"/>
    <w:rsid w:val="000F386A"/>
    <w:rsid w:val="000F6D7A"/>
    <w:rsid w:val="0010763C"/>
    <w:rsid w:val="00111D1A"/>
    <w:rsid w:val="001160D5"/>
    <w:rsid w:val="0013170D"/>
    <w:rsid w:val="001352BB"/>
    <w:rsid w:val="001933FA"/>
    <w:rsid w:val="00196D4C"/>
    <w:rsid w:val="001A381E"/>
    <w:rsid w:val="001A5935"/>
    <w:rsid w:val="001A6B2C"/>
    <w:rsid w:val="001B08E4"/>
    <w:rsid w:val="001B2FFE"/>
    <w:rsid w:val="001C2BF1"/>
    <w:rsid w:val="001C4D20"/>
    <w:rsid w:val="001E4BB5"/>
    <w:rsid w:val="001E60E0"/>
    <w:rsid w:val="001F1D8E"/>
    <w:rsid w:val="001F7877"/>
    <w:rsid w:val="00200039"/>
    <w:rsid w:val="00212765"/>
    <w:rsid w:val="002271FA"/>
    <w:rsid w:val="00241AC6"/>
    <w:rsid w:val="0024336F"/>
    <w:rsid w:val="00267C6F"/>
    <w:rsid w:val="0027375F"/>
    <w:rsid w:val="0027537B"/>
    <w:rsid w:val="00282CAA"/>
    <w:rsid w:val="0028391D"/>
    <w:rsid w:val="00286599"/>
    <w:rsid w:val="00293490"/>
    <w:rsid w:val="002974CE"/>
    <w:rsid w:val="002A209A"/>
    <w:rsid w:val="002B51CC"/>
    <w:rsid w:val="002B768E"/>
    <w:rsid w:val="002C0366"/>
    <w:rsid w:val="002C0ADA"/>
    <w:rsid w:val="002C4193"/>
    <w:rsid w:val="002C44A2"/>
    <w:rsid w:val="002C73B8"/>
    <w:rsid w:val="002D021F"/>
    <w:rsid w:val="002E5E13"/>
    <w:rsid w:val="002F32E1"/>
    <w:rsid w:val="00304024"/>
    <w:rsid w:val="00312310"/>
    <w:rsid w:val="0035022D"/>
    <w:rsid w:val="0036726E"/>
    <w:rsid w:val="00370E74"/>
    <w:rsid w:val="00377846"/>
    <w:rsid w:val="003903E1"/>
    <w:rsid w:val="00393DAD"/>
    <w:rsid w:val="003A0ACA"/>
    <w:rsid w:val="003A1C07"/>
    <w:rsid w:val="003C0519"/>
    <w:rsid w:val="003C33C8"/>
    <w:rsid w:val="003C6072"/>
    <w:rsid w:val="003E1C4D"/>
    <w:rsid w:val="003F08DB"/>
    <w:rsid w:val="003F3EB3"/>
    <w:rsid w:val="0040191E"/>
    <w:rsid w:val="004047B7"/>
    <w:rsid w:val="00406813"/>
    <w:rsid w:val="00417BD5"/>
    <w:rsid w:val="00433467"/>
    <w:rsid w:val="00436DEF"/>
    <w:rsid w:val="00443F30"/>
    <w:rsid w:val="004632AB"/>
    <w:rsid w:val="00471DF5"/>
    <w:rsid w:val="00472ACA"/>
    <w:rsid w:val="004945D3"/>
    <w:rsid w:val="00497AA0"/>
    <w:rsid w:val="004C043A"/>
    <w:rsid w:val="004C24EE"/>
    <w:rsid w:val="004C2FF8"/>
    <w:rsid w:val="004D45A9"/>
    <w:rsid w:val="004E52FD"/>
    <w:rsid w:val="00504FCB"/>
    <w:rsid w:val="00514D59"/>
    <w:rsid w:val="005176F5"/>
    <w:rsid w:val="00517735"/>
    <w:rsid w:val="0052053B"/>
    <w:rsid w:val="00521B5A"/>
    <w:rsid w:val="00533EDE"/>
    <w:rsid w:val="0054008A"/>
    <w:rsid w:val="005400C5"/>
    <w:rsid w:val="00540CE4"/>
    <w:rsid w:val="00550680"/>
    <w:rsid w:val="005532F3"/>
    <w:rsid w:val="00554A6D"/>
    <w:rsid w:val="0055534C"/>
    <w:rsid w:val="005654DC"/>
    <w:rsid w:val="005776CA"/>
    <w:rsid w:val="00594D1E"/>
    <w:rsid w:val="005A1C52"/>
    <w:rsid w:val="005B2FEE"/>
    <w:rsid w:val="005B7AE6"/>
    <w:rsid w:val="005C5F4F"/>
    <w:rsid w:val="005E0757"/>
    <w:rsid w:val="005E5160"/>
    <w:rsid w:val="005E793E"/>
    <w:rsid w:val="005F3C8B"/>
    <w:rsid w:val="00604C2A"/>
    <w:rsid w:val="00611136"/>
    <w:rsid w:val="00611BB4"/>
    <w:rsid w:val="00617F87"/>
    <w:rsid w:val="00630D0A"/>
    <w:rsid w:val="00634151"/>
    <w:rsid w:val="006518AE"/>
    <w:rsid w:val="00654A73"/>
    <w:rsid w:val="00654B62"/>
    <w:rsid w:val="00660B16"/>
    <w:rsid w:val="00676527"/>
    <w:rsid w:val="0068790B"/>
    <w:rsid w:val="006A78DA"/>
    <w:rsid w:val="006B6DEB"/>
    <w:rsid w:val="006C0E41"/>
    <w:rsid w:val="006C19F7"/>
    <w:rsid w:val="006C4DDA"/>
    <w:rsid w:val="006D06B1"/>
    <w:rsid w:val="006D07B1"/>
    <w:rsid w:val="006D3E93"/>
    <w:rsid w:val="006D6E73"/>
    <w:rsid w:val="006E3D1A"/>
    <w:rsid w:val="006E50BC"/>
    <w:rsid w:val="006F2192"/>
    <w:rsid w:val="006F4369"/>
    <w:rsid w:val="006F487C"/>
    <w:rsid w:val="00704997"/>
    <w:rsid w:val="007148E0"/>
    <w:rsid w:val="00717131"/>
    <w:rsid w:val="00730DFD"/>
    <w:rsid w:val="0074258B"/>
    <w:rsid w:val="00742DF8"/>
    <w:rsid w:val="00745629"/>
    <w:rsid w:val="00751613"/>
    <w:rsid w:val="00751E57"/>
    <w:rsid w:val="007656A1"/>
    <w:rsid w:val="00770C2A"/>
    <w:rsid w:val="00771385"/>
    <w:rsid w:val="0077186D"/>
    <w:rsid w:val="0077510B"/>
    <w:rsid w:val="00780EAE"/>
    <w:rsid w:val="0078627A"/>
    <w:rsid w:val="0079249D"/>
    <w:rsid w:val="007A54C7"/>
    <w:rsid w:val="007C1884"/>
    <w:rsid w:val="007D07DD"/>
    <w:rsid w:val="007E49A8"/>
    <w:rsid w:val="007F6DB5"/>
    <w:rsid w:val="00806117"/>
    <w:rsid w:val="0081735B"/>
    <w:rsid w:val="00822F82"/>
    <w:rsid w:val="00841F32"/>
    <w:rsid w:val="00844787"/>
    <w:rsid w:val="00852C46"/>
    <w:rsid w:val="00854B8F"/>
    <w:rsid w:val="00856CAC"/>
    <w:rsid w:val="00864813"/>
    <w:rsid w:val="00867FBD"/>
    <w:rsid w:val="00875801"/>
    <w:rsid w:val="00880D04"/>
    <w:rsid w:val="00883FED"/>
    <w:rsid w:val="008952FE"/>
    <w:rsid w:val="008A2475"/>
    <w:rsid w:val="008A2F02"/>
    <w:rsid w:val="008A7E7C"/>
    <w:rsid w:val="008B03DB"/>
    <w:rsid w:val="008B7A82"/>
    <w:rsid w:val="008C1D8A"/>
    <w:rsid w:val="008C5373"/>
    <w:rsid w:val="008D1A6D"/>
    <w:rsid w:val="008D568D"/>
    <w:rsid w:val="008D77AE"/>
    <w:rsid w:val="008E29F5"/>
    <w:rsid w:val="008E76EB"/>
    <w:rsid w:val="008F2EC7"/>
    <w:rsid w:val="009030A3"/>
    <w:rsid w:val="009055C9"/>
    <w:rsid w:val="00912539"/>
    <w:rsid w:val="00912AD3"/>
    <w:rsid w:val="00920065"/>
    <w:rsid w:val="00940226"/>
    <w:rsid w:val="00941BAB"/>
    <w:rsid w:val="009438B7"/>
    <w:rsid w:val="0095785A"/>
    <w:rsid w:val="00981A31"/>
    <w:rsid w:val="00984027"/>
    <w:rsid w:val="009B044F"/>
    <w:rsid w:val="009B096A"/>
    <w:rsid w:val="009B5DE7"/>
    <w:rsid w:val="009B6E5F"/>
    <w:rsid w:val="009C1C2D"/>
    <w:rsid w:val="009C3AA3"/>
    <w:rsid w:val="009D27CD"/>
    <w:rsid w:val="009D784A"/>
    <w:rsid w:val="009E4300"/>
    <w:rsid w:val="009F55AD"/>
    <w:rsid w:val="009F740D"/>
    <w:rsid w:val="00A038D1"/>
    <w:rsid w:val="00A04036"/>
    <w:rsid w:val="00A068D8"/>
    <w:rsid w:val="00A17384"/>
    <w:rsid w:val="00A221C8"/>
    <w:rsid w:val="00A26CA3"/>
    <w:rsid w:val="00A30FFD"/>
    <w:rsid w:val="00A3333F"/>
    <w:rsid w:val="00A47E13"/>
    <w:rsid w:val="00A54E1C"/>
    <w:rsid w:val="00A6674C"/>
    <w:rsid w:val="00A66AF2"/>
    <w:rsid w:val="00A75A12"/>
    <w:rsid w:val="00A83F60"/>
    <w:rsid w:val="00A8643E"/>
    <w:rsid w:val="00A87672"/>
    <w:rsid w:val="00A90641"/>
    <w:rsid w:val="00AA0FCF"/>
    <w:rsid w:val="00AA6377"/>
    <w:rsid w:val="00AB5A33"/>
    <w:rsid w:val="00AC0BE8"/>
    <w:rsid w:val="00AC5141"/>
    <w:rsid w:val="00AD043F"/>
    <w:rsid w:val="00AD6628"/>
    <w:rsid w:val="00AE326B"/>
    <w:rsid w:val="00AE7DFF"/>
    <w:rsid w:val="00B01EC1"/>
    <w:rsid w:val="00B075C9"/>
    <w:rsid w:val="00B11F2B"/>
    <w:rsid w:val="00B13E43"/>
    <w:rsid w:val="00B141C9"/>
    <w:rsid w:val="00B1535E"/>
    <w:rsid w:val="00B15E89"/>
    <w:rsid w:val="00B300B6"/>
    <w:rsid w:val="00B371FB"/>
    <w:rsid w:val="00B406E7"/>
    <w:rsid w:val="00B44131"/>
    <w:rsid w:val="00B47584"/>
    <w:rsid w:val="00B53D1B"/>
    <w:rsid w:val="00B6357A"/>
    <w:rsid w:val="00B73E16"/>
    <w:rsid w:val="00BA317F"/>
    <w:rsid w:val="00BA5D2B"/>
    <w:rsid w:val="00BA5FA5"/>
    <w:rsid w:val="00BA6911"/>
    <w:rsid w:val="00BB146C"/>
    <w:rsid w:val="00BB52D3"/>
    <w:rsid w:val="00BC13E5"/>
    <w:rsid w:val="00BC1EA4"/>
    <w:rsid w:val="00BC4D0A"/>
    <w:rsid w:val="00BD2C48"/>
    <w:rsid w:val="00BD3FF6"/>
    <w:rsid w:val="00BD6102"/>
    <w:rsid w:val="00BF12AC"/>
    <w:rsid w:val="00BF4443"/>
    <w:rsid w:val="00C00600"/>
    <w:rsid w:val="00C1026A"/>
    <w:rsid w:val="00C1267A"/>
    <w:rsid w:val="00C1699D"/>
    <w:rsid w:val="00C32AE8"/>
    <w:rsid w:val="00C34B97"/>
    <w:rsid w:val="00C37C3D"/>
    <w:rsid w:val="00C62840"/>
    <w:rsid w:val="00C65C89"/>
    <w:rsid w:val="00C7085B"/>
    <w:rsid w:val="00C742C0"/>
    <w:rsid w:val="00C95304"/>
    <w:rsid w:val="00C97EBB"/>
    <w:rsid w:val="00CB5834"/>
    <w:rsid w:val="00CC0322"/>
    <w:rsid w:val="00CC371D"/>
    <w:rsid w:val="00CC7A8E"/>
    <w:rsid w:val="00CD3CF4"/>
    <w:rsid w:val="00CE26AB"/>
    <w:rsid w:val="00CE383A"/>
    <w:rsid w:val="00CE7D95"/>
    <w:rsid w:val="00CF582F"/>
    <w:rsid w:val="00CF7014"/>
    <w:rsid w:val="00D15AAD"/>
    <w:rsid w:val="00D17C59"/>
    <w:rsid w:val="00D45052"/>
    <w:rsid w:val="00D57FFB"/>
    <w:rsid w:val="00D63753"/>
    <w:rsid w:val="00D665A0"/>
    <w:rsid w:val="00D710A5"/>
    <w:rsid w:val="00D77893"/>
    <w:rsid w:val="00D83133"/>
    <w:rsid w:val="00D84BE0"/>
    <w:rsid w:val="00D8748A"/>
    <w:rsid w:val="00D9125D"/>
    <w:rsid w:val="00D9179E"/>
    <w:rsid w:val="00DA6706"/>
    <w:rsid w:val="00DB3290"/>
    <w:rsid w:val="00DB5D69"/>
    <w:rsid w:val="00DC2360"/>
    <w:rsid w:val="00DC4A2B"/>
    <w:rsid w:val="00DD40C3"/>
    <w:rsid w:val="00DE55B1"/>
    <w:rsid w:val="00DE5C53"/>
    <w:rsid w:val="00DF64D5"/>
    <w:rsid w:val="00E0137C"/>
    <w:rsid w:val="00E07731"/>
    <w:rsid w:val="00E11124"/>
    <w:rsid w:val="00E23CEB"/>
    <w:rsid w:val="00E24452"/>
    <w:rsid w:val="00E300BC"/>
    <w:rsid w:val="00E327E6"/>
    <w:rsid w:val="00E32BC8"/>
    <w:rsid w:val="00E338B0"/>
    <w:rsid w:val="00E408CE"/>
    <w:rsid w:val="00E531A4"/>
    <w:rsid w:val="00E60A63"/>
    <w:rsid w:val="00E611CB"/>
    <w:rsid w:val="00E6210B"/>
    <w:rsid w:val="00E74A02"/>
    <w:rsid w:val="00E75E4B"/>
    <w:rsid w:val="00E85A87"/>
    <w:rsid w:val="00E87AA7"/>
    <w:rsid w:val="00E87BC3"/>
    <w:rsid w:val="00E94356"/>
    <w:rsid w:val="00EA3866"/>
    <w:rsid w:val="00EB0119"/>
    <w:rsid w:val="00EB33BA"/>
    <w:rsid w:val="00EB3DAA"/>
    <w:rsid w:val="00EB5B44"/>
    <w:rsid w:val="00ED21F4"/>
    <w:rsid w:val="00EE3AF0"/>
    <w:rsid w:val="00EF4F9A"/>
    <w:rsid w:val="00EF556F"/>
    <w:rsid w:val="00F05CED"/>
    <w:rsid w:val="00F1065A"/>
    <w:rsid w:val="00F2247E"/>
    <w:rsid w:val="00F24A14"/>
    <w:rsid w:val="00F322BB"/>
    <w:rsid w:val="00F41D47"/>
    <w:rsid w:val="00F570F0"/>
    <w:rsid w:val="00F7155D"/>
    <w:rsid w:val="00F72C32"/>
    <w:rsid w:val="00F73B12"/>
    <w:rsid w:val="00F74D46"/>
    <w:rsid w:val="00F829BE"/>
    <w:rsid w:val="00F92281"/>
    <w:rsid w:val="00F9759C"/>
    <w:rsid w:val="00F97DA0"/>
    <w:rsid w:val="00FA35F8"/>
    <w:rsid w:val="00FA788C"/>
    <w:rsid w:val="00FB0B7C"/>
    <w:rsid w:val="00FB6D0C"/>
    <w:rsid w:val="00FD10D0"/>
    <w:rsid w:val="00FD1EE7"/>
    <w:rsid w:val="00FD5071"/>
    <w:rsid w:val="00FF2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3"/>
    <o:shapelayout v:ext="edit">
      <o:idmap v:ext="edit" data="1"/>
    </o:shapelayout>
  </w:shapeDefaults>
  <w:decimalSymbol w:val=","/>
  <w:listSeparator w:val=";"/>
  <w14:docId w14:val="4D6710AE"/>
  <w15:chartTrackingRefBased/>
  <w15:docId w15:val="{855963A2-4DCA-4168-8887-ADD7A8D000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F2247E"/>
  </w:style>
  <w:style w:type="paragraph" w:styleId="Nagwek1">
    <w:name w:val="heading 1"/>
    <w:basedOn w:val="Normalny"/>
    <w:next w:val="Normalny"/>
    <w:link w:val="Nagwek1Znak"/>
    <w:qFormat/>
    <w:rsid w:val="006D07B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F2247E"/>
    <w:pPr>
      <w:keepNext/>
      <w:outlineLvl w:val="1"/>
    </w:pPr>
    <w:rPr>
      <w:rFonts w:ascii="Arial" w:hAnsi="Arial"/>
      <w:b/>
      <w:sz w:val="24"/>
    </w:rPr>
  </w:style>
  <w:style w:type="paragraph" w:styleId="Nagwek4">
    <w:name w:val="heading 4"/>
    <w:basedOn w:val="Normalny"/>
    <w:next w:val="Normalny"/>
    <w:link w:val="Nagwek4Znak"/>
    <w:qFormat/>
    <w:rsid w:val="00F2247E"/>
    <w:pPr>
      <w:keepNext/>
      <w:outlineLvl w:val="3"/>
    </w:pPr>
    <w:rPr>
      <w:sz w:val="24"/>
    </w:rPr>
  </w:style>
  <w:style w:type="paragraph" w:styleId="Nagwek5">
    <w:name w:val="heading 5"/>
    <w:basedOn w:val="Normalny"/>
    <w:next w:val="Normalny"/>
    <w:link w:val="Nagwek5Znak"/>
    <w:qFormat/>
    <w:rsid w:val="00F2247E"/>
    <w:pPr>
      <w:keepNext/>
      <w:jc w:val="right"/>
      <w:outlineLvl w:val="4"/>
    </w:pPr>
    <w:rPr>
      <w:rFonts w:ascii="Arial" w:hAnsi="Arial"/>
      <w:b/>
      <w:sz w:val="24"/>
    </w:rPr>
  </w:style>
  <w:style w:type="paragraph" w:styleId="Nagwek8">
    <w:name w:val="heading 8"/>
    <w:basedOn w:val="Normalny"/>
    <w:next w:val="Normalny"/>
    <w:link w:val="Nagwek8Znak"/>
    <w:qFormat/>
    <w:rsid w:val="00F2247E"/>
    <w:pPr>
      <w:keepNext/>
      <w:jc w:val="center"/>
      <w:outlineLvl w:val="7"/>
    </w:pPr>
    <w:rPr>
      <w:b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4Znak">
    <w:name w:val="Nagłówek 4 Znak"/>
    <w:link w:val="Nagwek4"/>
    <w:rsid w:val="00F2247E"/>
    <w:rPr>
      <w:sz w:val="24"/>
      <w:lang w:val="pl-PL" w:eastAsia="pl-PL" w:bidi="ar-SA"/>
    </w:rPr>
  </w:style>
  <w:style w:type="character" w:customStyle="1" w:styleId="Nagwek5Znak">
    <w:name w:val="Nagłówek 5 Znak"/>
    <w:link w:val="Nagwek5"/>
    <w:rsid w:val="00F2247E"/>
    <w:rPr>
      <w:rFonts w:ascii="Arial" w:hAnsi="Arial"/>
      <w:b/>
      <w:sz w:val="24"/>
      <w:lang w:val="pl-PL" w:eastAsia="pl-PL" w:bidi="ar-SA"/>
    </w:rPr>
  </w:style>
  <w:style w:type="character" w:customStyle="1" w:styleId="Nagwek8Znak">
    <w:name w:val="Nagłówek 8 Znak"/>
    <w:link w:val="Nagwek8"/>
    <w:rsid w:val="00F2247E"/>
    <w:rPr>
      <w:b/>
      <w:lang w:val="pl-PL" w:eastAsia="pl-PL" w:bidi="ar-SA"/>
    </w:rPr>
  </w:style>
  <w:style w:type="paragraph" w:styleId="Tekstpodstawowy">
    <w:name w:val="Body Text"/>
    <w:basedOn w:val="Normalny"/>
    <w:link w:val="TekstpodstawowyZnak"/>
    <w:rsid w:val="00F2247E"/>
    <w:rPr>
      <w:sz w:val="24"/>
    </w:rPr>
  </w:style>
  <w:style w:type="character" w:customStyle="1" w:styleId="TekstpodstawowyZnak">
    <w:name w:val="Tekst podstawowy Znak"/>
    <w:link w:val="Tekstpodstawowy"/>
    <w:rsid w:val="00F2247E"/>
    <w:rPr>
      <w:sz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F2247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2247E"/>
    <w:rPr>
      <w:lang w:val="pl-PL" w:eastAsia="pl-PL" w:bidi="ar-SA"/>
    </w:rPr>
  </w:style>
  <w:style w:type="paragraph" w:styleId="Stopka">
    <w:name w:val="footer"/>
    <w:basedOn w:val="Normalny"/>
    <w:link w:val="StopkaZnak"/>
    <w:rsid w:val="00DC4A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DC4A2B"/>
  </w:style>
  <w:style w:type="paragraph" w:styleId="Akapitzlist">
    <w:name w:val="List Paragraph"/>
    <w:basedOn w:val="Normalny"/>
    <w:uiPriority w:val="34"/>
    <w:qFormat/>
    <w:rsid w:val="00CC7A8E"/>
    <w:pPr>
      <w:ind w:left="708"/>
    </w:pPr>
  </w:style>
  <w:style w:type="paragraph" w:styleId="Tekstdymka">
    <w:name w:val="Balloon Text"/>
    <w:basedOn w:val="Normalny"/>
    <w:link w:val="TekstdymkaZnak"/>
    <w:rsid w:val="002C0AD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2C0ADA"/>
    <w:rPr>
      <w:rFonts w:ascii="Tahoma" w:hAnsi="Tahoma" w:cs="Tahoma"/>
      <w:sz w:val="16"/>
      <w:szCs w:val="16"/>
    </w:rPr>
  </w:style>
  <w:style w:type="character" w:styleId="Hipercze">
    <w:name w:val="Hyperlink"/>
    <w:rsid w:val="00981A31"/>
    <w:rPr>
      <w:color w:val="0000FF"/>
      <w:u w:val="single"/>
    </w:rPr>
  </w:style>
  <w:style w:type="character" w:customStyle="1" w:styleId="Nagwek1Znak">
    <w:name w:val="Nagłówek 1 Znak"/>
    <w:link w:val="Nagwek1"/>
    <w:rsid w:val="006D07B1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Tekstprzypisudolnego">
    <w:name w:val="footnote text"/>
    <w:basedOn w:val="Normalny"/>
    <w:link w:val="TekstprzypisudolnegoZnak"/>
    <w:unhideWhenUsed/>
    <w:rsid w:val="006D07B1"/>
    <w:pPr>
      <w:suppressAutoHyphens/>
    </w:pPr>
    <w:rPr>
      <w:rFonts w:cs="Calibri"/>
      <w:lang w:eastAsia="ar-SA"/>
    </w:rPr>
  </w:style>
  <w:style w:type="character" w:customStyle="1" w:styleId="TekstprzypisudolnegoZnak">
    <w:name w:val="Tekst przypisu dolnego Znak"/>
    <w:link w:val="Tekstprzypisudolnego"/>
    <w:rsid w:val="006D07B1"/>
    <w:rPr>
      <w:rFonts w:cs="Calibri"/>
      <w:lang w:eastAsia="ar-SA"/>
    </w:rPr>
  </w:style>
  <w:style w:type="paragraph" w:customStyle="1" w:styleId="product-description">
    <w:name w:val="product-description"/>
    <w:basedOn w:val="Normalny"/>
    <w:rsid w:val="000C504F"/>
    <w:pPr>
      <w:spacing w:before="100" w:beforeAutospacing="1" w:after="100" w:afterAutospacing="1"/>
    </w:pPr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517735"/>
    <w:pPr>
      <w:spacing w:before="100" w:beforeAutospacing="1" w:after="119"/>
    </w:pPr>
    <w:rPr>
      <w:sz w:val="24"/>
      <w:szCs w:val="24"/>
    </w:rPr>
  </w:style>
  <w:style w:type="character" w:styleId="Pogrubienie">
    <w:name w:val="Strong"/>
    <w:uiPriority w:val="22"/>
    <w:qFormat/>
    <w:rsid w:val="00B15E89"/>
    <w:rPr>
      <w:b/>
      <w:bCs/>
    </w:rPr>
  </w:style>
  <w:style w:type="paragraph" w:styleId="Bezodstpw">
    <w:name w:val="No Spacing"/>
    <w:uiPriority w:val="1"/>
    <w:qFormat/>
    <w:rsid w:val="00B15E89"/>
  </w:style>
  <w:style w:type="table" w:styleId="Tabela-Siatka">
    <w:name w:val="Table Grid"/>
    <w:basedOn w:val="Standardowy"/>
    <w:rsid w:val="00E74A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04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6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3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1C6825551F6245ACA80E4BA01A996B" ma:contentTypeVersion="18" ma:contentTypeDescription="Utwórz nowy dokument." ma:contentTypeScope="" ma:versionID="173204d4dbdfd40ce26999f4ef3c60c2">
  <xsd:schema xmlns:xsd="http://www.w3.org/2001/XMLSchema" xmlns:xs="http://www.w3.org/2001/XMLSchema" xmlns:p="http://schemas.microsoft.com/office/2006/metadata/properties" xmlns:ns3="95f79286-34b9-4f28-bf71-e1f7b7e20e9a" xmlns:ns4="6911d08f-30fe-41f2-b7a9-826573871485" targetNamespace="http://schemas.microsoft.com/office/2006/metadata/properties" ma:root="true" ma:fieldsID="0794edc4592d4124b52954b1ef017a9f" ns3:_="" ns4:_="">
    <xsd:import namespace="95f79286-34b9-4f28-bf71-e1f7b7e20e9a"/>
    <xsd:import namespace="6911d08f-30fe-41f2-b7a9-82657387148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LengthInSeconds" minOccurs="0"/>
                <xsd:element ref="ns3:MediaServiceSystemTags" minOccurs="0"/>
                <xsd:element ref="ns3:MediaServiceSearchPropertie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f79286-34b9-4f28-bf71-e1f7b7e20e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ystemTags" ma:index="2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5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11d08f-30fe-41f2-b7a9-82657387148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5f79286-34b9-4f28-bf71-e1f7b7e20e9a" xsi:nil="true"/>
  </documentManagement>
</p:properties>
</file>

<file path=customXml/itemProps1.xml><?xml version="1.0" encoding="utf-8"?>
<ds:datastoreItem xmlns:ds="http://schemas.openxmlformats.org/officeDocument/2006/customXml" ds:itemID="{8651C462-DFDA-4A84-A45D-3840E778906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DF2DBB-5452-4534-872C-B077816FF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f79286-34b9-4f28-bf71-e1f7b7e20e9a"/>
    <ds:schemaRef ds:uri="6911d08f-30fe-41f2-b7a9-82657387148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049518-EC37-4610-B729-4731E9BEE22E}">
  <ds:schemaRefs>
    <ds:schemaRef ds:uri="http://schemas.openxmlformats.org/package/2006/metadata/core-properties"/>
    <ds:schemaRef ds:uri="http://www.w3.org/XML/1998/namespace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6911d08f-30fe-41f2-b7a9-826573871485"/>
    <ds:schemaRef ds:uri="95f79286-34b9-4f28-bf71-e1f7b7e20e9a"/>
    <ds:schemaRef ds:uri="http://schemas.microsoft.com/office/2006/metadata/properties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14</Pages>
  <Words>4233</Words>
  <Characters>28112</Characters>
  <Application>Microsoft Office Word</Application>
  <DocSecurity>0</DocSecurity>
  <Lines>234</Lines>
  <Paragraphs>64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PRZEDMIOTU ZAMÓWIENIA</vt:lpstr>
    </vt:vector>
  </TitlesOfParts>
  <Company/>
  <LinksUpToDate>false</LinksUpToDate>
  <CharactersWithSpaces>32281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PRZEDMIOTU ZAMÓWIENIA</dc:title>
  <dc:subject/>
  <dc:creator>Jarosław Rzeczkowski</dc:creator>
  <cp:keywords/>
  <cp:lastModifiedBy>Jarosław Rzeczkowski</cp:lastModifiedBy>
  <cp:revision>13</cp:revision>
  <cp:lastPrinted>2013-01-30T07:20:00Z</cp:lastPrinted>
  <dcterms:created xsi:type="dcterms:W3CDTF">2026-02-24T18:08:00Z</dcterms:created>
  <dcterms:modified xsi:type="dcterms:W3CDTF">2026-08-12T07:37:00Z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0x010100631C6825551F6245ACA80E4BA01A996B</vt:lpwstr>
  </property>
</Properties>
</file>