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7DCC497E" w:rsidR="000A73E2" w:rsidRPr="00C02975" w:rsidRDefault="00C02975" w:rsidP="00C02975">
      <w:pPr>
        <w:jc w:val="right"/>
        <w:rPr>
          <w:rFonts w:ascii="Tahoma" w:hAnsi="Tahoma" w:cs="Tahoma"/>
          <w:b/>
          <w:bCs/>
        </w:rPr>
      </w:pPr>
      <w:r w:rsidRPr="72787B15">
        <w:rPr>
          <w:rFonts w:ascii="Tahoma" w:hAnsi="Tahoma" w:cs="Tahoma"/>
          <w:b/>
          <w:bCs/>
        </w:rPr>
        <w:t>Załącznik 1</w:t>
      </w:r>
      <w:r w:rsidR="00BF6D5D">
        <w:rPr>
          <w:rFonts w:ascii="Tahoma" w:hAnsi="Tahoma" w:cs="Tahoma"/>
          <w:b/>
          <w:bCs/>
        </w:rPr>
        <w:t>.1</w:t>
      </w:r>
      <w:r w:rsidR="00162BA6">
        <w:rPr>
          <w:rFonts w:ascii="Tahoma" w:hAnsi="Tahoma" w:cs="Tahoma"/>
          <w:b/>
          <w:bCs/>
        </w:rPr>
        <w:t>4</w:t>
      </w:r>
    </w:p>
    <w:p w14:paraId="19B52394" w14:textId="1452F03E" w:rsidR="00200170" w:rsidRPr="00C02975" w:rsidRDefault="00C02975" w:rsidP="000A73E2">
      <w:pPr>
        <w:rPr>
          <w:rFonts w:ascii="Tahoma" w:hAnsi="Tahoma" w:cs="Tahoma"/>
          <w:b/>
          <w:bCs/>
        </w:rPr>
      </w:pPr>
      <w:r w:rsidRPr="00C02975">
        <w:rPr>
          <w:rFonts w:ascii="Tahoma" w:hAnsi="Tahoma" w:cs="Tahoma"/>
          <w:b/>
          <w:bCs/>
        </w:rPr>
        <w:t xml:space="preserve">Zakup urządzenia typu </w:t>
      </w:r>
      <w:proofErr w:type="spellStart"/>
      <w:r w:rsidRPr="00C02975">
        <w:rPr>
          <w:rFonts w:ascii="Tahoma" w:hAnsi="Tahoma" w:cs="Tahoma"/>
          <w:b/>
          <w:bCs/>
        </w:rPr>
        <w:t>writeblocker</w:t>
      </w:r>
      <w:proofErr w:type="spellEnd"/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10"/>
        <w:gridCol w:w="2202"/>
        <w:gridCol w:w="6616"/>
      </w:tblGrid>
      <w:tr w:rsidR="002A7C7C" w:rsidRPr="002A7C7C" w14:paraId="1FE2250C" w14:textId="77777777" w:rsidTr="477A6727">
        <w:tc>
          <w:tcPr>
            <w:tcW w:w="810" w:type="dxa"/>
            <w:vAlign w:val="center"/>
            <w:hideMark/>
          </w:tcPr>
          <w:p w14:paraId="2246A3B7" w14:textId="77777777" w:rsidR="002A7C7C" w:rsidRPr="002A7C7C" w:rsidRDefault="002A7C7C" w:rsidP="004A0881">
            <w:pPr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02" w:type="dxa"/>
            <w:vAlign w:val="center"/>
            <w:hideMark/>
          </w:tcPr>
          <w:p w14:paraId="0B036AF7" w14:textId="77777777" w:rsidR="002A7C7C" w:rsidRPr="002A7C7C" w:rsidRDefault="002A7C7C" w:rsidP="004A088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616" w:type="dxa"/>
            <w:hideMark/>
          </w:tcPr>
          <w:p w14:paraId="1D2B4426" w14:textId="77777777" w:rsidR="002A7C7C" w:rsidRPr="002A7C7C" w:rsidRDefault="002A7C7C" w:rsidP="004A088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2A7C7C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2A7C7C" w:rsidRPr="002A7C7C" w14:paraId="3DBAFF69" w14:textId="77777777" w:rsidTr="477A6727">
        <w:tc>
          <w:tcPr>
            <w:tcW w:w="810" w:type="dxa"/>
            <w:vAlign w:val="center"/>
            <w:hideMark/>
          </w:tcPr>
          <w:p w14:paraId="41B3FC8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</w:p>
        </w:tc>
        <w:tc>
          <w:tcPr>
            <w:tcW w:w="2202" w:type="dxa"/>
            <w:vAlign w:val="center"/>
            <w:hideMark/>
          </w:tcPr>
          <w:p w14:paraId="30EB7F3E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616" w:type="dxa"/>
            <w:hideMark/>
          </w:tcPr>
          <w:p w14:paraId="557D29D7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Przedmiotem zamówienia jest dostawa sprzętowego urządzenia typu </w:t>
            </w:r>
            <w:proofErr w:type="spellStart"/>
            <w:r w:rsidRPr="72787B15">
              <w:rPr>
                <w:rFonts w:ascii="Tahoma" w:hAnsi="Tahoma" w:cs="Tahoma"/>
              </w:rPr>
              <w:t>WriteBlocker</w:t>
            </w:r>
            <w:proofErr w:type="spellEnd"/>
            <w:r w:rsidRPr="72787B15">
              <w:rPr>
                <w:rFonts w:ascii="Tahoma" w:hAnsi="Tahoma" w:cs="Tahoma"/>
              </w:rPr>
              <w:t xml:space="preserve"> przeznaczonego do bezpiecznego podłączania nośników danych w celu ich analizy, odczytu lub wykonywania kopii binarnych bez możliwości modyfikacji danych źródłowych.</w:t>
            </w:r>
          </w:p>
        </w:tc>
      </w:tr>
      <w:tr w:rsidR="002A7C7C" w:rsidRPr="002A7C7C" w14:paraId="3392590A" w14:textId="77777777" w:rsidTr="477A6727">
        <w:tc>
          <w:tcPr>
            <w:tcW w:w="810" w:type="dxa"/>
            <w:vAlign w:val="center"/>
            <w:hideMark/>
          </w:tcPr>
          <w:p w14:paraId="49E544F9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2</w:t>
            </w:r>
          </w:p>
        </w:tc>
        <w:tc>
          <w:tcPr>
            <w:tcW w:w="2202" w:type="dxa"/>
            <w:vAlign w:val="center"/>
            <w:hideMark/>
          </w:tcPr>
          <w:p w14:paraId="7B93D88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Typ urządzenia</w:t>
            </w:r>
          </w:p>
        </w:tc>
        <w:tc>
          <w:tcPr>
            <w:tcW w:w="6616" w:type="dxa"/>
            <w:hideMark/>
          </w:tcPr>
          <w:p w14:paraId="71E6853D" w14:textId="72B70254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Sprzętowy </w:t>
            </w:r>
            <w:proofErr w:type="spellStart"/>
            <w:r w:rsidRPr="72787B15">
              <w:rPr>
                <w:rFonts w:ascii="Tahoma" w:hAnsi="Tahoma" w:cs="Tahoma"/>
              </w:rPr>
              <w:t>write</w:t>
            </w:r>
            <w:proofErr w:type="spellEnd"/>
            <w:r w:rsidRPr="72787B15">
              <w:rPr>
                <w:rFonts w:ascii="Tahoma" w:hAnsi="Tahoma" w:cs="Tahoma"/>
              </w:rPr>
              <w:t xml:space="preserve"> </w:t>
            </w:r>
            <w:proofErr w:type="spellStart"/>
            <w:r w:rsidRPr="72787B15">
              <w:rPr>
                <w:rFonts w:ascii="Tahoma" w:hAnsi="Tahoma" w:cs="Tahoma"/>
              </w:rPr>
              <w:t>blocker</w:t>
            </w:r>
            <w:proofErr w:type="spellEnd"/>
            <w:r w:rsidRPr="72787B15">
              <w:rPr>
                <w:rFonts w:ascii="Tahoma" w:hAnsi="Tahoma" w:cs="Tahoma"/>
              </w:rPr>
              <w:t xml:space="preserve"> przeznaczony do zastosowań informatyki śledczej, analizy incydentów bezpieczeństwa lub odzyskiwania danych.</w:t>
            </w:r>
          </w:p>
        </w:tc>
      </w:tr>
      <w:tr w:rsidR="002A7C7C" w:rsidRPr="002A7C7C" w14:paraId="740CD958" w14:textId="77777777" w:rsidTr="477A6727">
        <w:tc>
          <w:tcPr>
            <w:tcW w:w="810" w:type="dxa"/>
            <w:vAlign w:val="center"/>
            <w:hideMark/>
          </w:tcPr>
          <w:p w14:paraId="106EB36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3</w:t>
            </w:r>
          </w:p>
        </w:tc>
        <w:tc>
          <w:tcPr>
            <w:tcW w:w="2202" w:type="dxa"/>
            <w:vAlign w:val="center"/>
            <w:hideMark/>
          </w:tcPr>
          <w:p w14:paraId="01E5E119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Mechanizm blokowania zapisu</w:t>
            </w:r>
          </w:p>
        </w:tc>
        <w:tc>
          <w:tcPr>
            <w:tcW w:w="6616" w:type="dxa"/>
            <w:hideMark/>
          </w:tcPr>
          <w:p w14:paraId="6AF92BA9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zapewniać sprzętowe blokowanie operacji zapisu na podłączonym nośniku danych, uniemożliwiające modyfikację danych źródłowych podczas analizy lub wykonywania kopii.</w:t>
            </w:r>
          </w:p>
        </w:tc>
      </w:tr>
      <w:tr w:rsidR="002A7C7C" w:rsidRPr="002A7C7C" w14:paraId="387D519A" w14:textId="77777777" w:rsidTr="477A6727">
        <w:tc>
          <w:tcPr>
            <w:tcW w:w="810" w:type="dxa"/>
            <w:vAlign w:val="center"/>
            <w:hideMark/>
          </w:tcPr>
          <w:p w14:paraId="2BFB0BEB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4</w:t>
            </w:r>
          </w:p>
        </w:tc>
        <w:tc>
          <w:tcPr>
            <w:tcW w:w="2202" w:type="dxa"/>
            <w:vAlign w:val="center"/>
            <w:hideMark/>
          </w:tcPr>
          <w:p w14:paraId="5904EF17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Obsługiwane typy nośników</w:t>
            </w:r>
          </w:p>
        </w:tc>
        <w:tc>
          <w:tcPr>
            <w:tcW w:w="6616" w:type="dxa"/>
            <w:hideMark/>
          </w:tcPr>
          <w:p w14:paraId="2D553274" w14:textId="0BBC3206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umożliwiać pracę z co najmniej jednym z poniższych typów nośników danych:</w:t>
            </w:r>
            <w:r>
              <w:br/>
            </w:r>
            <w:r w:rsidRPr="72787B15">
              <w:rPr>
                <w:rFonts w:ascii="Tahoma" w:hAnsi="Tahoma" w:cs="Tahoma"/>
              </w:rPr>
              <w:t>• dyski SATA 2.5” lub 3.5”, w tym dyski SSD SATA,</w:t>
            </w:r>
            <w:r>
              <w:br/>
            </w:r>
            <w:r w:rsidRPr="72787B15">
              <w:rPr>
                <w:rFonts w:ascii="Tahoma" w:hAnsi="Tahoma" w:cs="Tahoma"/>
              </w:rPr>
              <w:t>• nośniki USB typu Mass Storage (np. pendrive, dysk zewnętrzny USB).</w:t>
            </w:r>
          </w:p>
        </w:tc>
      </w:tr>
      <w:tr w:rsidR="002A7C7C" w:rsidRPr="002A7C7C" w14:paraId="6CB7B93F" w14:textId="77777777" w:rsidTr="477A6727">
        <w:tc>
          <w:tcPr>
            <w:tcW w:w="810" w:type="dxa"/>
            <w:vAlign w:val="center"/>
            <w:hideMark/>
          </w:tcPr>
          <w:p w14:paraId="3AB04308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202" w:type="dxa"/>
            <w:vAlign w:val="center"/>
            <w:hideMark/>
          </w:tcPr>
          <w:p w14:paraId="17086BB1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interfejsów</w:t>
            </w:r>
          </w:p>
        </w:tc>
        <w:tc>
          <w:tcPr>
            <w:tcW w:w="6616" w:type="dxa"/>
            <w:hideMark/>
          </w:tcPr>
          <w:p w14:paraId="39181A5A" w14:textId="34F0E8E2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Urządzenie musi umożliwiać podłączenie do komputera hosta za pomocą interfejsu USB (np. USB 3.x) o przepustowości co najmniej 5 </w:t>
            </w:r>
            <w:proofErr w:type="spellStart"/>
            <w:r w:rsidRPr="72787B15">
              <w:rPr>
                <w:rFonts w:ascii="Tahoma" w:hAnsi="Tahoma" w:cs="Tahoma"/>
              </w:rPr>
              <w:t>Gbps</w:t>
            </w:r>
            <w:proofErr w:type="spellEnd"/>
            <w:r w:rsidRPr="72787B15">
              <w:rPr>
                <w:rFonts w:ascii="Tahoma" w:hAnsi="Tahoma" w:cs="Tahoma"/>
              </w:rPr>
              <w:t>.</w:t>
            </w:r>
          </w:p>
        </w:tc>
      </w:tr>
      <w:tr w:rsidR="002A7C7C" w:rsidRPr="002A7C7C" w14:paraId="160F5A0E" w14:textId="77777777" w:rsidTr="477A6727">
        <w:tc>
          <w:tcPr>
            <w:tcW w:w="810" w:type="dxa"/>
            <w:vAlign w:val="center"/>
            <w:hideMark/>
          </w:tcPr>
          <w:p w14:paraId="5F4A9BD3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6</w:t>
            </w:r>
          </w:p>
        </w:tc>
        <w:tc>
          <w:tcPr>
            <w:tcW w:w="2202" w:type="dxa"/>
            <w:vAlign w:val="center"/>
            <w:hideMark/>
          </w:tcPr>
          <w:p w14:paraId="4C48C3E5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portów urządzeń źródłowych</w:t>
            </w:r>
          </w:p>
        </w:tc>
        <w:tc>
          <w:tcPr>
            <w:tcW w:w="6616" w:type="dxa"/>
            <w:hideMark/>
          </w:tcPr>
          <w:p w14:paraId="1E9004A8" w14:textId="77777777" w:rsidR="002A7C7C" w:rsidRPr="002A7C7C" w:rsidRDefault="002A7C7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obsługiwać co najmniej jeden z poniższych typów interfejsów nośników danych: SATA, IDE/PATA lub USB Mass Storage.</w:t>
            </w:r>
          </w:p>
        </w:tc>
      </w:tr>
      <w:tr w:rsidR="002A7C7C" w:rsidRPr="002A7C7C" w14:paraId="3996DC49" w14:textId="77777777" w:rsidTr="477A6727">
        <w:tc>
          <w:tcPr>
            <w:tcW w:w="810" w:type="dxa"/>
            <w:vAlign w:val="center"/>
            <w:hideMark/>
          </w:tcPr>
          <w:p w14:paraId="65FE8754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7</w:t>
            </w:r>
          </w:p>
        </w:tc>
        <w:tc>
          <w:tcPr>
            <w:tcW w:w="2202" w:type="dxa"/>
            <w:vAlign w:val="center"/>
            <w:hideMark/>
          </w:tcPr>
          <w:p w14:paraId="709A7CDA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Tryb pracy</w:t>
            </w:r>
          </w:p>
        </w:tc>
        <w:tc>
          <w:tcPr>
            <w:tcW w:w="6616" w:type="dxa"/>
            <w:hideMark/>
          </w:tcPr>
          <w:p w14:paraId="71B4A124" w14:textId="59D5D76A" w:rsidR="002A7C7C" w:rsidRPr="002A7C7C" w:rsidRDefault="00C7700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Urządzenie musi umożliwiać pracę w trybie blokowania zapisu (</w:t>
            </w:r>
            <w:proofErr w:type="spellStart"/>
            <w:r w:rsidRPr="72787B15">
              <w:rPr>
                <w:rFonts w:ascii="Tahoma" w:hAnsi="Tahoma" w:cs="Tahoma"/>
              </w:rPr>
              <w:t>write-blocked</w:t>
            </w:r>
            <w:proofErr w:type="spellEnd"/>
            <w:r w:rsidRPr="72787B15">
              <w:rPr>
                <w:rFonts w:ascii="Tahoma" w:hAnsi="Tahoma" w:cs="Tahoma"/>
              </w:rPr>
              <w:t xml:space="preserve"> </w:t>
            </w:r>
            <w:proofErr w:type="spellStart"/>
            <w:r w:rsidRPr="72787B15">
              <w:rPr>
                <w:rFonts w:ascii="Tahoma" w:hAnsi="Tahoma" w:cs="Tahoma"/>
              </w:rPr>
              <w:t>mode</w:t>
            </w:r>
            <w:proofErr w:type="spellEnd"/>
            <w:r w:rsidRPr="72787B15">
              <w:rPr>
                <w:rFonts w:ascii="Tahoma" w:hAnsi="Tahoma" w:cs="Tahoma"/>
              </w:rPr>
              <w:t>), w którym operacje zapisu na nośniku źródłowym są blokowane sprzętowo.</w:t>
            </w:r>
            <w:r>
              <w:br/>
            </w:r>
            <w:r w:rsidRPr="72787B15">
              <w:rPr>
                <w:rFonts w:ascii="Tahoma" w:hAnsi="Tahoma" w:cs="Tahoma"/>
              </w:rPr>
              <w:t>Dopuszcza się, aby urządzenie oferowało wyłącznie tryb blokowania zapisu albo dodatkowo także tryb odczytu/zapisu, pod warunkiem że tryb blokowania zapisu jest jednoznacznie dostępny i możliwy do identyfikacji przez użytkownika.</w:t>
            </w:r>
          </w:p>
        </w:tc>
      </w:tr>
      <w:tr w:rsidR="002A7C7C" w:rsidRPr="002A7C7C" w14:paraId="779CC5E7" w14:textId="77777777" w:rsidTr="477A6727">
        <w:tc>
          <w:tcPr>
            <w:tcW w:w="810" w:type="dxa"/>
            <w:vAlign w:val="center"/>
            <w:hideMark/>
          </w:tcPr>
          <w:p w14:paraId="6B8DC03F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8</w:t>
            </w:r>
          </w:p>
        </w:tc>
        <w:tc>
          <w:tcPr>
            <w:tcW w:w="2202" w:type="dxa"/>
            <w:vAlign w:val="center"/>
            <w:hideMark/>
          </w:tcPr>
          <w:p w14:paraId="3815280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Obsługa sektorów dysków</w:t>
            </w:r>
          </w:p>
        </w:tc>
        <w:tc>
          <w:tcPr>
            <w:tcW w:w="6616" w:type="dxa"/>
            <w:hideMark/>
          </w:tcPr>
          <w:p w14:paraId="1EAD40D4" w14:textId="496FD8BF" w:rsidR="002A7C7C" w:rsidRPr="002A7C7C" w:rsidRDefault="00C7700C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W przypadku urządzeń obsługujących dyski SATA lub inne dyski blokowe, urządzenie musi obsługiwać dyski z sektorami co najmniej 512 bajtów lub 512e.</w:t>
            </w:r>
          </w:p>
        </w:tc>
      </w:tr>
      <w:tr w:rsidR="002A7C7C" w:rsidRPr="002A7C7C" w14:paraId="04FEA083" w14:textId="77777777" w:rsidTr="477A6727">
        <w:tc>
          <w:tcPr>
            <w:tcW w:w="810" w:type="dxa"/>
            <w:vAlign w:val="center"/>
            <w:hideMark/>
          </w:tcPr>
          <w:p w14:paraId="5461144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9</w:t>
            </w:r>
          </w:p>
        </w:tc>
        <w:tc>
          <w:tcPr>
            <w:tcW w:w="2202" w:type="dxa"/>
            <w:vAlign w:val="center"/>
            <w:hideMark/>
          </w:tcPr>
          <w:p w14:paraId="2B54784F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Wsparcie dla informacji diagnostycznych</w:t>
            </w:r>
          </w:p>
        </w:tc>
        <w:tc>
          <w:tcPr>
            <w:tcW w:w="6616" w:type="dxa"/>
            <w:hideMark/>
          </w:tcPr>
          <w:p w14:paraId="62983A3A" w14:textId="6C26D988" w:rsidR="002A7C7C" w:rsidRPr="002A7C7C" w:rsidRDefault="004A0881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W przypadku urządzeń obsługujących dyski SATA lub inne dyski blokowe urządzenie </w:t>
            </w:r>
            <w:r w:rsidR="00E70B77" w:rsidRPr="72787B15">
              <w:rPr>
                <w:rFonts w:ascii="Tahoma" w:hAnsi="Tahoma" w:cs="Tahoma"/>
              </w:rPr>
              <w:t>musi</w:t>
            </w:r>
            <w:r w:rsidRPr="72787B15">
              <w:rPr>
                <w:rFonts w:ascii="Tahoma" w:hAnsi="Tahoma" w:cs="Tahoma"/>
              </w:rPr>
              <w:t xml:space="preserve"> umożliwiać odczyt informacji diagnostycznych dysku</w:t>
            </w:r>
            <w:r w:rsidR="002A7C7C" w:rsidRPr="72787B15">
              <w:rPr>
                <w:rFonts w:ascii="Tahoma" w:hAnsi="Tahoma" w:cs="Tahoma"/>
              </w:rPr>
              <w:t>.</w:t>
            </w:r>
          </w:p>
        </w:tc>
      </w:tr>
      <w:tr w:rsidR="002A7C7C" w:rsidRPr="002A7C7C" w14:paraId="3BFC2141" w14:textId="77777777" w:rsidTr="477A6727">
        <w:tc>
          <w:tcPr>
            <w:tcW w:w="810" w:type="dxa"/>
            <w:vAlign w:val="center"/>
            <w:hideMark/>
          </w:tcPr>
          <w:p w14:paraId="5AD8E038" w14:textId="0427DDA2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0</w:t>
            </w:r>
          </w:p>
        </w:tc>
        <w:tc>
          <w:tcPr>
            <w:tcW w:w="2202" w:type="dxa"/>
            <w:vAlign w:val="center"/>
            <w:hideMark/>
          </w:tcPr>
          <w:p w14:paraId="4D1EB26A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Interfejs użytkownika</w:t>
            </w:r>
          </w:p>
        </w:tc>
        <w:tc>
          <w:tcPr>
            <w:tcW w:w="6616" w:type="dxa"/>
            <w:hideMark/>
          </w:tcPr>
          <w:p w14:paraId="2DAF5FD4" w14:textId="7D845C3A" w:rsidR="002A7C7C" w:rsidRPr="002A7C7C" w:rsidRDefault="32256342" w:rsidP="477A672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eastAsia="Tahoma" w:hAnsi="Tahoma" w:cs="Tahoma"/>
              </w:rPr>
              <w:t xml:space="preserve">Urządzenie musi być wyposażone w mechanizm informacyjny umożliwiający użytkownikowi identyfikację co najmniej stanu zasilania, gotowości do pracy oraz aktywnego trybu </w:t>
            </w:r>
            <w:r w:rsidRPr="477A6727">
              <w:rPr>
                <w:rFonts w:ascii="Tahoma" w:eastAsia="Tahoma" w:hAnsi="Tahoma" w:cs="Tahoma"/>
              </w:rPr>
              <w:lastRenderedPageBreak/>
              <w:t>blokowania zapisu, np. poprzez diody LED, wyświetlacz tekstowy lub równoważny mechanizm.</w:t>
            </w:r>
          </w:p>
        </w:tc>
      </w:tr>
      <w:tr w:rsidR="002A7C7C" w:rsidRPr="002A7C7C" w14:paraId="06A4548B" w14:textId="77777777" w:rsidTr="477A6727">
        <w:tc>
          <w:tcPr>
            <w:tcW w:w="810" w:type="dxa"/>
            <w:vAlign w:val="center"/>
            <w:hideMark/>
          </w:tcPr>
          <w:p w14:paraId="5294A144" w14:textId="0AB1ECD4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lastRenderedPageBreak/>
              <w:t>1</w:t>
            </w:r>
            <w:r w:rsidR="004A0881">
              <w:rPr>
                <w:rFonts w:ascii="Tahoma" w:hAnsi="Tahoma" w:cs="Tahoma"/>
              </w:rPr>
              <w:t>1</w:t>
            </w:r>
          </w:p>
        </w:tc>
        <w:tc>
          <w:tcPr>
            <w:tcW w:w="2202" w:type="dxa"/>
            <w:vAlign w:val="center"/>
            <w:hideMark/>
          </w:tcPr>
          <w:p w14:paraId="2AFB81B3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Sygnalizacja pracy</w:t>
            </w:r>
          </w:p>
        </w:tc>
        <w:tc>
          <w:tcPr>
            <w:tcW w:w="6616" w:type="dxa"/>
            <w:hideMark/>
          </w:tcPr>
          <w:p w14:paraId="0DAB7B42" w14:textId="1707674F" w:rsidR="002A7C7C" w:rsidRPr="002A7C7C" w:rsidRDefault="6D366937" w:rsidP="477A6727">
            <w:pPr>
              <w:spacing w:line="276" w:lineRule="auto"/>
              <w:jc w:val="both"/>
            </w:pPr>
            <w:r w:rsidRPr="477A6727">
              <w:rPr>
                <w:rFonts w:ascii="Tahoma" w:eastAsia="Tahoma" w:hAnsi="Tahoma" w:cs="Tahoma"/>
              </w:rPr>
              <w:t>Sygnalizacja pracy urządzenia musi być czytelna i umożliwiać jednoznaczne rozpoznanie, czy urządzenie działa w trybie blokowania zapisu oraz czy jest gotowe do pracy z nośnikiem źródłowym.</w:t>
            </w:r>
          </w:p>
        </w:tc>
      </w:tr>
      <w:tr w:rsidR="002A7C7C" w:rsidRPr="002A7C7C" w14:paraId="6B68A8C5" w14:textId="77777777" w:rsidTr="477A6727">
        <w:tc>
          <w:tcPr>
            <w:tcW w:w="810" w:type="dxa"/>
            <w:vAlign w:val="center"/>
            <w:hideMark/>
          </w:tcPr>
          <w:p w14:paraId="694C097F" w14:textId="677EA908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2</w:t>
            </w:r>
          </w:p>
        </w:tc>
        <w:tc>
          <w:tcPr>
            <w:tcW w:w="2202" w:type="dxa"/>
            <w:vAlign w:val="center"/>
            <w:hideMark/>
          </w:tcPr>
          <w:p w14:paraId="25154566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Kompatybilność systemowa</w:t>
            </w:r>
          </w:p>
        </w:tc>
        <w:tc>
          <w:tcPr>
            <w:tcW w:w="6616" w:type="dxa"/>
            <w:hideMark/>
          </w:tcPr>
          <w:p w14:paraId="3C1421FD" w14:textId="1BFF7ACA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 xml:space="preserve">Urządzenie musi współpracować co najmniej z systemami operacyjnymi Windows 10 lub nowszymi, w zakresie umożliwiającym realizację funkcji blokowania zapisu i odczytu danych. </w:t>
            </w:r>
          </w:p>
        </w:tc>
      </w:tr>
      <w:tr w:rsidR="002A7C7C" w:rsidRPr="002A7C7C" w14:paraId="3968D4E3" w14:textId="77777777" w:rsidTr="477A6727">
        <w:tc>
          <w:tcPr>
            <w:tcW w:w="810" w:type="dxa"/>
            <w:vAlign w:val="center"/>
            <w:hideMark/>
          </w:tcPr>
          <w:p w14:paraId="5EFEBF5C" w14:textId="64B3167C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3</w:t>
            </w:r>
          </w:p>
        </w:tc>
        <w:tc>
          <w:tcPr>
            <w:tcW w:w="2202" w:type="dxa"/>
            <w:vAlign w:val="center"/>
            <w:hideMark/>
          </w:tcPr>
          <w:p w14:paraId="6E00049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Zasilanie</w:t>
            </w:r>
          </w:p>
        </w:tc>
        <w:tc>
          <w:tcPr>
            <w:tcW w:w="6616" w:type="dxa"/>
            <w:hideMark/>
          </w:tcPr>
          <w:p w14:paraId="15AA4CF3" w14:textId="1908F806" w:rsidR="002A7C7C" w:rsidRPr="002A7C7C" w:rsidRDefault="002A7C7C" w:rsidP="477A6727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hAnsi="Tahoma" w:cs="Tahoma"/>
              </w:rPr>
              <w:t>Urządzenie musi być zasilane z magistrali USB lub zewnętrznego zasilacza albo umożliwiać oba sposoby zasilania.</w:t>
            </w:r>
          </w:p>
          <w:p w14:paraId="11BDCCDC" w14:textId="4CAFABA8" w:rsidR="002A7C7C" w:rsidRPr="002A7C7C" w:rsidRDefault="530DF878" w:rsidP="477A6727">
            <w:pPr>
              <w:spacing w:line="276" w:lineRule="auto"/>
              <w:jc w:val="both"/>
            </w:pPr>
            <w:r w:rsidRPr="477A6727">
              <w:rPr>
                <w:rFonts w:ascii="Tahoma" w:eastAsia="Tahoma" w:hAnsi="Tahoma" w:cs="Tahoma"/>
              </w:rPr>
              <w:t>Jeżeli prawidłowa praca urządzenia wymaga zastosowania zewnętrznego zasilacza, zasilacz taki musi zostać dostarczony w komplecie z urządzeniem.</w:t>
            </w:r>
          </w:p>
        </w:tc>
      </w:tr>
      <w:tr w:rsidR="002A7C7C" w:rsidRPr="002A7C7C" w14:paraId="7FF09163" w14:textId="77777777" w:rsidTr="477A6727">
        <w:tc>
          <w:tcPr>
            <w:tcW w:w="810" w:type="dxa"/>
            <w:vAlign w:val="center"/>
            <w:hideMark/>
          </w:tcPr>
          <w:p w14:paraId="05BBCE74" w14:textId="527495D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1</w:t>
            </w:r>
            <w:r w:rsidR="004A0881">
              <w:rPr>
                <w:rFonts w:ascii="Tahoma" w:hAnsi="Tahoma" w:cs="Tahoma"/>
              </w:rPr>
              <w:t>4</w:t>
            </w:r>
          </w:p>
        </w:tc>
        <w:tc>
          <w:tcPr>
            <w:tcW w:w="2202" w:type="dxa"/>
            <w:vAlign w:val="center"/>
            <w:hideMark/>
          </w:tcPr>
          <w:p w14:paraId="10EBDE48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Zestaw kabli i akcesoriów</w:t>
            </w:r>
          </w:p>
        </w:tc>
        <w:tc>
          <w:tcPr>
            <w:tcW w:w="6616" w:type="dxa"/>
            <w:hideMark/>
          </w:tcPr>
          <w:p w14:paraId="43BB3517" w14:textId="28D18238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477A6727">
              <w:rPr>
                <w:rFonts w:ascii="Tahoma" w:hAnsi="Tahoma" w:cs="Tahoma"/>
              </w:rPr>
              <w:t>Urządzenie musi być dostarczone z kompletem przewodów, adapterów oraz innych akcesoriów wymaganych do podłączenia urządzenia do komputera hosta oraz do obsługiwanych przez oferowany model typów nośników danych, zgodnie z deklarowaną funkcjonalnością.</w:t>
            </w:r>
          </w:p>
        </w:tc>
      </w:tr>
      <w:tr w:rsidR="002A7C7C" w:rsidRPr="002A7C7C" w14:paraId="397B52D3" w14:textId="77777777" w:rsidTr="477A6727">
        <w:tc>
          <w:tcPr>
            <w:tcW w:w="810" w:type="dxa"/>
            <w:vAlign w:val="center"/>
            <w:hideMark/>
          </w:tcPr>
          <w:p w14:paraId="6F897472" w14:textId="43A3DD00" w:rsidR="002A7C7C" w:rsidRPr="002A7C7C" w:rsidRDefault="004A0881" w:rsidP="004A08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2202" w:type="dxa"/>
            <w:vAlign w:val="center"/>
            <w:hideMark/>
          </w:tcPr>
          <w:p w14:paraId="07453E7E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Gwarancja</w:t>
            </w:r>
          </w:p>
        </w:tc>
        <w:tc>
          <w:tcPr>
            <w:tcW w:w="6616" w:type="dxa"/>
            <w:hideMark/>
          </w:tcPr>
          <w:p w14:paraId="067B0BAB" w14:textId="1840BC6C" w:rsidR="002A7C7C" w:rsidRPr="002A7C7C" w:rsidRDefault="65269C6D" w:rsidP="477A6727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477A6727">
              <w:rPr>
                <w:rFonts w:ascii="Tahoma" w:eastAsia="Tahoma" w:hAnsi="Tahoma" w:cs="Tahoma"/>
              </w:rPr>
              <w:t>Urządzenie musi być objęte gwarancją na okres 36 miesięcy, liczony od dnia podpisania protokołu odbioru.</w:t>
            </w:r>
            <w:r w:rsidR="002A7C7C">
              <w:br/>
            </w:r>
            <w:r w:rsidRPr="477A6727">
              <w:rPr>
                <w:rFonts w:ascii="Tahoma" w:eastAsia="Tahoma" w:hAnsi="Tahoma" w:cs="Tahoma"/>
              </w:rPr>
              <w:t xml:space="preserve"> Gwarancja musi obejmować co najmniej usuwanie wad urządzenia oraz wymianę urządzenia lub jego elementów w </w:t>
            </w:r>
            <w:r w:rsidRPr="477A6727">
              <w:rPr>
                <w:rFonts w:ascii="Tahoma" w:eastAsia="Tahoma" w:hAnsi="Tahoma" w:cs="Tahoma"/>
              </w:rPr>
              <w:lastRenderedPageBreak/>
              <w:t>przypadku stwierdzenia awarii uniemożliwiającej prawidłowe użytkowanie zgodnie z przeznaczeniem.</w:t>
            </w:r>
          </w:p>
        </w:tc>
      </w:tr>
      <w:tr w:rsidR="002A7C7C" w:rsidRPr="002A7C7C" w14:paraId="37C0D2CA" w14:textId="77777777" w:rsidTr="477A6727">
        <w:tc>
          <w:tcPr>
            <w:tcW w:w="810" w:type="dxa"/>
            <w:vAlign w:val="center"/>
            <w:hideMark/>
          </w:tcPr>
          <w:p w14:paraId="4B2528DE" w14:textId="6AF7EEC7" w:rsidR="002A7C7C" w:rsidRPr="002A7C7C" w:rsidRDefault="00B50E9F" w:rsidP="004A08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16</w:t>
            </w:r>
          </w:p>
        </w:tc>
        <w:tc>
          <w:tcPr>
            <w:tcW w:w="2202" w:type="dxa"/>
            <w:vAlign w:val="center"/>
            <w:hideMark/>
          </w:tcPr>
          <w:p w14:paraId="6B9D99AC" w14:textId="77777777" w:rsidR="002A7C7C" w:rsidRPr="002A7C7C" w:rsidRDefault="002A7C7C" w:rsidP="004A0881">
            <w:pPr>
              <w:rPr>
                <w:rFonts w:ascii="Tahoma" w:hAnsi="Tahoma" w:cs="Tahoma"/>
              </w:rPr>
            </w:pPr>
            <w:r w:rsidRPr="002A7C7C">
              <w:rPr>
                <w:rFonts w:ascii="Tahoma" w:hAnsi="Tahoma" w:cs="Tahoma"/>
              </w:rPr>
              <w:t>Dokumentacja</w:t>
            </w:r>
          </w:p>
        </w:tc>
        <w:tc>
          <w:tcPr>
            <w:tcW w:w="6616" w:type="dxa"/>
            <w:hideMark/>
          </w:tcPr>
          <w:p w14:paraId="181D5133" w14:textId="7E3FB180" w:rsidR="002A7C7C" w:rsidRPr="002A7C7C" w:rsidRDefault="00976A92" w:rsidP="72787B1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2787B15">
              <w:rPr>
                <w:rFonts w:ascii="Tahoma" w:hAnsi="Tahoma" w:cs="Tahoma"/>
              </w:rPr>
              <w:t>Wraz z urządzeniem musi zostać dostarczona dokumentacja użytkownika lub instrukcja obsługi w formie elektronicznej, w tym dostępnej na stronie internetowej producenta lub dostawcy, albo w formie papierowej. Zamawiający dopuszcza dokumentację w języku polskim lub angielskim.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8BB6" w14:textId="77777777" w:rsidR="00997ECD" w:rsidRDefault="00997ECD">
      <w:r>
        <w:separator/>
      </w:r>
    </w:p>
  </w:endnote>
  <w:endnote w:type="continuationSeparator" w:id="0">
    <w:p w14:paraId="41D8161B" w14:textId="77777777" w:rsidR="00997ECD" w:rsidRDefault="0099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EBFF" w14:textId="77777777" w:rsidR="00997ECD" w:rsidRDefault="00997ECD">
      <w:r>
        <w:separator/>
      </w:r>
    </w:p>
  </w:footnote>
  <w:footnote w:type="continuationSeparator" w:id="0">
    <w:p w14:paraId="7B6BE117" w14:textId="77777777" w:rsidR="00997ECD" w:rsidRDefault="0099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45A5"/>
    <w:rsid w:val="0010162A"/>
    <w:rsid w:val="001259A8"/>
    <w:rsid w:val="001561C5"/>
    <w:rsid w:val="00162BA6"/>
    <w:rsid w:val="00200170"/>
    <w:rsid w:val="00214307"/>
    <w:rsid w:val="0022567D"/>
    <w:rsid w:val="002571F6"/>
    <w:rsid w:val="002A7C7C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708D5"/>
    <w:rsid w:val="003816DA"/>
    <w:rsid w:val="00385FFB"/>
    <w:rsid w:val="003E4D8B"/>
    <w:rsid w:val="00401008"/>
    <w:rsid w:val="00412555"/>
    <w:rsid w:val="0042606F"/>
    <w:rsid w:val="004435D9"/>
    <w:rsid w:val="00482EA3"/>
    <w:rsid w:val="004844AD"/>
    <w:rsid w:val="004A0881"/>
    <w:rsid w:val="004E62F6"/>
    <w:rsid w:val="005115C2"/>
    <w:rsid w:val="005A056A"/>
    <w:rsid w:val="005B7917"/>
    <w:rsid w:val="005E22E2"/>
    <w:rsid w:val="006048A6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B80"/>
    <w:rsid w:val="00863D3F"/>
    <w:rsid w:val="00882184"/>
    <w:rsid w:val="0088784C"/>
    <w:rsid w:val="008B2E44"/>
    <w:rsid w:val="008C4DE6"/>
    <w:rsid w:val="008D7C6A"/>
    <w:rsid w:val="00924460"/>
    <w:rsid w:val="00976A92"/>
    <w:rsid w:val="009823C9"/>
    <w:rsid w:val="00997ECD"/>
    <w:rsid w:val="009A5797"/>
    <w:rsid w:val="009B56F9"/>
    <w:rsid w:val="009B7B29"/>
    <w:rsid w:val="009D068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41823"/>
    <w:rsid w:val="00B50E9F"/>
    <w:rsid w:val="00B546E9"/>
    <w:rsid w:val="00B615FE"/>
    <w:rsid w:val="00B619ED"/>
    <w:rsid w:val="00B82EF6"/>
    <w:rsid w:val="00BC79CC"/>
    <w:rsid w:val="00BF6D5D"/>
    <w:rsid w:val="00C02975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700C"/>
    <w:rsid w:val="00C965EE"/>
    <w:rsid w:val="00CA21C1"/>
    <w:rsid w:val="00CA4211"/>
    <w:rsid w:val="00CA518A"/>
    <w:rsid w:val="00CB53C1"/>
    <w:rsid w:val="00CC431D"/>
    <w:rsid w:val="00CF141D"/>
    <w:rsid w:val="00CF1AB9"/>
    <w:rsid w:val="00D93CCF"/>
    <w:rsid w:val="00DC0C56"/>
    <w:rsid w:val="00DD59C4"/>
    <w:rsid w:val="00E1663C"/>
    <w:rsid w:val="00E70B77"/>
    <w:rsid w:val="00E81AAD"/>
    <w:rsid w:val="00E82DDD"/>
    <w:rsid w:val="00EA5546"/>
    <w:rsid w:val="00EB7791"/>
    <w:rsid w:val="00EE312E"/>
    <w:rsid w:val="00F34186"/>
    <w:rsid w:val="00F4322F"/>
    <w:rsid w:val="00F6134F"/>
    <w:rsid w:val="00F738C3"/>
    <w:rsid w:val="00F753C2"/>
    <w:rsid w:val="00F8620F"/>
    <w:rsid w:val="00FE3AD8"/>
    <w:rsid w:val="00FF5508"/>
    <w:rsid w:val="0301DB22"/>
    <w:rsid w:val="19237D66"/>
    <w:rsid w:val="28F1233D"/>
    <w:rsid w:val="29A4A61E"/>
    <w:rsid w:val="2B863568"/>
    <w:rsid w:val="32256342"/>
    <w:rsid w:val="3966DE34"/>
    <w:rsid w:val="40E86C8B"/>
    <w:rsid w:val="477A6727"/>
    <w:rsid w:val="530DF878"/>
    <w:rsid w:val="65269C6D"/>
    <w:rsid w:val="65F1FD2E"/>
    <w:rsid w:val="6D366937"/>
    <w:rsid w:val="72787B15"/>
    <w:rsid w:val="74FB12F3"/>
    <w:rsid w:val="7CD3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555</Words>
  <Characters>3334</Characters>
  <Application>Microsoft Office Word</Application>
  <DocSecurity>0</DocSecurity>
  <Lines>27</Lines>
  <Paragraphs>7</Paragraphs>
  <ScaleCrop>false</ScaleCrop>
  <Company>MRR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14</cp:revision>
  <cp:lastPrinted>2018-03-26T09:55:00Z</cp:lastPrinted>
  <dcterms:created xsi:type="dcterms:W3CDTF">2026-03-27T10:28:00Z</dcterms:created>
  <dcterms:modified xsi:type="dcterms:W3CDTF">2026-07-19T13:28:00Z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