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99571" w14:textId="448246A3" w:rsidR="000A73E2" w:rsidRPr="00B673BB" w:rsidRDefault="00B673BB" w:rsidP="00B673BB">
      <w:pPr>
        <w:jc w:val="right"/>
        <w:rPr>
          <w:rFonts w:ascii="Tahoma" w:hAnsi="Tahoma" w:cs="Tahoma"/>
          <w:b/>
          <w:bCs/>
        </w:rPr>
      </w:pPr>
      <w:r w:rsidRPr="7BF0DBF6">
        <w:rPr>
          <w:rFonts w:ascii="Tahoma" w:hAnsi="Tahoma" w:cs="Tahoma"/>
          <w:b/>
          <w:bCs/>
        </w:rPr>
        <w:t>Załącznik 1</w:t>
      </w:r>
      <w:r w:rsidR="043F72C0" w:rsidRPr="7BF0DBF6">
        <w:rPr>
          <w:rFonts w:ascii="Tahoma" w:hAnsi="Tahoma" w:cs="Tahoma"/>
          <w:b/>
          <w:bCs/>
        </w:rPr>
        <w:t>.</w:t>
      </w:r>
      <w:r w:rsidR="002F646B">
        <w:rPr>
          <w:rFonts w:ascii="Tahoma" w:hAnsi="Tahoma" w:cs="Tahoma"/>
          <w:b/>
          <w:bCs/>
        </w:rPr>
        <w:t>1</w:t>
      </w:r>
      <w:r w:rsidR="00A16301">
        <w:rPr>
          <w:rFonts w:ascii="Tahoma" w:hAnsi="Tahoma" w:cs="Tahoma"/>
          <w:b/>
          <w:bCs/>
        </w:rPr>
        <w:t>7</w:t>
      </w:r>
    </w:p>
    <w:p w14:paraId="19B52394" w14:textId="7725DE73" w:rsidR="00200170" w:rsidRPr="00B673BB" w:rsidRDefault="000A64A5" w:rsidP="000A73E2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P</w:t>
      </w:r>
      <w:r w:rsidRPr="000A64A5">
        <w:rPr>
          <w:rFonts w:ascii="Tahoma" w:hAnsi="Tahoma" w:cs="Tahoma"/>
          <w:b/>
          <w:bCs/>
        </w:rPr>
        <w:t>rzełącznik</w:t>
      </w:r>
      <w:r>
        <w:rPr>
          <w:rFonts w:ascii="Tahoma" w:hAnsi="Tahoma" w:cs="Tahoma"/>
          <w:b/>
          <w:bCs/>
        </w:rPr>
        <w:t>i</w:t>
      </w:r>
      <w:r w:rsidRPr="000A64A5">
        <w:rPr>
          <w:rFonts w:ascii="Tahoma" w:hAnsi="Tahoma" w:cs="Tahoma"/>
          <w:b/>
          <w:bCs/>
        </w:rPr>
        <w:t xml:space="preserve"> sieciow</w:t>
      </w:r>
      <w:r>
        <w:rPr>
          <w:rFonts w:ascii="Tahoma" w:hAnsi="Tahoma" w:cs="Tahoma"/>
          <w:b/>
          <w:bCs/>
        </w:rPr>
        <w:t>e</w:t>
      </w:r>
      <w:r w:rsidRPr="000A64A5">
        <w:rPr>
          <w:rFonts w:ascii="Tahoma" w:hAnsi="Tahoma" w:cs="Tahoma"/>
          <w:b/>
          <w:bCs/>
        </w:rPr>
        <w:t xml:space="preserve"> do poszczególnych lokalizacji systemów automatyki OT</w:t>
      </w:r>
      <w:r w:rsidR="00001903">
        <w:rPr>
          <w:rFonts w:ascii="Tahoma" w:hAnsi="Tahoma" w:cs="Tahoma"/>
          <w:b/>
          <w:bCs/>
        </w:rPr>
        <w:t xml:space="preserve"> (</w:t>
      </w:r>
      <w:r w:rsidR="002F646B">
        <w:rPr>
          <w:rFonts w:ascii="Tahoma" w:hAnsi="Tahoma" w:cs="Tahoma"/>
          <w:b/>
          <w:bCs/>
        </w:rPr>
        <w:t>3</w:t>
      </w:r>
      <w:r w:rsidR="00001903">
        <w:rPr>
          <w:rFonts w:ascii="Tahoma" w:hAnsi="Tahoma" w:cs="Tahoma"/>
          <w:b/>
          <w:bCs/>
        </w:rPr>
        <w:t xml:space="preserve"> sztuk</w:t>
      </w:r>
      <w:r w:rsidR="002F646B">
        <w:rPr>
          <w:rFonts w:ascii="Tahoma" w:hAnsi="Tahoma" w:cs="Tahoma"/>
          <w:b/>
          <w:bCs/>
        </w:rPr>
        <w:t>i</w:t>
      </w:r>
      <w:r w:rsidR="00001903">
        <w:rPr>
          <w:rFonts w:ascii="Tahoma" w:hAnsi="Tahoma" w:cs="Tahoma"/>
          <w:b/>
          <w:bCs/>
        </w:rPr>
        <w:t>)</w:t>
      </w:r>
    </w:p>
    <w:tbl>
      <w:tblPr>
        <w:tblStyle w:val="Tabela-Siatka"/>
        <w:tblW w:w="9628" w:type="dxa"/>
        <w:tblLook w:val="04A0" w:firstRow="1" w:lastRow="0" w:firstColumn="1" w:lastColumn="0" w:noHBand="0" w:noVBand="1"/>
      </w:tblPr>
      <w:tblGrid>
        <w:gridCol w:w="825"/>
        <w:gridCol w:w="2289"/>
        <w:gridCol w:w="6514"/>
      </w:tblGrid>
      <w:tr w:rsidR="00A31486" w:rsidRPr="00B673BB" w14:paraId="32F4A94C" w14:textId="77777777" w:rsidTr="00E02E44">
        <w:tc>
          <w:tcPr>
            <w:tcW w:w="825" w:type="dxa"/>
            <w:vAlign w:val="center"/>
            <w:hideMark/>
          </w:tcPr>
          <w:p w14:paraId="7A79F0A3" w14:textId="77777777" w:rsidR="00A31486" w:rsidRPr="00B673BB" w:rsidRDefault="00A31486" w:rsidP="00E02E44">
            <w:pPr>
              <w:jc w:val="center"/>
              <w:rPr>
                <w:rFonts w:ascii="Tahoma" w:hAnsi="Tahoma" w:cs="Tahoma"/>
                <w:b/>
                <w:bCs/>
              </w:rPr>
            </w:pPr>
            <w:r w:rsidRPr="55CC35FE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2289" w:type="dxa"/>
            <w:vAlign w:val="center"/>
            <w:hideMark/>
          </w:tcPr>
          <w:p w14:paraId="331198D9" w14:textId="77777777" w:rsidR="00A31486" w:rsidRPr="00B673BB" w:rsidRDefault="00A31486" w:rsidP="00E02E44">
            <w:pPr>
              <w:jc w:val="center"/>
              <w:rPr>
                <w:rFonts w:ascii="Tahoma" w:hAnsi="Tahoma" w:cs="Tahoma"/>
                <w:b/>
                <w:bCs/>
              </w:rPr>
            </w:pPr>
            <w:r w:rsidRPr="55CC35FE">
              <w:rPr>
                <w:rFonts w:ascii="Tahoma" w:hAnsi="Tahoma" w:cs="Tahoma"/>
                <w:b/>
                <w:bCs/>
              </w:rPr>
              <w:t>Parametr</w:t>
            </w:r>
          </w:p>
        </w:tc>
        <w:tc>
          <w:tcPr>
            <w:tcW w:w="6514" w:type="dxa"/>
            <w:vAlign w:val="center"/>
            <w:hideMark/>
          </w:tcPr>
          <w:p w14:paraId="45218B95" w14:textId="77777777" w:rsidR="00A31486" w:rsidRPr="00B673BB" w:rsidRDefault="00A31486" w:rsidP="00E02E44">
            <w:pPr>
              <w:jc w:val="center"/>
              <w:rPr>
                <w:rFonts w:ascii="Tahoma" w:hAnsi="Tahoma" w:cs="Tahoma"/>
                <w:b/>
                <w:bCs/>
              </w:rPr>
            </w:pPr>
            <w:r w:rsidRPr="55CC35FE">
              <w:rPr>
                <w:rFonts w:ascii="Tahoma" w:hAnsi="Tahoma" w:cs="Tahoma"/>
                <w:b/>
                <w:bCs/>
              </w:rPr>
              <w:t>Wymaganie minimalne</w:t>
            </w:r>
          </w:p>
        </w:tc>
      </w:tr>
      <w:tr w:rsidR="00A31486" w:rsidRPr="00B673BB" w14:paraId="65E3682E" w14:textId="77777777" w:rsidTr="00E02E44">
        <w:tc>
          <w:tcPr>
            <w:tcW w:w="825" w:type="dxa"/>
            <w:vAlign w:val="center"/>
            <w:hideMark/>
          </w:tcPr>
          <w:p w14:paraId="6F0F9E1A" w14:textId="77777777" w:rsidR="00A31486" w:rsidRPr="00B673BB" w:rsidRDefault="00A31486" w:rsidP="00E02E44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1</w:t>
            </w:r>
          </w:p>
        </w:tc>
        <w:tc>
          <w:tcPr>
            <w:tcW w:w="2289" w:type="dxa"/>
            <w:vAlign w:val="center"/>
            <w:hideMark/>
          </w:tcPr>
          <w:p w14:paraId="45312EF3" w14:textId="77777777" w:rsidR="00A31486" w:rsidRPr="00B673BB" w:rsidRDefault="00A31486" w:rsidP="00E02E44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Typ przełącznika</w:t>
            </w:r>
          </w:p>
        </w:tc>
        <w:tc>
          <w:tcPr>
            <w:tcW w:w="6514" w:type="dxa"/>
            <w:hideMark/>
          </w:tcPr>
          <w:p w14:paraId="0AE30283" w14:textId="77777777" w:rsidR="00A31486" w:rsidRDefault="00A31486" w:rsidP="00E02E44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 xml:space="preserve">Przełącznik sieciowy typu Ethernet przeznaczony do pracy w sieciach lokalnych, </w:t>
            </w:r>
            <w:proofErr w:type="spellStart"/>
            <w:r w:rsidRPr="55CC35FE">
              <w:rPr>
                <w:rFonts w:ascii="Tahoma" w:hAnsi="Tahoma" w:cs="Tahoma"/>
              </w:rPr>
              <w:t>zarządzalny</w:t>
            </w:r>
            <w:proofErr w:type="spellEnd"/>
            <w:r w:rsidRPr="55CC35FE">
              <w:rPr>
                <w:rFonts w:ascii="Tahoma" w:hAnsi="Tahoma" w:cs="Tahoma"/>
              </w:rPr>
              <w:t xml:space="preserve">, wyposażony w porty Gigabit Ethernet oraz porty </w:t>
            </w:r>
            <w:proofErr w:type="spellStart"/>
            <w:r w:rsidRPr="55CC35FE">
              <w:rPr>
                <w:rFonts w:ascii="Tahoma" w:hAnsi="Tahoma" w:cs="Tahoma"/>
              </w:rPr>
              <w:t>uplink</w:t>
            </w:r>
            <w:proofErr w:type="spellEnd"/>
            <w:r w:rsidRPr="55CC35FE">
              <w:rPr>
                <w:rFonts w:ascii="Tahoma" w:hAnsi="Tahoma" w:cs="Tahoma"/>
              </w:rPr>
              <w:t xml:space="preserve"> umożliwiające podłączenie do infrastruktury sieciowej wyższego poziomu. Urządzenie musi być przeznaczone do pracy w środowiskach wymagających stabilnej i ciągłej komunikacji sieciowej, w tym w sieciach wykorzystywanych do obsługi systemów automatyki oraz infrastruktury informatycznej.</w:t>
            </w:r>
          </w:p>
          <w:p w14:paraId="41E41416" w14:textId="77777777" w:rsidR="00A31486" w:rsidRPr="000B7F38" w:rsidRDefault="00A31486" w:rsidP="00E02E44">
            <w:pPr>
              <w:spacing w:line="276" w:lineRule="auto"/>
              <w:jc w:val="both"/>
              <w:rPr>
                <w:rFonts w:ascii="Tahoma" w:hAnsi="Tahoma" w:cs="Tahoma"/>
                <w:b/>
                <w:bCs/>
              </w:rPr>
            </w:pPr>
            <w:r w:rsidRPr="000B7F38">
              <w:rPr>
                <w:rFonts w:ascii="Tahoma" w:hAnsi="Tahoma" w:cs="Tahoma"/>
                <w:b/>
                <w:bCs/>
              </w:rPr>
              <w:t xml:space="preserve">Zamawiający nie wymaga, aby urządzenie było przełącznikiem przemysłowym ani posiadało certyfikacji, rozszerzonych zakresów temperatury pracy, redundantnych wejść zasilania lub innych właściwości właściwych dla urządzeń klasy </w:t>
            </w:r>
            <w:proofErr w:type="spellStart"/>
            <w:r w:rsidRPr="000B7F38">
              <w:rPr>
                <w:rFonts w:ascii="Tahoma" w:hAnsi="Tahoma" w:cs="Tahoma"/>
                <w:b/>
                <w:bCs/>
              </w:rPr>
              <w:t>industrial</w:t>
            </w:r>
            <w:proofErr w:type="spellEnd"/>
            <w:r w:rsidRPr="000B7F38">
              <w:rPr>
                <w:rFonts w:ascii="Tahoma" w:hAnsi="Tahoma" w:cs="Tahoma"/>
                <w:b/>
                <w:bCs/>
              </w:rPr>
              <w:t>/OT. Określenie środowiska OT odnosi się do funkcji urządzenia w architekturze sieci, a nie do wymaganej klasy konstrukcyjnej urządzenia.</w:t>
            </w:r>
          </w:p>
        </w:tc>
      </w:tr>
      <w:tr w:rsidR="00A31486" w:rsidRPr="00B673BB" w14:paraId="59DFE679" w14:textId="77777777" w:rsidTr="00E02E44">
        <w:tc>
          <w:tcPr>
            <w:tcW w:w="825" w:type="dxa"/>
            <w:vAlign w:val="center"/>
            <w:hideMark/>
          </w:tcPr>
          <w:p w14:paraId="6020A4E5" w14:textId="77777777" w:rsidR="00A31486" w:rsidRPr="00B673BB" w:rsidRDefault="00A31486" w:rsidP="00E02E44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2</w:t>
            </w:r>
          </w:p>
        </w:tc>
        <w:tc>
          <w:tcPr>
            <w:tcW w:w="2289" w:type="dxa"/>
            <w:vAlign w:val="center"/>
            <w:hideMark/>
          </w:tcPr>
          <w:p w14:paraId="5F62CC84" w14:textId="77777777" w:rsidR="00A31486" w:rsidRPr="00B673BB" w:rsidRDefault="00A31486" w:rsidP="00E02E44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Warstwa przełączania</w:t>
            </w:r>
          </w:p>
        </w:tc>
        <w:tc>
          <w:tcPr>
            <w:tcW w:w="6514" w:type="dxa"/>
            <w:hideMark/>
          </w:tcPr>
          <w:p w14:paraId="6C4CD04C" w14:textId="77777777" w:rsidR="00A31486" w:rsidRPr="00B673BB" w:rsidRDefault="00A31486" w:rsidP="00E02E44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Przełącznik musi realizować funkcje przełączania w warstwie drugiej modelu OSI (</w:t>
            </w:r>
            <w:proofErr w:type="spellStart"/>
            <w:r w:rsidRPr="55CC35FE">
              <w:rPr>
                <w:rFonts w:ascii="Tahoma" w:hAnsi="Tahoma" w:cs="Tahoma"/>
              </w:rPr>
              <w:t>Layer</w:t>
            </w:r>
            <w:proofErr w:type="spellEnd"/>
            <w:r w:rsidRPr="55CC35FE">
              <w:rPr>
                <w:rFonts w:ascii="Tahoma" w:hAnsi="Tahoma" w:cs="Tahoma"/>
              </w:rPr>
              <w:t xml:space="preserve"> 2), umożliwiające zarządzanie ruchem sieciowym na podstawie adresów MAC oraz obsługę mechanizmów segmentacji i kontroli ruchu niezbędnych do pracy w sieciach lokalnych, w tym w środowiskach współpracujących z urządzeniami automatyki oraz systemami informatycznymi.</w:t>
            </w:r>
          </w:p>
        </w:tc>
      </w:tr>
      <w:tr w:rsidR="00A31486" w:rsidRPr="00B673BB" w14:paraId="64B99C08" w14:textId="77777777" w:rsidTr="00E02E44">
        <w:tc>
          <w:tcPr>
            <w:tcW w:w="825" w:type="dxa"/>
            <w:vAlign w:val="center"/>
            <w:hideMark/>
          </w:tcPr>
          <w:p w14:paraId="7D999B53" w14:textId="77777777" w:rsidR="00A31486" w:rsidRPr="00B673BB" w:rsidRDefault="00A31486" w:rsidP="00E02E44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lastRenderedPageBreak/>
              <w:t>3</w:t>
            </w:r>
          </w:p>
        </w:tc>
        <w:tc>
          <w:tcPr>
            <w:tcW w:w="2289" w:type="dxa"/>
            <w:vAlign w:val="center"/>
            <w:hideMark/>
          </w:tcPr>
          <w:p w14:paraId="08E8CA86" w14:textId="77777777" w:rsidR="00A31486" w:rsidRPr="00B673BB" w:rsidRDefault="00A31486" w:rsidP="00E02E44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Liczba portów Ethernet 10/100/1000</w:t>
            </w:r>
          </w:p>
        </w:tc>
        <w:tc>
          <w:tcPr>
            <w:tcW w:w="6514" w:type="dxa"/>
            <w:hideMark/>
          </w:tcPr>
          <w:p w14:paraId="65AE2475" w14:textId="77777777" w:rsidR="00A31486" w:rsidRPr="00B673BB" w:rsidRDefault="00A31486" w:rsidP="00E02E44">
            <w:pPr>
              <w:spacing w:line="276" w:lineRule="auto"/>
              <w:jc w:val="both"/>
            </w:pPr>
            <w:r w:rsidRPr="6FE5B25D">
              <w:rPr>
                <w:rFonts w:ascii="Tahoma" w:eastAsia="Tahoma" w:hAnsi="Tahoma" w:cs="Tahoma"/>
              </w:rPr>
              <w:t xml:space="preserve">Przełącznik musi być wyposażony w co najmniej 8 portów Ethernet RJ-45, obsługujących transmisję z prędkością 10/100/1000 </w:t>
            </w:r>
            <w:proofErr w:type="spellStart"/>
            <w:r w:rsidRPr="6FE5B25D">
              <w:rPr>
                <w:rFonts w:ascii="Tahoma" w:eastAsia="Tahoma" w:hAnsi="Tahoma" w:cs="Tahoma"/>
              </w:rPr>
              <w:t>Mb</w:t>
            </w:r>
            <w:proofErr w:type="spellEnd"/>
            <w:r w:rsidRPr="6FE5B25D">
              <w:rPr>
                <w:rFonts w:ascii="Tahoma" w:eastAsia="Tahoma" w:hAnsi="Tahoma" w:cs="Tahoma"/>
              </w:rPr>
              <w:t>/s, przeznaczonych do podłączania urządzeń końcowych, elementów infrastruktury sieciowej oraz urządzeń automatyki wymagających stabilnej komunikacji w sieci lokalnej. Wszystkie wymagane porty muszą być dostępne do jednoczesnego wykorzystania.</w:t>
            </w:r>
          </w:p>
        </w:tc>
      </w:tr>
      <w:tr w:rsidR="00A31486" w:rsidRPr="00B673BB" w14:paraId="37627F26" w14:textId="77777777" w:rsidTr="00E02E44">
        <w:tc>
          <w:tcPr>
            <w:tcW w:w="825" w:type="dxa"/>
            <w:vAlign w:val="center"/>
            <w:hideMark/>
          </w:tcPr>
          <w:p w14:paraId="3FA3BE97" w14:textId="77777777" w:rsidR="00A31486" w:rsidRPr="00B673BB" w:rsidRDefault="00A31486" w:rsidP="00E02E44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4</w:t>
            </w:r>
          </w:p>
        </w:tc>
        <w:tc>
          <w:tcPr>
            <w:tcW w:w="2289" w:type="dxa"/>
            <w:vAlign w:val="center"/>
            <w:hideMark/>
          </w:tcPr>
          <w:p w14:paraId="07D37EFA" w14:textId="77777777" w:rsidR="00A31486" w:rsidRPr="00B673BB" w:rsidRDefault="00A31486" w:rsidP="00E02E44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 xml:space="preserve">Liczba portów </w:t>
            </w:r>
            <w:proofErr w:type="spellStart"/>
            <w:r w:rsidRPr="55CC35FE">
              <w:rPr>
                <w:rFonts w:ascii="Tahoma" w:hAnsi="Tahoma" w:cs="Tahoma"/>
              </w:rPr>
              <w:t>uplink</w:t>
            </w:r>
            <w:proofErr w:type="spellEnd"/>
            <w:r w:rsidRPr="55CC35FE">
              <w:rPr>
                <w:rFonts w:ascii="Tahoma" w:hAnsi="Tahoma" w:cs="Tahoma"/>
              </w:rPr>
              <w:t xml:space="preserve"> / </w:t>
            </w:r>
            <w:proofErr w:type="spellStart"/>
            <w:r w:rsidRPr="55CC35FE">
              <w:rPr>
                <w:rFonts w:ascii="Tahoma" w:hAnsi="Tahoma" w:cs="Tahoma"/>
              </w:rPr>
              <w:t>combo</w:t>
            </w:r>
            <w:proofErr w:type="spellEnd"/>
            <w:r w:rsidRPr="55CC35FE">
              <w:rPr>
                <w:rFonts w:ascii="Tahoma" w:hAnsi="Tahoma" w:cs="Tahoma"/>
              </w:rPr>
              <w:t xml:space="preserve"> RJ-45/SFP</w:t>
            </w:r>
          </w:p>
        </w:tc>
        <w:tc>
          <w:tcPr>
            <w:tcW w:w="6514" w:type="dxa"/>
            <w:hideMark/>
          </w:tcPr>
          <w:p w14:paraId="57BAE14F" w14:textId="77777777" w:rsidR="00A31486" w:rsidRPr="00B673BB" w:rsidRDefault="00A31486" w:rsidP="00E02E44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 xml:space="preserve">Przełącznik musi być wyposażony w porty </w:t>
            </w:r>
            <w:proofErr w:type="spellStart"/>
            <w:r w:rsidRPr="55CC35FE">
              <w:rPr>
                <w:rFonts w:ascii="Tahoma" w:hAnsi="Tahoma" w:cs="Tahoma"/>
              </w:rPr>
              <w:t>uplink</w:t>
            </w:r>
            <w:proofErr w:type="spellEnd"/>
            <w:r w:rsidRPr="55CC35FE">
              <w:rPr>
                <w:rFonts w:ascii="Tahoma" w:hAnsi="Tahoma" w:cs="Tahoma"/>
              </w:rPr>
              <w:t xml:space="preserve"> umożliwiające realizację połączeń z innymi przełącznikami, urządzeniami dystrybucyjnymi lub elementami infrastruktury nadrzędnej. Dopuszcza się zastosowanie portów typu </w:t>
            </w:r>
            <w:proofErr w:type="spellStart"/>
            <w:r w:rsidRPr="55CC35FE">
              <w:rPr>
                <w:rFonts w:ascii="Tahoma" w:hAnsi="Tahoma" w:cs="Tahoma"/>
              </w:rPr>
              <w:t>combo</w:t>
            </w:r>
            <w:proofErr w:type="spellEnd"/>
            <w:r w:rsidRPr="55CC35FE">
              <w:rPr>
                <w:rFonts w:ascii="Tahoma" w:hAnsi="Tahoma" w:cs="Tahoma"/>
              </w:rPr>
              <w:t xml:space="preserve"> RJ-45/SFP, zapewniających elastyczność doboru medium transmisyjnego w zależności od potrzeb środowiska sieciowego, w tym także w sieciach współpracujących z systemami automatyki.</w:t>
            </w:r>
          </w:p>
        </w:tc>
      </w:tr>
      <w:tr w:rsidR="00A31486" w:rsidRPr="00B673BB" w14:paraId="5F9820C6" w14:textId="77777777" w:rsidTr="00E02E44">
        <w:tc>
          <w:tcPr>
            <w:tcW w:w="825" w:type="dxa"/>
            <w:vAlign w:val="center"/>
            <w:hideMark/>
          </w:tcPr>
          <w:p w14:paraId="58B49A69" w14:textId="77777777" w:rsidR="00A31486" w:rsidRPr="00B673BB" w:rsidRDefault="00A31486" w:rsidP="00E02E44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5</w:t>
            </w:r>
          </w:p>
        </w:tc>
        <w:tc>
          <w:tcPr>
            <w:tcW w:w="2289" w:type="dxa"/>
            <w:vAlign w:val="center"/>
            <w:hideMark/>
          </w:tcPr>
          <w:p w14:paraId="2394A489" w14:textId="77777777" w:rsidR="00A31486" w:rsidRPr="00B673BB" w:rsidRDefault="00A31486" w:rsidP="00E02E44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Obsługa VLAN</w:t>
            </w:r>
          </w:p>
        </w:tc>
        <w:tc>
          <w:tcPr>
            <w:tcW w:w="6514" w:type="dxa"/>
            <w:hideMark/>
          </w:tcPr>
          <w:p w14:paraId="1878CEF3" w14:textId="77777777" w:rsidR="00A31486" w:rsidRDefault="00A31486" w:rsidP="00E02E44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 xml:space="preserve">Przełącznik musi obsługiwać mechanizmy tworzenia i zarządzania logicznymi sieciami wirtualnymi VLAN, umożliwiające segmentację ruchu sieciowego, wydzielanie odrębnych stref komunikacyjnych oraz separację urządzeń i usług. </w:t>
            </w:r>
          </w:p>
          <w:p w14:paraId="6DA7F613" w14:textId="77777777" w:rsidR="00A31486" w:rsidRPr="00B673BB" w:rsidRDefault="00A31486" w:rsidP="00E02E44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5451FD">
              <w:rPr>
                <w:rFonts w:ascii="Tahoma" w:hAnsi="Tahoma" w:cs="Tahoma"/>
              </w:rPr>
              <w:t xml:space="preserve">Przełącznik musi umożliwiać taką konfigurację sieci VLAN oraz portów </w:t>
            </w:r>
            <w:proofErr w:type="spellStart"/>
            <w:r w:rsidRPr="005451FD">
              <w:rPr>
                <w:rFonts w:ascii="Tahoma" w:hAnsi="Tahoma" w:cs="Tahoma"/>
              </w:rPr>
              <w:t>trunk</w:t>
            </w:r>
            <w:proofErr w:type="spellEnd"/>
            <w:r w:rsidRPr="005451FD">
              <w:rPr>
                <w:rFonts w:ascii="Tahoma" w:hAnsi="Tahoma" w:cs="Tahoma"/>
              </w:rPr>
              <w:t>/</w:t>
            </w:r>
            <w:proofErr w:type="spellStart"/>
            <w:r w:rsidRPr="005451FD">
              <w:rPr>
                <w:rFonts w:ascii="Tahoma" w:hAnsi="Tahoma" w:cs="Tahoma"/>
              </w:rPr>
              <w:t>access</w:t>
            </w:r>
            <w:proofErr w:type="spellEnd"/>
            <w:r w:rsidRPr="005451FD">
              <w:rPr>
                <w:rFonts w:ascii="Tahoma" w:hAnsi="Tahoma" w:cs="Tahoma"/>
              </w:rPr>
              <w:t>, aby możliwe było wydzielenie segmentów komunikacyjnych OT oraz przekazanie kopii ruchu z wybranych VLAN do sond monitorowania OT, zgodnie z architekturą wdrożenia systemu bezpieczeństwa OT.</w:t>
            </w:r>
          </w:p>
        </w:tc>
      </w:tr>
      <w:tr w:rsidR="00A31486" w:rsidRPr="00B673BB" w14:paraId="34AFC240" w14:textId="77777777" w:rsidTr="00E02E44">
        <w:tc>
          <w:tcPr>
            <w:tcW w:w="825" w:type="dxa"/>
            <w:vAlign w:val="center"/>
            <w:hideMark/>
          </w:tcPr>
          <w:p w14:paraId="6A2E3F18" w14:textId="77777777" w:rsidR="00A31486" w:rsidRPr="00B673BB" w:rsidRDefault="00A31486" w:rsidP="00E02E44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6</w:t>
            </w:r>
          </w:p>
        </w:tc>
        <w:tc>
          <w:tcPr>
            <w:tcW w:w="2289" w:type="dxa"/>
            <w:vAlign w:val="center"/>
            <w:hideMark/>
          </w:tcPr>
          <w:p w14:paraId="0B375C88" w14:textId="77777777" w:rsidR="00A31486" w:rsidRPr="00B673BB" w:rsidRDefault="00A31486" w:rsidP="00E02E44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Obsługa IEEE 802.1Q</w:t>
            </w:r>
          </w:p>
        </w:tc>
        <w:tc>
          <w:tcPr>
            <w:tcW w:w="6514" w:type="dxa"/>
            <w:hideMark/>
          </w:tcPr>
          <w:p w14:paraId="65E57497" w14:textId="77777777" w:rsidR="00A31486" w:rsidRPr="00B673BB" w:rsidRDefault="00A31486" w:rsidP="00E02E44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6FE5B25D">
              <w:rPr>
                <w:rFonts w:ascii="Tahoma" w:hAnsi="Tahoma" w:cs="Tahoma"/>
              </w:rPr>
              <w:t xml:space="preserve">Przełącznik musi obsługiwać standard IEEE 802.1Q w zakresie znakowania ramek Ethernet dla sieci VLAN, umożliwiający logiczną segmentację ruchu oraz prawidłowe przenoszenie informacji o przynależności do sieci wirtualnych pomiędzy urządzeniami sieciowymi. </w:t>
            </w:r>
            <w:r w:rsidRPr="6FE5B25D">
              <w:rPr>
                <w:rFonts w:ascii="Tahoma" w:hAnsi="Tahoma" w:cs="Tahoma"/>
              </w:rPr>
              <w:lastRenderedPageBreak/>
              <w:t>Funkcjonalność ta musi zapewniać współpracę z innymi elementami infrastruktury oraz wspierać bezpieczną i uporządkowaną organizację komunikacji, w tym w środowiskach wykorzystujących urządzenia automatyki i systemy informatyczne.</w:t>
            </w:r>
          </w:p>
          <w:p w14:paraId="2EB6C4FC" w14:textId="77777777" w:rsidR="00A31486" w:rsidRPr="00B673BB" w:rsidRDefault="00A31486" w:rsidP="00E02E44">
            <w:pPr>
              <w:spacing w:line="276" w:lineRule="auto"/>
              <w:jc w:val="both"/>
              <w:rPr>
                <w:rFonts w:ascii="Tahoma" w:eastAsia="Tahoma" w:hAnsi="Tahoma" w:cs="Tahoma"/>
              </w:rPr>
            </w:pPr>
          </w:p>
        </w:tc>
      </w:tr>
      <w:tr w:rsidR="00A31486" w:rsidRPr="00B673BB" w14:paraId="4C1324FC" w14:textId="77777777" w:rsidTr="00E02E44">
        <w:tc>
          <w:tcPr>
            <w:tcW w:w="825" w:type="dxa"/>
            <w:vAlign w:val="center"/>
            <w:hideMark/>
          </w:tcPr>
          <w:p w14:paraId="55BBEEC2" w14:textId="77777777" w:rsidR="00A31486" w:rsidRPr="00B673BB" w:rsidRDefault="00A31486" w:rsidP="00E02E44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lastRenderedPageBreak/>
              <w:t>7</w:t>
            </w:r>
          </w:p>
        </w:tc>
        <w:tc>
          <w:tcPr>
            <w:tcW w:w="2289" w:type="dxa"/>
            <w:vAlign w:val="center"/>
            <w:hideMark/>
          </w:tcPr>
          <w:p w14:paraId="25C37CB1" w14:textId="77777777" w:rsidR="00A31486" w:rsidRPr="00B673BB" w:rsidRDefault="00A31486" w:rsidP="00E02E44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Obsługa IEEE 802.1X</w:t>
            </w:r>
          </w:p>
        </w:tc>
        <w:tc>
          <w:tcPr>
            <w:tcW w:w="6514" w:type="dxa"/>
            <w:hideMark/>
          </w:tcPr>
          <w:p w14:paraId="57936193" w14:textId="77777777" w:rsidR="00A31486" w:rsidRPr="00B673BB" w:rsidRDefault="00A31486" w:rsidP="00E02E44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 xml:space="preserve">Przełącznik musi obsługiwać standard IEEE 802.1X w zakresie kontroli dostępu do sieci, umożliwiający uwierzytelnianie urządzeń lub użytkowników przed uzyskaniem dostępu do zasobów sieciowych. </w:t>
            </w:r>
          </w:p>
        </w:tc>
      </w:tr>
      <w:tr w:rsidR="00A31486" w:rsidRPr="00B673BB" w14:paraId="7866A886" w14:textId="77777777" w:rsidTr="00E02E44">
        <w:tc>
          <w:tcPr>
            <w:tcW w:w="825" w:type="dxa"/>
            <w:vAlign w:val="center"/>
            <w:hideMark/>
          </w:tcPr>
          <w:p w14:paraId="157EB68F" w14:textId="77777777" w:rsidR="00A31486" w:rsidRPr="00B673BB" w:rsidRDefault="00A31486" w:rsidP="00E02E44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8</w:t>
            </w:r>
          </w:p>
        </w:tc>
        <w:tc>
          <w:tcPr>
            <w:tcW w:w="2289" w:type="dxa"/>
            <w:vAlign w:val="center"/>
            <w:hideMark/>
          </w:tcPr>
          <w:p w14:paraId="392E4BB7" w14:textId="77777777" w:rsidR="00A31486" w:rsidRPr="00B673BB" w:rsidRDefault="00A31486" w:rsidP="00E02E44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Lista kontroli dostępu ACL</w:t>
            </w:r>
          </w:p>
        </w:tc>
        <w:tc>
          <w:tcPr>
            <w:tcW w:w="6514" w:type="dxa"/>
            <w:hideMark/>
          </w:tcPr>
          <w:p w14:paraId="401B750F" w14:textId="77777777" w:rsidR="00A31486" w:rsidRPr="00B673BB" w:rsidRDefault="00A31486" w:rsidP="00E02E44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Przełącznik musi obsługiwać listy kontroli dostępu ACL, umożliwiające definiowanie i stosowanie reguł filtrowania ruchu sieciowego na podstawie wybranych kryteriów komunikacyjnych. Funkcjonalność ta musi wspierać ograniczanie nieautoryzowanego ruchu, separację komunikacji pomiędzy wybranymi segmentami sieci oraz podnoszenie poziomu bezpieczeństwa infrastruktury, w tym w środowiskach współpracujących z urządzeniami automatyki i systemami informatycznymi.</w:t>
            </w:r>
          </w:p>
        </w:tc>
      </w:tr>
      <w:tr w:rsidR="00A31486" w:rsidRPr="00B673BB" w14:paraId="072F56F8" w14:textId="77777777" w:rsidTr="00E02E44">
        <w:tc>
          <w:tcPr>
            <w:tcW w:w="825" w:type="dxa"/>
            <w:vAlign w:val="center"/>
          </w:tcPr>
          <w:p w14:paraId="155C01FC" w14:textId="77777777" w:rsidR="00A31486" w:rsidRPr="00B673BB" w:rsidRDefault="00A31486" w:rsidP="00E02E44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9</w:t>
            </w:r>
          </w:p>
        </w:tc>
        <w:tc>
          <w:tcPr>
            <w:tcW w:w="2289" w:type="dxa"/>
            <w:vAlign w:val="center"/>
          </w:tcPr>
          <w:p w14:paraId="05C4EA35" w14:textId="77777777" w:rsidR="00A31486" w:rsidRPr="00B673BB" w:rsidRDefault="00A31486" w:rsidP="00E02E44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 xml:space="preserve">Obsługa </w:t>
            </w:r>
            <w:proofErr w:type="spellStart"/>
            <w:r w:rsidRPr="55CC35FE">
              <w:rPr>
                <w:rFonts w:ascii="Tahoma" w:hAnsi="Tahoma" w:cs="Tahoma"/>
              </w:rPr>
              <w:t>MACsec</w:t>
            </w:r>
            <w:proofErr w:type="spellEnd"/>
          </w:p>
        </w:tc>
        <w:tc>
          <w:tcPr>
            <w:tcW w:w="6514" w:type="dxa"/>
          </w:tcPr>
          <w:p w14:paraId="6E599592" w14:textId="77777777" w:rsidR="00A31486" w:rsidRPr="00282D77" w:rsidRDefault="00A31486" w:rsidP="00E02E44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282D77">
              <w:rPr>
                <w:rFonts w:ascii="Tahoma" w:hAnsi="Tahoma" w:cs="Tahoma"/>
              </w:rPr>
              <w:t>Przełącznik musi umożliwiać realizację szyfrowania ruchu Ethernet zgodnie ze standardem IEEE 802.1AE (</w:t>
            </w:r>
            <w:proofErr w:type="spellStart"/>
            <w:r w:rsidRPr="00282D77">
              <w:rPr>
                <w:rFonts w:ascii="Tahoma" w:hAnsi="Tahoma" w:cs="Tahoma"/>
              </w:rPr>
              <w:t>MACsec</w:t>
            </w:r>
            <w:proofErr w:type="spellEnd"/>
            <w:r w:rsidRPr="00282D77">
              <w:rPr>
                <w:rFonts w:ascii="Tahoma" w:hAnsi="Tahoma" w:cs="Tahoma"/>
              </w:rPr>
              <w:t>).</w:t>
            </w:r>
          </w:p>
          <w:p w14:paraId="7DCBE338" w14:textId="77777777" w:rsidR="00A31486" w:rsidRPr="00282D77" w:rsidRDefault="00A31486" w:rsidP="00E02E44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282D77">
              <w:rPr>
                <w:rFonts w:ascii="Tahoma" w:hAnsi="Tahoma" w:cs="Tahoma"/>
              </w:rPr>
              <w:t xml:space="preserve">Dopuszcza się realizację funkcjonalności </w:t>
            </w:r>
            <w:proofErr w:type="spellStart"/>
            <w:r w:rsidRPr="00282D77">
              <w:rPr>
                <w:rFonts w:ascii="Tahoma" w:hAnsi="Tahoma" w:cs="Tahoma"/>
              </w:rPr>
              <w:t>MACsec</w:t>
            </w:r>
            <w:proofErr w:type="spellEnd"/>
            <w:r w:rsidRPr="00282D77">
              <w:rPr>
                <w:rFonts w:ascii="Tahoma" w:hAnsi="Tahoma" w:cs="Tahoma"/>
              </w:rPr>
              <w:t>:</w:t>
            </w:r>
          </w:p>
          <w:p w14:paraId="11D8CBD0" w14:textId="77777777" w:rsidR="00A31486" w:rsidRPr="00282D77" w:rsidRDefault="00A31486" w:rsidP="00A31486">
            <w:pPr>
              <w:pStyle w:val="Akapitzlist"/>
              <w:numPr>
                <w:ilvl w:val="0"/>
                <w:numId w:val="18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282D77">
              <w:rPr>
                <w:rFonts w:ascii="Tahoma" w:hAnsi="Tahoma" w:cs="Tahoma"/>
              </w:rPr>
              <w:t>sprzętowo;</w:t>
            </w:r>
          </w:p>
          <w:p w14:paraId="450FB6C4" w14:textId="77777777" w:rsidR="00A31486" w:rsidRPr="00282D77" w:rsidRDefault="00A31486" w:rsidP="00A31486">
            <w:pPr>
              <w:pStyle w:val="Akapitzlist"/>
              <w:numPr>
                <w:ilvl w:val="0"/>
                <w:numId w:val="18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282D77">
              <w:rPr>
                <w:rFonts w:ascii="Tahoma" w:hAnsi="Tahoma" w:cs="Tahoma"/>
              </w:rPr>
              <w:t>programowo;</w:t>
            </w:r>
          </w:p>
          <w:p w14:paraId="06E34CA2" w14:textId="77777777" w:rsidR="00A31486" w:rsidRPr="00282D77" w:rsidRDefault="00A31486" w:rsidP="00A31486">
            <w:pPr>
              <w:pStyle w:val="Akapitzlist"/>
              <w:numPr>
                <w:ilvl w:val="0"/>
                <w:numId w:val="18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282D77">
              <w:rPr>
                <w:rFonts w:ascii="Tahoma" w:hAnsi="Tahoma" w:cs="Tahoma"/>
              </w:rPr>
              <w:t>przez system operacyjny lub oprogramowanie urządzenia;</w:t>
            </w:r>
          </w:p>
          <w:p w14:paraId="58FF84A5" w14:textId="77777777" w:rsidR="00A31486" w:rsidRPr="00282D77" w:rsidRDefault="00A31486" w:rsidP="00E02E44">
            <w:pPr>
              <w:spacing w:line="276" w:lineRule="auto"/>
              <w:jc w:val="both"/>
              <w:rPr>
                <w:rFonts w:ascii="Tahoma" w:hAnsi="Tahoma" w:cs="Tahoma"/>
              </w:rPr>
            </w:pPr>
          </w:p>
          <w:p w14:paraId="5D9084B5" w14:textId="77777777" w:rsidR="00A31486" w:rsidRPr="00282D77" w:rsidRDefault="00A31486" w:rsidP="00E02E44">
            <w:pPr>
              <w:spacing w:line="276" w:lineRule="auto"/>
              <w:jc w:val="both"/>
              <w:rPr>
                <w:rFonts w:ascii="Tahoma" w:hAnsi="Tahoma" w:cs="Tahoma"/>
                <w:b/>
                <w:bCs/>
              </w:rPr>
            </w:pPr>
            <w:r w:rsidRPr="00282D77">
              <w:rPr>
                <w:rFonts w:ascii="Tahoma" w:hAnsi="Tahoma" w:cs="Tahoma"/>
                <w:b/>
                <w:bCs/>
              </w:rPr>
              <w:lastRenderedPageBreak/>
              <w:t>Zamawiający nie wymaga:</w:t>
            </w:r>
          </w:p>
          <w:p w14:paraId="0C3FFAA2" w14:textId="77777777" w:rsidR="00A31486" w:rsidRPr="00282D77" w:rsidRDefault="00A31486" w:rsidP="00A31486">
            <w:pPr>
              <w:pStyle w:val="Akapitzlist"/>
              <w:numPr>
                <w:ilvl w:val="0"/>
                <w:numId w:val="19"/>
              </w:numPr>
              <w:spacing w:line="276" w:lineRule="auto"/>
              <w:jc w:val="both"/>
              <w:rPr>
                <w:rFonts w:ascii="Tahoma" w:hAnsi="Tahoma" w:cs="Tahoma"/>
                <w:b/>
                <w:bCs/>
              </w:rPr>
            </w:pPr>
            <w:r w:rsidRPr="00282D77">
              <w:rPr>
                <w:rFonts w:ascii="Tahoma" w:hAnsi="Tahoma" w:cs="Tahoma"/>
                <w:b/>
                <w:bCs/>
              </w:rPr>
              <w:t xml:space="preserve">sprzętowej akceleracji </w:t>
            </w:r>
            <w:proofErr w:type="spellStart"/>
            <w:r w:rsidRPr="00282D77">
              <w:rPr>
                <w:rFonts w:ascii="Tahoma" w:hAnsi="Tahoma" w:cs="Tahoma"/>
                <w:b/>
                <w:bCs/>
              </w:rPr>
              <w:t>MACsec</w:t>
            </w:r>
            <w:proofErr w:type="spellEnd"/>
            <w:r w:rsidRPr="00282D77">
              <w:rPr>
                <w:rFonts w:ascii="Tahoma" w:hAnsi="Tahoma" w:cs="Tahoma"/>
                <w:b/>
                <w:bCs/>
              </w:rPr>
              <w:t>;</w:t>
            </w:r>
          </w:p>
          <w:p w14:paraId="0D7EDB64" w14:textId="77777777" w:rsidR="00A31486" w:rsidRPr="00282D77" w:rsidRDefault="00A31486" w:rsidP="00A31486">
            <w:pPr>
              <w:pStyle w:val="Akapitzlist"/>
              <w:numPr>
                <w:ilvl w:val="0"/>
                <w:numId w:val="19"/>
              </w:numPr>
              <w:spacing w:line="276" w:lineRule="auto"/>
              <w:jc w:val="both"/>
              <w:rPr>
                <w:rFonts w:ascii="Tahoma" w:hAnsi="Tahoma" w:cs="Tahoma"/>
                <w:b/>
                <w:bCs/>
              </w:rPr>
            </w:pPr>
            <w:r w:rsidRPr="00282D77">
              <w:rPr>
                <w:rFonts w:ascii="Tahoma" w:hAnsi="Tahoma" w:cs="Tahoma"/>
                <w:b/>
                <w:bCs/>
              </w:rPr>
              <w:t xml:space="preserve">obsługi </w:t>
            </w:r>
            <w:proofErr w:type="spellStart"/>
            <w:r w:rsidRPr="00282D77">
              <w:rPr>
                <w:rFonts w:ascii="Tahoma" w:hAnsi="Tahoma" w:cs="Tahoma"/>
                <w:b/>
                <w:bCs/>
              </w:rPr>
              <w:t>MACsec</w:t>
            </w:r>
            <w:proofErr w:type="spellEnd"/>
            <w:r w:rsidRPr="00282D77">
              <w:rPr>
                <w:rFonts w:ascii="Tahoma" w:hAnsi="Tahoma" w:cs="Tahoma"/>
                <w:b/>
                <w:bCs/>
              </w:rPr>
              <w:t xml:space="preserve"> na wszystkich portach urządzenia;</w:t>
            </w:r>
          </w:p>
          <w:p w14:paraId="56B34A31" w14:textId="77777777" w:rsidR="00A31486" w:rsidRPr="00282D77" w:rsidRDefault="00A31486" w:rsidP="00A31486">
            <w:pPr>
              <w:pStyle w:val="Akapitzlist"/>
              <w:numPr>
                <w:ilvl w:val="0"/>
                <w:numId w:val="19"/>
              </w:numPr>
              <w:spacing w:line="276" w:lineRule="auto"/>
              <w:jc w:val="both"/>
              <w:rPr>
                <w:rFonts w:ascii="Tahoma" w:hAnsi="Tahoma" w:cs="Tahoma"/>
                <w:b/>
                <w:bCs/>
              </w:rPr>
            </w:pPr>
            <w:r w:rsidRPr="00282D77">
              <w:rPr>
                <w:rFonts w:ascii="Tahoma" w:hAnsi="Tahoma" w:cs="Tahoma"/>
                <w:b/>
                <w:bCs/>
              </w:rPr>
              <w:t>zapewnienia pełnej przepustowości portu (</w:t>
            </w:r>
            <w:proofErr w:type="spellStart"/>
            <w:r w:rsidRPr="00282D77">
              <w:rPr>
                <w:rFonts w:ascii="Tahoma" w:hAnsi="Tahoma" w:cs="Tahoma"/>
                <w:b/>
                <w:bCs/>
              </w:rPr>
              <w:t>line-rate</w:t>
            </w:r>
            <w:proofErr w:type="spellEnd"/>
            <w:r w:rsidRPr="00282D77">
              <w:rPr>
                <w:rFonts w:ascii="Tahoma" w:hAnsi="Tahoma" w:cs="Tahoma"/>
                <w:b/>
                <w:bCs/>
              </w:rPr>
              <w:t xml:space="preserve">) przy włączonym </w:t>
            </w:r>
            <w:proofErr w:type="spellStart"/>
            <w:r w:rsidRPr="00282D77">
              <w:rPr>
                <w:rFonts w:ascii="Tahoma" w:hAnsi="Tahoma" w:cs="Tahoma"/>
                <w:b/>
                <w:bCs/>
              </w:rPr>
              <w:t>MACsec</w:t>
            </w:r>
            <w:proofErr w:type="spellEnd"/>
            <w:r w:rsidRPr="00282D77">
              <w:rPr>
                <w:rFonts w:ascii="Tahoma" w:hAnsi="Tahoma" w:cs="Tahoma"/>
                <w:b/>
                <w:bCs/>
              </w:rPr>
              <w:t>;</w:t>
            </w:r>
          </w:p>
          <w:p w14:paraId="373222DA" w14:textId="77777777" w:rsidR="00A31486" w:rsidRPr="00282D77" w:rsidRDefault="00A31486" w:rsidP="00A31486">
            <w:pPr>
              <w:pStyle w:val="Akapitzlist"/>
              <w:numPr>
                <w:ilvl w:val="0"/>
                <w:numId w:val="19"/>
              </w:numPr>
              <w:spacing w:line="276" w:lineRule="auto"/>
              <w:jc w:val="both"/>
              <w:rPr>
                <w:rFonts w:ascii="Tahoma" w:hAnsi="Tahoma" w:cs="Tahoma"/>
                <w:b/>
                <w:bCs/>
              </w:rPr>
            </w:pPr>
            <w:r w:rsidRPr="00282D77">
              <w:rPr>
                <w:rFonts w:ascii="Tahoma" w:hAnsi="Tahoma" w:cs="Tahoma"/>
                <w:b/>
                <w:bCs/>
              </w:rPr>
              <w:t xml:space="preserve">obsługi </w:t>
            </w:r>
            <w:proofErr w:type="spellStart"/>
            <w:r w:rsidRPr="00282D77">
              <w:rPr>
                <w:rFonts w:ascii="Tahoma" w:hAnsi="Tahoma" w:cs="Tahoma"/>
                <w:b/>
                <w:bCs/>
              </w:rPr>
              <w:t>MACsec</w:t>
            </w:r>
            <w:proofErr w:type="spellEnd"/>
            <w:r w:rsidRPr="00282D77">
              <w:rPr>
                <w:rFonts w:ascii="Tahoma" w:hAnsi="Tahoma" w:cs="Tahoma"/>
                <w:b/>
                <w:bCs/>
              </w:rPr>
              <w:t xml:space="preserve"> jednocześnie na wszystkich interfejsach;</w:t>
            </w:r>
          </w:p>
          <w:p w14:paraId="196FD200" w14:textId="77777777" w:rsidR="00A31486" w:rsidRPr="00282D77" w:rsidRDefault="00A31486" w:rsidP="00A31486">
            <w:pPr>
              <w:pStyle w:val="Akapitzlist"/>
              <w:numPr>
                <w:ilvl w:val="0"/>
                <w:numId w:val="19"/>
              </w:numPr>
              <w:spacing w:line="276" w:lineRule="auto"/>
              <w:jc w:val="both"/>
              <w:rPr>
                <w:rFonts w:ascii="Tahoma" w:hAnsi="Tahoma" w:cs="Tahoma"/>
                <w:b/>
                <w:bCs/>
              </w:rPr>
            </w:pPr>
            <w:r w:rsidRPr="00282D77">
              <w:rPr>
                <w:rFonts w:ascii="Tahoma" w:hAnsi="Tahoma" w:cs="Tahoma"/>
                <w:b/>
                <w:bCs/>
              </w:rPr>
              <w:t xml:space="preserve">dodatkowych funkcjonalności </w:t>
            </w:r>
            <w:proofErr w:type="spellStart"/>
            <w:r w:rsidRPr="00282D77">
              <w:rPr>
                <w:rFonts w:ascii="Tahoma" w:hAnsi="Tahoma" w:cs="Tahoma"/>
                <w:b/>
                <w:bCs/>
              </w:rPr>
              <w:t>MACsec</w:t>
            </w:r>
            <w:proofErr w:type="spellEnd"/>
            <w:r w:rsidRPr="00282D77">
              <w:rPr>
                <w:rFonts w:ascii="Tahoma" w:hAnsi="Tahoma" w:cs="Tahoma"/>
                <w:b/>
                <w:bCs/>
              </w:rPr>
              <w:t xml:space="preserve"> wykraczających poza możliwość zestawienia zabezpieczonego połączenia warstwy drugiej.</w:t>
            </w:r>
          </w:p>
          <w:p w14:paraId="71D80471" w14:textId="77777777" w:rsidR="00A31486" w:rsidRPr="00001903" w:rsidRDefault="00A31486" w:rsidP="00E02E44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282D77">
              <w:rPr>
                <w:rFonts w:ascii="Tahoma" w:hAnsi="Tahoma" w:cs="Tahoma"/>
              </w:rPr>
              <w:t xml:space="preserve">Wymagane jest, aby </w:t>
            </w:r>
            <w:proofErr w:type="spellStart"/>
            <w:r w:rsidRPr="00282D77">
              <w:rPr>
                <w:rFonts w:ascii="Tahoma" w:hAnsi="Tahoma" w:cs="Tahoma"/>
              </w:rPr>
              <w:t>MACsec</w:t>
            </w:r>
            <w:proofErr w:type="spellEnd"/>
            <w:r w:rsidRPr="00282D77">
              <w:rPr>
                <w:rFonts w:ascii="Tahoma" w:hAnsi="Tahoma" w:cs="Tahoma"/>
              </w:rPr>
              <w:t xml:space="preserve"> mógł zostać uruchomiony co najmniej dla jednego połączenia Ethernet pomiędzy oferowanym przełącznikiem a innym urządzeniem obsługującym tę funkcjonalność.</w:t>
            </w:r>
          </w:p>
        </w:tc>
      </w:tr>
      <w:tr w:rsidR="00A31486" w:rsidRPr="00B673BB" w14:paraId="73D5D573" w14:textId="77777777" w:rsidTr="00E02E44">
        <w:tc>
          <w:tcPr>
            <w:tcW w:w="825" w:type="dxa"/>
            <w:vAlign w:val="center"/>
            <w:hideMark/>
          </w:tcPr>
          <w:p w14:paraId="3E281B92" w14:textId="77777777" w:rsidR="00A31486" w:rsidRPr="00B673BB" w:rsidRDefault="00A31486" w:rsidP="00E02E44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lastRenderedPageBreak/>
              <w:t>10</w:t>
            </w:r>
          </w:p>
        </w:tc>
        <w:tc>
          <w:tcPr>
            <w:tcW w:w="2289" w:type="dxa"/>
            <w:vAlign w:val="center"/>
            <w:hideMark/>
          </w:tcPr>
          <w:p w14:paraId="23B681B7" w14:textId="77777777" w:rsidR="00A31486" w:rsidRPr="00B673BB" w:rsidRDefault="00A31486" w:rsidP="00E02E44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 xml:space="preserve">Obsługa </w:t>
            </w:r>
            <w:proofErr w:type="spellStart"/>
            <w:r w:rsidRPr="55CC35FE">
              <w:rPr>
                <w:rFonts w:ascii="Tahoma" w:hAnsi="Tahoma" w:cs="Tahoma"/>
              </w:rPr>
              <w:t>multicast</w:t>
            </w:r>
            <w:proofErr w:type="spellEnd"/>
            <w:r w:rsidRPr="55CC35FE">
              <w:rPr>
                <w:rFonts w:ascii="Tahoma" w:hAnsi="Tahoma" w:cs="Tahoma"/>
              </w:rPr>
              <w:t xml:space="preserve"> / IGMP </w:t>
            </w:r>
            <w:proofErr w:type="spellStart"/>
            <w:r w:rsidRPr="55CC35FE">
              <w:rPr>
                <w:rFonts w:ascii="Tahoma" w:hAnsi="Tahoma" w:cs="Tahoma"/>
              </w:rPr>
              <w:t>Snooping</w:t>
            </w:r>
            <w:proofErr w:type="spellEnd"/>
          </w:p>
        </w:tc>
        <w:tc>
          <w:tcPr>
            <w:tcW w:w="6514" w:type="dxa"/>
            <w:hideMark/>
          </w:tcPr>
          <w:p w14:paraId="2B9AFC82" w14:textId="77777777" w:rsidR="00A31486" w:rsidRPr="00B673BB" w:rsidRDefault="00A31486" w:rsidP="00E02E44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 xml:space="preserve">Przełącznik musi obsługiwać ruch </w:t>
            </w:r>
            <w:proofErr w:type="spellStart"/>
            <w:r w:rsidRPr="55CC35FE">
              <w:rPr>
                <w:rFonts w:ascii="Tahoma" w:hAnsi="Tahoma" w:cs="Tahoma"/>
              </w:rPr>
              <w:t>multicast</w:t>
            </w:r>
            <w:proofErr w:type="spellEnd"/>
            <w:r w:rsidRPr="55CC35FE">
              <w:rPr>
                <w:rFonts w:ascii="Tahoma" w:hAnsi="Tahoma" w:cs="Tahoma"/>
              </w:rPr>
              <w:t xml:space="preserve"> oraz mechanizmy IGMP </w:t>
            </w:r>
            <w:proofErr w:type="spellStart"/>
            <w:r w:rsidRPr="55CC35FE">
              <w:rPr>
                <w:rFonts w:ascii="Tahoma" w:hAnsi="Tahoma" w:cs="Tahoma"/>
              </w:rPr>
              <w:t>Snooping</w:t>
            </w:r>
            <w:proofErr w:type="spellEnd"/>
            <w:r w:rsidRPr="55CC35FE">
              <w:rPr>
                <w:rFonts w:ascii="Tahoma" w:hAnsi="Tahoma" w:cs="Tahoma"/>
              </w:rPr>
              <w:t>, umożliwiające kontrolowane przekazywanie transmisji grupowej wyłącznie do portów, dla których jest ona wymagana.</w:t>
            </w:r>
          </w:p>
        </w:tc>
      </w:tr>
      <w:tr w:rsidR="00A31486" w:rsidRPr="00B673BB" w14:paraId="6D05C824" w14:textId="77777777" w:rsidTr="00E02E44">
        <w:tc>
          <w:tcPr>
            <w:tcW w:w="825" w:type="dxa"/>
            <w:vAlign w:val="center"/>
            <w:hideMark/>
          </w:tcPr>
          <w:p w14:paraId="6D6A8EE4" w14:textId="77777777" w:rsidR="00A31486" w:rsidRPr="00B673BB" w:rsidRDefault="00A31486" w:rsidP="00E02E44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11</w:t>
            </w:r>
          </w:p>
        </w:tc>
        <w:tc>
          <w:tcPr>
            <w:tcW w:w="2289" w:type="dxa"/>
            <w:vAlign w:val="center"/>
            <w:hideMark/>
          </w:tcPr>
          <w:p w14:paraId="2BF8B33F" w14:textId="77777777" w:rsidR="00A31486" w:rsidRPr="00B673BB" w:rsidRDefault="00A31486" w:rsidP="00E02E44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Obsługa protokołu STP</w:t>
            </w:r>
          </w:p>
        </w:tc>
        <w:tc>
          <w:tcPr>
            <w:tcW w:w="6514" w:type="dxa"/>
            <w:hideMark/>
          </w:tcPr>
          <w:p w14:paraId="7F013972" w14:textId="77777777" w:rsidR="00A31486" w:rsidRPr="00B673BB" w:rsidRDefault="00A31486" w:rsidP="00E02E44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Przełącznik musi obsługiwać protokół STP (</w:t>
            </w:r>
            <w:proofErr w:type="spellStart"/>
            <w:r w:rsidRPr="55CC35FE">
              <w:rPr>
                <w:rFonts w:ascii="Tahoma" w:hAnsi="Tahoma" w:cs="Tahoma"/>
              </w:rPr>
              <w:t>Spanning</w:t>
            </w:r>
            <w:proofErr w:type="spellEnd"/>
            <w:r w:rsidRPr="55CC35FE">
              <w:rPr>
                <w:rFonts w:ascii="Tahoma" w:hAnsi="Tahoma" w:cs="Tahoma"/>
              </w:rPr>
              <w:t xml:space="preserve"> </w:t>
            </w:r>
            <w:proofErr w:type="spellStart"/>
            <w:r w:rsidRPr="55CC35FE">
              <w:rPr>
                <w:rFonts w:ascii="Tahoma" w:hAnsi="Tahoma" w:cs="Tahoma"/>
              </w:rPr>
              <w:t>Tree</w:t>
            </w:r>
            <w:proofErr w:type="spellEnd"/>
            <w:r w:rsidRPr="55CC35FE">
              <w:rPr>
                <w:rFonts w:ascii="Tahoma" w:hAnsi="Tahoma" w:cs="Tahoma"/>
              </w:rPr>
              <w:t xml:space="preserve"> </w:t>
            </w:r>
            <w:proofErr w:type="spellStart"/>
            <w:r w:rsidRPr="55CC35FE">
              <w:rPr>
                <w:rFonts w:ascii="Tahoma" w:hAnsi="Tahoma" w:cs="Tahoma"/>
              </w:rPr>
              <w:t>Protocol</w:t>
            </w:r>
            <w:proofErr w:type="spellEnd"/>
            <w:r w:rsidRPr="55CC35FE">
              <w:rPr>
                <w:rFonts w:ascii="Tahoma" w:hAnsi="Tahoma" w:cs="Tahoma"/>
              </w:rPr>
              <w:t>) lub mechanizm równoważny, umożliwiający wykrywanie i eliminowanie pętli w topologii sieci Ethernet.</w:t>
            </w:r>
          </w:p>
        </w:tc>
      </w:tr>
      <w:tr w:rsidR="00A31486" w:rsidRPr="00B673BB" w14:paraId="037792D0" w14:textId="77777777" w:rsidTr="00E02E44">
        <w:tc>
          <w:tcPr>
            <w:tcW w:w="825" w:type="dxa"/>
            <w:vAlign w:val="center"/>
            <w:hideMark/>
          </w:tcPr>
          <w:p w14:paraId="11DC057E" w14:textId="77777777" w:rsidR="00A31486" w:rsidRPr="00B673BB" w:rsidRDefault="00A31486" w:rsidP="00E02E44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12</w:t>
            </w:r>
          </w:p>
        </w:tc>
        <w:tc>
          <w:tcPr>
            <w:tcW w:w="2289" w:type="dxa"/>
            <w:vAlign w:val="center"/>
            <w:hideMark/>
          </w:tcPr>
          <w:p w14:paraId="40CB625A" w14:textId="77777777" w:rsidR="00A31486" w:rsidRPr="00B673BB" w:rsidRDefault="00A31486" w:rsidP="00E02E44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Zarządzanie przez interfejs WWW</w:t>
            </w:r>
          </w:p>
        </w:tc>
        <w:tc>
          <w:tcPr>
            <w:tcW w:w="6514" w:type="dxa"/>
            <w:hideMark/>
          </w:tcPr>
          <w:p w14:paraId="5588FDA5" w14:textId="77777777" w:rsidR="00A31486" w:rsidRPr="00B673BB" w:rsidRDefault="00A31486" w:rsidP="00E02E44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Przełącznik musi umożliwiać zarządzanie i konfigurację za pośrednictwem graficznego interfejsu WWW, dostępnego z poziomu przeglądarki internetowej.</w:t>
            </w:r>
          </w:p>
        </w:tc>
      </w:tr>
      <w:tr w:rsidR="00A31486" w:rsidRPr="00B673BB" w14:paraId="61CCFC9D" w14:textId="77777777" w:rsidTr="00E02E44">
        <w:tc>
          <w:tcPr>
            <w:tcW w:w="825" w:type="dxa"/>
            <w:vAlign w:val="center"/>
            <w:hideMark/>
          </w:tcPr>
          <w:p w14:paraId="1D47F04F" w14:textId="77777777" w:rsidR="00A31486" w:rsidRPr="00B673BB" w:rsidRDefault="00A31486" w:rsidP="00E02E44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lastRenderedPageBreak/>
              <w:t>13</w:t>
            </w:r>
          </w:p>
        </w:tc>
        <w:tc>
          <w:tcPr>
            <w:tcW w:w="2289" w:type="dxa"/>
            <w:vAlign w:val="center"/>
            <w:hideMark/>
          </w:tcPr>
          <w:p w14:paraId="6BDAC9C2" w14:textId="77777777" w:rsidR="00A31486" w:rsidRPr="00B673BB" w:rsidRDefault="00A31486" w:rsidP="00E02E44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Zarządzanie z wiersza poleceń (CLI)</w:t>
            </w:r>
          </w:p>
        </w:tc>
        <w:tc>
          <w:tcPr>
            <w:tcW w:w="6514" w:type="dxa"/>
            <w:hideMark/>
          </w:tcPr>
          <w:p w14:paraId="437B071F" w14:textId="77777777" w:rsidR="00A31486" w:rsidRPr="00B673BB" w:rsidRDefault="00A31486" w:rsidP="00E02E44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Przełącznik musi umożliwiać zarządzanie i konfigurację z poziomu interfejsu wiersza poleceń (CLI), pozwalającego na wykonywanie czynności administracyjnych, diagnostycznych i konfiguracyjnych.</w:t>
            </w:r>
          </w:p>
        </w:tc>
      </w:tr>
      <w:tr w:rsidR="00A31486" w:rsidRPr="00B673BB" w14:paraId="0EF29583" w14:textId="77777777" w:rsidTr="00E02E44">
        <w:tc>
          <w:tcPr>
            <w:tcW w:w="825" w:type="dxa"/>
            <w:vAlign w:val="center"/>
            <w:hideMark/>
          </w:tcPr>
          <w:p w14:paraId="1003F066" w14:textId="77777777" w:rsidR="00A31486" w:rsidRPr="00B673BB" w:rsidRDefault="00A31486" w:rsidP="00E02E44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14</w:t>
            </w:r>
          </w:p>
        </w:tc>
        <w:tc>
          <w:tcPr>
            <w:tcW w:w="2289" w:type="dxa"/>
            <w:vAlign w:val="center"/>
            <w:hideMark/>
          </w:tcPr>
          <w:p w14:paraId="022A38F9" w14:textId="77777777" w:rsidR="00A31486" w:rsidRPr="00B673BB" w:rsidRDefault="00A31486" w:rsidP="00E02E44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Obsługa bezpiecznego zarządzania (SSH / HTTPS / SSL/TLS)</w:t>
            </w:r>
          </w:p>
        </w:tc>
        <w:tc>
          <w:tcPr>
            <w:tcW w:w="6514" w:type="dxa"/>
            <w:hideMark/>
          </w:tcPr>
          <w:p w14:paraId="28D8599D" w14:textId="77777777" w:rsidR="00A31486" w:rsidRPr="00B673BB" w:rsidRDefault="00A31486" w:rsidP="00E02E44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Przełącznik musi obsługiwać mechanizmy bezpiecznego zarządzania z wykorzystaniem szyfrowanych protokołów komunikacyjnych, takich jak SSH, HTTPS oraz SSL/TLS, zapewniających ochronę poufności i integralności danych przesyłanych podczas administracji urządzeniem.</w:t>
            </w:r>
          </w:p>
        </w:tc>
      </w:tr>
      <w:tr w:rsidR="00A31486" w:rsidRPr="00B673BB" w14:paraId="724AC4BF" w14:textId="77777777" w:rsidTr="00E02E44">
        <w:tc>
          <w:tcPr>
            <w:tcW w:w="825" w:type="dxa"/>
            <w:vAlign w:val="center"/>
          </w:tcPr>
          <w:p w14:paraId="0B5E72EC" w14:textId="77777777" w:rsidR="00A31486" w:rsidRPr="55CC35FE" w:rsidRDefault="00A31486" w:rsidP="00E02E44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2289" w:type="dxa"/>
            <w:vAlign w:val="center"/>
          </w:tcPr>
          <w:p w14:paraId="416B8148" w14:textId="77777777" w:rsidR="00A31486" w:rsidRPr="55CC35FE" w:rsidRDefault="00A31486" w:rsidP="00E02E44">
            <w:pPr>
              <w:rPr>
                <w:rFonts w:ascii="Tahoma" w:hAnsi="Tahoma" w:cs="Tahoma"/>
              </w:rPr>
            </w:pPr>
            <w:r w:rsidRPr="008C3BDA">
              <w:rPr>
                <w:rFonts w:ascii="Tahoma" w:hAnsi="Tahoma" w:cs="Tahoma"/>
              </w:rPr>
              <w:t>Współpraca z sondami monitorowania OT</w:t>
            </w:r>
          </w:p>
        </w:tc>
        <w:tc>
          <w:tcPr>
            <w:tcW w:w="6514" w:type="dxa"/>
          </w:tcPr>
          <w:p w14:paraId="544B6DD0" w14:textId="77777777" w:rsidR="00A31486" w:rsidRPr="008C3BDA" w:rsidRDefault="00A31486" w:rsidP="00E02E44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8C3BDA">
              <w:rPr>
                <w:rFonts w:ascii="Tahoma" w:hAnsi="Tahoma" w:cs="Tahoma"/>
              </w:rPr>
              <w:t>Przełącznik musi umożliwiać konfigurację portów przeznaczonych do podłączenia sond monitorowania OT, w szczególności poprzez przekazywanie do nich kopii ruchu z wybranych portów, segmentów lub VLAN, bez wpływu na ciągłość komunikacji produkcyjnej.</w:t>
            </w:r>
          </w:p>
          <w:p w14:paraId="6CC0A96A" w14:textId="77777777" w:rsidR="00A31486" w:rsidRPr="008C3BDA" w:rsidRDefault="00A31486" w:rsidP="00E02E44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8C3BDA">
              <w:rPr>
                <w:rFonts w:ascii="Tahoma" w:hAnsi="Tahoma" w:cs="Tahoma"/>
              </w:rPr>
              <w:t xml:space="preserve">Przełącznik musi umożliwiać wydzielenie portów produkcyjnych, portów </w:t>
            </w:r>
            <w:proofErr w:type="spellStart"/>
            <w:r w:rsidRPr="008C3BDA">
              <w:rPr>
                <w:rFonts w:ascii="Tahoma" w:hAnsi="Tahoma" w:cs="Tahoma"/>
              </w:rPr>
              <w:t>uplink</w:t>
            </w:r>
            <w:proofErr w:type="spellEnd"/>
            <w:r w:rsidRPr="008C3BDA">
              <w:rPr>
                <w:rFonts w:ascii="Tahoma" w:hAnsi="Tahoma" w:cs="Tahoma"/>
              </w:rPr>
              <w:t>, portów zarządzających oraz portów monitorujących, zgodnie z projektem technicznym wdrożenia systemu bezpieczeństwa OT.</w:t>
            </w:r>
          </w:p>
          <w:p w14:paraId="36303414" w14:textId="77777777" w:rsidR="00A31486" w:rsidRPr="55CC35FE" w:rsidRDefault="00A31486" w:rsidP="00E02E44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8C3BDA">
              <w:rPr>
                <w:rFonts w:ascii="Tahoma" w:hAnsi="Tahoma" w:cs="Tahoma"/>
              </w:rPr>
              <w:t>Wykonawca zobowiązany jest zapewnić, aby konfiguracja przełączników była spójna z konfiguracją sond sprzętowych oraz centralnego systemu bezpieczeństwa OT dostarczanych w ramach niniejszego zamówienia.</w:t>
            </w:r>
          </w:p>
        </w:tc>
      </w:tr>
      <w:tr w:rsidR="00A31486" w:rsidRPr="00B673BB" w14:paraId="5E645E60" w14:textId="77777777" w:rsidTr="00E02E44">
        <w:tc>
          <w:tcPr>
            <w:tcW w:w="825" w:type="dxa"/>
            <w:vAlign w:val="center"/>
            <w:hideMark/>
          </w:tcPr>
          <w:p w14:paraId="396AB94A" w14:textId="77777777" w:rsidR="00A31486" w:rsidRPr="00B673BB" w:rsidRDefault="00A31486" w:rsidP="00E02E44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1</w:t>
            </w:r>
            <w:r>
              <w:rPr>
                <w:rFonts w:ascii="Tahoma" w:hAnsi="Tahoma" w:cs="Tahoma"/>
              </w:rPr>
              <w:t>6</w:t>
            </w:r>
          </w:p>
        </w:tc>
        <w:tc>
          <w:tcPr>
            <w:tcW w:w="2289" w:type="dxa"/>
            <w:vAlign w:val="center"/>
            <w:hideMark/>
          </w:tcPr>
          <w:p w14:paraId="4E5326EC" w14:textId="77777777" w:rsidR="00A31486" w:rsidRPr="00B673BB" w:rsidRDefault="00A31486" w:rsidP="00E02E44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 xml:space="preserve">Możliwość montażu w szafie </w:t>
            </w:r>
            <w:proofErr w:type="spellStart"/>
            <w:r w:rsidRPr="55CC35FE">
              <w:rPr>
                <w:rFonts w:ascii="Tahoma" w:hAnsi="Tahoma" w:cs="Tahoma"/>
              </w:rPr>
              <w:t>rack</w:t>
            </w:r>
            <w:proofErr w:type="spellEnd"/>
          </w:p>
        </w:tc>
        <w:tc>
          <w:tcPr>
            <w:tcW w:w="6514" w:type="dxa"/>
            <w:hideMark/>
          </w:tcPr>
          <w:p w14:paraId="6708F9CF" w14:textId="77777777" w:rsidR="00A31486" w:rsidRPr="00B673BB" w:rsidRDefault="00A31486" w:rsidP="00E02E44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 xml:space="preserve">Przełącznik musi być przystosowany do montażu w standardowej szafie teleinformatycznej typu </w:t>
            </w:r>
            <w:proofErr w:type="spellStart"/>
            <w:r w:rsidRPr="55CC35FE">
              <w:rPr>
                <w:rFonts w:ascii="Tahoma" w:hAnsi="Tahoma" w:cs="Tahoma"/>
              </w:rPr>
              <w:t>rack</w:t>
            </w:r>
            <w:proofErr w:type="spellEnd"/>
            <w:r w:rsidRPr="55CC35FE">
              <w:rPr>
                <w:rFonts w:ascii="Tahoma" w:hAnsi="Tahoma" w:cs="Tahoma"/>
              </w:rPr>
              <w:t xml:space="preserve"> lub dostarczany z rozwiązaniem umożliwiającym taki montaż.</w:t>
            </w:r>
          </w:p>
        </w:tc>
      </w:tr>
      <w:tr w:rsidR="00A31486" w14:paraId="170109C9" w14:textId="77777777" w:rsidTr="00E02E44">
        <w:trPr>
          <w:trHeight w:val="300"/>
        </w:trPr>
        <w:tc>
          <w:tcPr>
            <w:tcW w:w="825" w:type="dxa"/>
            <w:vAlign w:val="center"/>
            <w:hideMark/>
          </w:tcPr>
          <w:p w14:paraId="4B858375" w14:textId="77777777" w:rsidR="00A31486" w:rsidRDefault="00A31486" w:rsidP="00E02E44">
            <w:pPr>
              <w:rPr>
                <w:rFonts w:ascii="Tahoma" w:hAnsi="Tahoma" w:cs="Tahoma"/>
              </w:rPr>
            </w:pPr>
            <w:r w:rsidRPr="6FE5B25D">
              <w:rPr>
                <w:rFonts w:ascii="Tahoma" w:hAnsi="Tahoma" w:cs="Tahoma"/>
              </w:rPr>
              <w:lastRenderedPageBreak/>
              <w:t>1</w:t>
            </w:r>
            <w:r>
              <w:rPr>
                <w:rFonts w:ascii="Tahoma" w:hAnsi="Tahoma" w:cs="Tahoma"/>
              </w:rPr>
              <w:t>7</w:t>
            </w:r>
          </w:p>
        </w:tc>
        <w:tc>
          <w:tcPr>
            <w:tcW w:w="2289" w:type="dxa"/>
            <w:vAlign w:val="center"/>
            <w:hideMark/>
          </w:tcPr>
          <w:p w14:paraId="5C10FFA3" w14:textId="77777777" w:rsidR="00A31486" w:rsidRDefault="00A31486" w:rsidP="00E02E44">
            <w:pPr>
              <w:rPr>
                <w:rFonts w:ascii="Tahoma" w:hAnsi="Tahoma" w:cs="Tahoma"/>
              </w:rPr>
            </w:pPr>
            <w:r w:rsidRPr="6FE5B25D">
              <w:rPr>
                <w:rFonts w:ascii="Tahoma" w:hAnsi="Tahoma" w:cs="Tahoma"/>
              </w:rPr>
              <w:t>Gwarancja</w:t>
            </w:r>
          </w:p>
        </w:tc>
        <w:tc>
          <w:tcPr>
            <w:tcW w:w="6514" w:type="dxa"/>
            <w:hideMark/>
          </w:tcPr>
          <w:p w14:paraId="132BEBC8" w14:textId="77777777" w:rsidR="00A31486" w:rsidRDefault="00A31486" w:rsidP="00E02E44">
            <w:pPr>
              <w:spacing w:line="276" w:lineRule="auto"/>
              <w:jc w:val="both"/>
            </w:pPr>
            <w:r w:rsidRPr="6FE5B25D">
              <w:rPr>
                <w:rFonts w:ascii="Tahoma" w:eastAsia="Tahoma" w:hAnsi="Tahoma" w:cs="Tahoma"/>
              </w:rPr>
              <w:t>Przełącznik musi być objęty gwarancją na okres co najmniej 36 miesięcy.</w:t>
            </w:r>
          </w:p>
        </w:tc>
      </w:tr>
    </w:tbl>
    <w:p w14:paraId="2E59501D" w14:textId="77777777" w:rsidR="00200170" w:rsidRPr="00200170" w:rsidRDefault="00200170" w:rsidP="000A73E2">
      <w:pPr>
        <w:rPr>
          <w:rFonts w:ascii="Tahoma" w:hAnsi="Tahoma" w:cs="Tahoma"/>
        </w:rPr>
      </w:pPr>
    </w:p>
    <w:sectPr w:rsidR="00200170" w:rsidRPr="00200170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C4C03" w14:textId="77777777" w:rsidR="00294269" w:rsidRDefault="00294269">
      <w:r>
        <w:separator/>
      </w:r>
    </w:p>
  </w:endnote>
  <w:endnote w:type="continuationSeparator" w:id="0">
    <w:p w14:paraId="42EBCD63" w14:textId="77777777" w:rsidR="00294269" w:rsidRDefault="00294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2F71B98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000000">
      <w:rPr>
        <w:rFonts w:asciiTheme="minorHAnsi" w:hAnsiTheme="minorHAnsi" w:cstheme="minorHAnsi"/>
        <w:noProof/>
        <w:sz w:val="10"/>
        <w:szCs w:val="10"/>
      </w:rPr>
      <w:pict w14:anchorId="323B3C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-60.5pt;margin-top:481.05pt;width:599.6pt;height:262.45pt;z-index:-251657728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60C31" w14:textId="77777777" w:rsidR="00294269" w:rsidRDefault="00294269">
      <w:r>
        <w:separator/>
      </w:r>
    </w:p>
  </w:footnote>
  <w:footnote w:type="continuationSeparator" w:id="0">
    <w:p w14:paraId="28C4FBCC" w14:textId="77777777" w:rsidR="00294269" w:rsidRDefault="00294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5F0A19"/>
    <w:multiLevelType w:val="hybridMultilevel"/>
    <w:tmpl w:val="32C07C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DC5051"/>
    <w:multiLevelType w:val="hybridMultilevel"/>
    <w:tmpl w:val="E1A2BE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0"/>
  </w:num>
  <w:num w:numId="4" w16cid:durableId="907615826">
    <w:abstractNumId w:val="6"/>
  </w:num>
  <w:num w:numId="5" w16cid:durableId="397635744">
    <w:abstractNumId w:val="17"/>
  </w:num>
  <w:num w:numId="6" w16cid:durableId="1648318210">
    <w:abstractNumId w:val="15"/>
  </w:num>
  <w:num w:numId="7" w16cid:durableId="331833269">
    <w:abstractNumId w:val="16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4"/>
  </w:num>
  <w:num w:numId="11" w16cid:durableId="7873616">
    <w:abstractNumId w:val="8"/>
  </w:num>
  <w:num w:numId="12" w16cid:durableId="1726102718">
    <w:abstractNumId w:val="18"/>
  </w:num>
  <w:num w:numId="13" w16cid:durableId="333580693">
    <w:abstractNumId w:val="12"/>
  </w:num>
  <w:num w:numId="14" w16cid:durableId="1335911795">
    <w:abstractNumId w:val="7"/>
  </w:num>
  <w:num w:numId="15" w16cid:durableId="736320308">
    <w:abstractNumId w:val="5"/>
  </w:num>
  <w:num w:numId="16" w16cid:durableId="1160580737">
    <w:abstractNumId w:val="4"/>
  </w:num>
  <w:num w:numId="17" w16cid:durableId="1300263558">
    <w:abstractNumId w:val="11"/>
  </w:num>
  <w:num w:numId="18" w16cid:durableId="1654797807">
    <w:abstractNumId w:val="9"/>
  </w:num>
  <w:num w:numId="19" w16cid:durableId="20750816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1903"/>
    <w:rsid w:val="00010FC6"/>
    <w:rsid w:val="0004603C"/>
    <w:rsid w:val="00065C40"/>
    <w:rsid w:val="00094EF6"/>
    <w:rsid w:val="000A4F92"/>
    <w:rsid w:val="000A64A5"/>
    <w:rsid w:val="000A73E2"/>
    <w:rsid w:val="000E21EF"/>
    <w:rsid w:val="000E45A5"/>
    <w:rsid w:val="0010162A"/>
    <w:rsid w:val="001259A8"/>
    <w:rsid w:val="001561C5"/>
    <w:rsid w:val="00200170"/>
    <w:rsid w:val="00214307"/>
    <w:rsid w:val="002571F6"/>
    <w:rsid w:val="002925F2"/>
    <w:rsid w:val="00294269"/>
    <w:rsid w:val="002B08FC"/>
    <w:rsid w:val="002B40F4"/>
    <w:rsid w:val="002D66BB"/>
    <w:rsid w:val="002E6BDD"/>
    <w:rsid w:val="002F646B"/>
    <w:rsid w:val="002F66E8"/>
    <w:rsid w:val="00306AC6"/>
    <w:rsid w:val="00310274"/>
    <w:rsid w:val="003134FE"/>
    <w:rsid w:val="003165EB"/>
    <w:rsid w:val="0032350E"/>
    <w:rsid w:val="003816DA"/>
    <w:rsid w:val="00385FFB"/>
    <w:rsid w:val="00412555"/>
    <w:rsid w:val="0042606F"/>
    <w:rsid w:val="00457569"/>
    <w:rsid w:val="00464154"/>
    <w:rsid w:val="00482EA3"/>
    <w:rsid w:val="004844AD"/>
    <w:rsid w:val="004E62F6"/>
    <w:rsid w:val="005115C2"/>
    <w:rsid w:val="005451FD"/>
    <w:rsid w:val="005A056A"/>
    <w:rsid w:val="005B7917"/>
    <w:rsid w:val="005E22E2"/>
    <w:rsid w:val="00670180"/>
    <w:rsid w:val="006760F1"/>
    <w:rsid w:val="006D19B4"/>
    <w:rsid w:val="006E040C"/>
    <w:rsid w:val="006E1081"/>
    <w:rsid w:val="006F3A4A"/>
    <w:rsid w:val="007021C9"/>
    <w:rsid w:val="007077F2"/>
    <w:rsid w:val="00735813"/>
    <w:rsid w:val="00760990"/>
    <w:rsid w:val="00761B48"/>
    <w:rsid w:val="00780D75"/>
    <w:rsid w:val="00834270"/>
    <w:rsid w:val="00850590"/>
    <w:rsid w:val="00863B80"/>
    <w:rsid w:val="00863D3F"/>
    <w:rsid w:val="0088784C"/>
    <w:rsid w:val="008B2E44"/>
    <w:rsid w:val="008C3BDA"/>
    <w:rsid w:val="008C4DE6"/>
    <w:rsid w:val="008D7C6A"/>
    <w:rsid w:val="00924460"/>
    <w:rsid w:val="009823C9"/>
    <w:rsid w:val="009A5797"/>
    <w:rsid w:val="009B56F9"/>
    <w:rsid w:val="009B7B29"/>
    <w:rsid w:val="00A16301"/>
    <w:rsid w:val="00A228FA"/>
    <w:rsid w:val="00A25198"/>
    <w:rsid w:val="00A27692"/>
    <w:rsid w:val="00A31486"/>
    <w:rsid w:val="00A34049"/>
    <w:rsid w:val="00A40375"/>
    <w:rsid w:val="00A42564"/>
    <w:rsid w:val="00A47B53"/>
    <w:rsid w:val="00A834F4"/>
    <w:rsid w:val="00A8394D"/>
    <w:rsid w:val="00A955D5"/>
    <w:rsid w:val="00A97B93"/>
    <w:rsid w:val="00AD274B"/>
    <w:rsid w:val="00AE404F"/>
    <w:rsid w:val="00AF3CB9"/>
    <w:rsid w:val="00AF4EB4"/>
    <w:rsid w:val="00B02C1C"/>
    <w:rsid w:val="00B05295"/>
    <w:rsid w:val="00B066B2"/>
    <w:rsid w:val="00B371AE"/>
    <w:rsid w:val="00B37C91"/>
    <w:rsid w:val="00B546E9"/>
    <w:rsid w:val="00B615FE"/>
    <w:rsid w:val="00B619ED"/>
    <w:rsid w:val="00B673BB"/>
    <w:rsid w:val="00B82EF6"/>
    <w:rsid w:val="00BC79CC"/>
    <w:rsid w:val="00C029AA"/>
    <w:rsid w:val="00C06AC7"/>
    <w:rsid w:val="00C0733F"/>
    <w:rsid w:val="00C13123"/>
    <w:rsid w:val="00C14A13"/>
    <w:rsid w:val="00C24F21"/>
    <w:rsid w:val="00C3461A"/>
    <w:rsid w:val="00C41A18"/>
    <w:rsid w:val="00C6529D"/>
    <w:rsid w:val="00C76B3C"/>
    <w:rsid w:val="00C90E9C"/>
    <w:rsid w:val="00C965EE"/>
    <w:rsid w:val="00CA4211"/>
    <w:rsid w:val="00CA518A"/>
    <w:rsid w:val="00CB53C1"/>
    <w:rsid w:val="00CC431D"/>
    <w:rsid w:val="00CF1AB9"/>
    <w:rsid w:val="00D230FD"/>
    <w:rsid w:val="00DC0C56"/>
    <w:rsid w:val="00DD59C4"/>
    <w:rsid w:val="00E146A7"/>
    <w:rsid w:val="00E1663C"/>
    <w:rsid w:val="00E81AAD"/>
    <w:rsid w:val="00EA5546"/>
    <w:rsid w:val="00EB7791"/>
    <w:rsid w:val="00EE312E"/>
    <w:rsid w:val="00F51176"/>
    <w:rsid w:val="00F6057D"/>
    <w:rsid w:val="00F6134F"/>
    <w:rsid w:val="00F753C2"/>
    <w:rsid w:val="00F8620F"/>
    <w:rsid w:val="00FB573D"/>
    <w:rsid w:val="00FE3AD8"/>
    <w:rsid w:val="00FF5508"/>
    <w:rsid w:val="043F72C0"/>
    <w:rsid w:val="050B18CD"/>
    <w:rsid w:val="0C46661D"/>
    <w:rsid w:val="0E3AAC98"/>
    <w:rsid w:val="1807E8A4"/>
    <w:rsid w:val="28F1233D"/>
    <w:rsid w:val="2DD9630C"/>
    <w:rsid w:val="4736B362"/>
    <w:rsid w:val="4F465427"/>
    <w:rsid w:val="50DD4CE1"/>
    <w:rsid w:val="55CC35FE"/>
    <w:rsid w:val="658EB723"/>
    <w:rsid w:val="6FE5B25D"/>
    <w:rsid w:val="70EA20A8"/>
    <w:rsid w:val="7932D4DC"/>
    <w:rsid w:val="7992F798"/>
    <w:rsid w:val="7BF0D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819</Words>
  <Characters>6007</Characters>
  <Application>Microsoft Office Word</Application>
  <DocSecurity>0</DocSecurity>
  <Lines>193</Lines>
  <Paragraphs>76</Paragraphs>
  <ScaleCrop>false</ScaleCrop>
  <Company>MRR</Company>
  <LinksUpToDate>false</LinksUpToDate>
  <CharactersWithSpaces>6750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Artur Gusta</cp:lastModifiedBy>
  <cp:revision>17</cp:revision>
  <cp:lastPrinted>2018-03-26T09:55:00Z</cp:lastPrinted>
  <dcterms:created xsi:type="dcterms:W3CDTF">2026-03-27T10:46:00Z</dcterms:created>
  <dcterms:modified xsi:type="dcterms:W3CDTF">2026-08-11T18:14:00Z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