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1F31DB93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5C0B1FEF">
        <w:rPr>
          <w:rFonts w:ascii="Tahoma" w:hAnsi="Tahoma" w:cs="Tahoma"/>
          <w:b/>
          <w:bCs/>
        </w:rPr>
        <w:t>Załącznik 1</w:t>
      </w:r>
      <w:r w:rsidR="009802C0">
        <w:rPr>
          <w:rFonts w:ascii="Tahoma" w:hAnsi="Tahoma" w:cs="Tahoma"/>
          <w:b/>
          <w:bCs/>
        </w:rPr>
        <w:t>.</w:t>
      </w:r>
      <w:r w:rsidR="00A6538F">
        <w:rPr>
          <w:rFonts w:ascii="Tahoma" w:hAnsi="Tahoma" w:cs="Tahoma"/>
          <w:b/>
          <w:bCs/>
        </w:rPr>
        <w:t>20</w:t>
      </w:r>
    </w:p>
    <w:p w14:paraId="19B52394" w14:textId="6D1C2027" w:rsidR="00200170" w:rsidRPr="00B673BB" w:rsidRDefault="00E92CA4" w:rsidP="000A73E2">
      <w:pPr>
        <w:rPr>
          <w:rFonts w:ascii="Tahoma" w:hAnsi="Tahoma" w:cs="Tahoma"/>
          <w:b/>
          <w:bCs/>
        </w:rPr>
      </w:pPr>
      <w:r w:rsidRPr="6102364F">
        <w:rPr>
          <w:rFonts w:ascii="Tahoma" w:hAnsi="Tahoma" w:cs="Tahoma"/>
          <w:b/>
          <w:bCs/>
        </w:rPr>
        <w:t>Stacja przesiadkowa</w:t>
      </w:r>
      <w:r w:rsidR="697A2055" w:rsidRPr="6102364F">
        <w:rPr>
          <w:rFonts w:ascii="Tahoma" w:hAnsi="Tahoma" w:cs="Tahoma"/>
          <w:b/>
          <w:bCs/>
        </w:rPr>
        <w:t xml:space="preserve"> (</w:t>
      </w:r>
      <w:r w:rsidR="000A0A4D">
        <w:rPr>
          <w:rFonts w:ascii="Tahoma" w:hAnsi="Tahoma" w:cs="Tahoma"/>
          <w:b/>
          <w:bCs/>
        </w:rPr>
        <w:t>1</w:t>
      </w:r>
      <w:r w:rsidR="697A2055" w:rsidRPr="6102364F">
        <w:rPr>
          <w:rFonts w:ascii="Tahoma" w:hAnsi="Tahoma" w:cs="Tahoma"/>
          <w:b/>
          <w:bCs/>
        </w:rPr>
        <w:t xml:space="preserve"> szt.)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780"/>
        <w:gridCol w:w="1914"/>
        <w:gridCol w:w="6934"/>
      </w:tblGrid>
      <w:tr w:rsidR="00E85DEC" w:rsidRPr="00E92CA4" w14:paraId="34CFB5AF" w14:textId="77777777" w:rsidTr="68694247">
        <w:tc>
          <w:tcPr>
            <w:tcW w:w="780" w:type="dxa"/>
            <w:vAlign w:val="center"/>
            <w:hideMark/>
          </w:tcPr>
          <w:p w14:paraId="7BD88CEA" w14:textId="77777777" w:rsidR="00E92CA4" w:rsidRPr="00E92CA4" w:rsidRDefault="00E92CA4" w:rsidP="009F35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2CA4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914" w:type="dxa"/>
            <w:vAlign w:val="center"/>
            <w:hideMark/>
          </w:tcPr>
          <w:p w14:paraId="3DA2E3D8" w14:textId="77777777" w:rsidR="00E92CA4" w:rsidRPr="00E92CA4" w:rsidRDefault="00E92CA4" w:rsidP="009F35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2CA4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934" w:type="dxa"/>
            <w:hideMark/>
          </w:tcPr>
          <w:p w14:paraId="2D0BB29B" w14:textId="77777777" w:rsidR="00E92CA4" w:rsidRPr="00E92CA4" w:rsidRDefault="00E92CA4" w:rsidP="009F353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2CA4">
              <w:rPr>
                <w:rFonts w:ascii="Tahoma" w:hAnsi="Tahoma" w:cs="Tahoma"/>
                <w:b/>
                <w:bCs/>
              </w:rPr>
              <w:t>Wymagania minimalne</w:t>
            </w:r>
          </w:p>
        </w:tc>
      </w:tr>
      <w:tr w:rsidR="00E85DEC" w:rsidRPr="00E92CA4" w14:paraId="4E30C506" w14:textId="77777777" w:rsidTr="68694247">
        <w:tc>
          <w:tcPr>
            <w:tcW w:w="780" w:type="dxa"/>
            <w:vAlign w:val="center"/>
            <w:hideMark/>
          </w:tcPr>
          <w:p w14:paraId="1F79B818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1</w:t>
            </w:r>
          </w:p>
        </w:tc>
        <w:tc>
          <w:tcPr>
            <w:tcW w:w="1914" w:type="dxa"/>
            <w:vAlign w:val="center"/>
            <w:hideMark/>
          </w:tcPr>
          <w:p w14:paraId="1B982911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934" w:type="dxa"/>
            <w:hideMark/>
          </w:tcPr>
          <w:p w14:paraId="376C3B6E" w14:textId="03529AFF" w:rsidR="00E92CA4" w:rsidRPr="00E92CA4" w:rsidRDefault="4AB0974C" w:rsidP="68694247">
            <w:pPr>
              <w:spacing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Przedmiotem zamówienia jest dostawa stacji roboczej przeznaczonej do pracy jako stacja przesiadkowa (jump host) w środowisku IT/OT, umożliwiającej bezpieczny, kontrolowany i rozliczalny dostęp administracyjny do systemów automatyki przemysłowej oraz infrastruktury IT, zgodnie z zasadami separacji logicznej i kontroli dostępu obowiązującymi u Zamawiającego.</w:t>
            </w:r>
          </w:p>
        </w:tc>
      </w:tr>
      <w:tr w:rsidR="00E85DEC" w:rsidRPr="00E92CA4" w14:paraId="6155FB2B" w14:textId="77777777" w:rsidTr="68694247">
        <w:tc>
          <w:tcPr>
            <w:tcW w:w="780" w:type="dxa"/>
            <w:vAlign w:val="center"/>
            <w:hideMark/>
          </w:tcPr>
          <w:p w14:paraId="40035DC2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2</w:t>
            </w:r>
          </w:p>
        </w:tc>
        <w:tc>
          <w:tcPr>
            <w:tcW w:w="1914" w:type="dxa"/>
            <w:vAlign w:val="center"/>
            <w:hideMark/>
          </w:tcPr>
          <w:p w14:paraId="5C30A880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Typ urządzenia</w:t>
            </w:r>
          </w:p>
        </w:tc>
        <w:tc>
          <w:tcPr>
            <w:tcW w:w="6934" w:type="dxa"/>
            <w:hideMark/>
          </w:tcPr>
          <w:p w14:paraId="07468899" w14:textId="13BB28F7" w:rsidR="00E92CA4" w:rsidRPr="00E92CA4" w:rsidRDefault="00283D1E" w:rsidP="68694247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68694247">
              <w:rPr>
                <w:rFonts w:ascii="Tahoma" w:hAnsi="Tahoma" w:cs="Tahoma"/>
              </w:rPr>
              <w:t>Komputer stacjonarny klasy biznesowej, przeznaczony do pracy w środowisku profesjonalnym, umożliwiający stabilną eksploatację w trybie wielogodzinnym i ciągłym, właściwym dla roli stacji przesiadkowej w środowisku IT/OT.</w:t>
            </w:r>
          </w:p>
          <w:p w14:paraId="51BD2C36" w14:textId="3953C396" w:rsidR="00E92CA4" w:rsidRPr="00E92CA4" w:rsidRDefault="67E12C32" w:rsidP="68694247">
            <w:pPr>
              <w:spacing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Urządzenie musi być przystosowane do pracy w kontrolowanym środowisku administracyjnym, z przeznaczeniem do realizacji funkcji dostępu uprzywilejowanego lub technicznego pomiędzy segmentami IT i OT.</w:t>
            </w:r>
          </w:p>
        </w:tc>
      </w:tr>
      <w:tr w:rsidR="00E85DEC" w:rsidRPr="00E92CA4" w14:paraId="481F32D1" w14:textId="77777777" w:rsidTr="68694247">
        <w:tc>
          <w:tcPr>
            <w:tcW w:w="780" w:type="dxa"/>
            <w:vAlign w:val="center"/>
            <w:hideMark/>
          </w:tcPr>
          <w:p w14:paraId="3A917B83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3</w:t>
            </w:r>
          </w:p>
        </w:tc>
        <w:tc>
          <w:tcPr>
            <w:tcW w:w="1914" w:type="dxa"/>
            <w:vAlign w:val="center"/>
            <w:hideMark/>
          </w:tcPr>
          <w:p w14:paraId="7A3C10BA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Procesor</w:t>
            </w:r>
          </w:p>
        </w:tc>
        <w:tc>
          <w:tcPr>
            <w:tcW w:w="6934" w:type="dxa"/>
            <w:hideMark/>
          </w:tcPr>
          <w:p w14:paraId="6D5A9BFD" w14:textId="55804569" w:rsidR="00E92CA4" w:rsidRPr="00E92CA4" w:rsidRDefault="00E92CA4" w:rsidP="00E92CA4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 xml:space="preserve">Procesor klasy x86-64, min. </w:t>
            </w:r>
            <w:r w:rsidR="000720B6">
              <w:rPr>
                <w:rFonts w:ascii="Tahoma" w:hAnsi="Tahoma" w:cs="Tahoma"/>
              </w:rPr>
              <w:t>8</w:t>
            </w:r>
            <w:r w:rsidRPr="00E92CA4">
              <w:rPr>
                <w:rFonts w:ascii="Tahoma" w:hAnsi="Tahoma" w:cs="Tahoma"/>
              </w:rPr>
              <w:t xml:space="preserve"> rdzeni fizycznych.</w:t>
            </w:r>
          </w:p>
        </w:tc>
      </w:tr>
      <w:tr w:rsidR="00E85DEC" w:rsidRPr="00E92CA4" w14:paraId="5277FF53" w14:textId="77777777" w:rsidTr="68694247">
        <w:tc>
          <w:tcPr>
            <w:tcW w:w="780" w:type="dxa"/>
            <w:vAlign w:val="center"/>
            <w:hideMark/>
          </w:tcPr>
          <w:p w14:paraId="6FED6A25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4</w:t>
            </w:r>
          </w:p>
        </w:tc>
        <w:tc>
          <w:tcPr>
            <w:tcW w:w="1914" w:type="dxa"/>
            <w:vAlign w:val="center"/>
            <w:hideMark/>
          </w:tcPr>
          <w:p w14:paraId="020DEEB4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Pamięć operacyjna RAM</w:t>
            </w:r>
          </w:p>
        </w:tc>
        <w:tc>
          <w:tcPr>
            <w:tcW w:w="6934" w:type="dxa"/>
            <w:hideMark/>
          </w:tcPr>
          <w:p w14:paraId="6B8B1A2C" w14:textId="3BE1BAD6" w:rsidR="00E92CA4" w:rsidRPr="00E92CA4" w:rsidRDefault="00E92CA4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Minimum 16 GB RAM, z możliwością rozbudowy do co najmniej 64 GB.</w:t>
            </w:r>
          </w:p>
        </w:tc>
      </w:tr>
      <w:tr w:rsidR="00E85DEC" w:rsidRPr="00E92CA4" w14:paraId="552471D5" w14:textId="77777777" w:rsidTr="68694247">
        <w:tc>
          <w:tcPr>
            <w:tcW w:w="780" w:type="dxa"/>
            <w:vAlign w:val="center"/>
            <w:hideMark/>
          </w:tcPr>
          <w:p w14:paraId="608AEEF0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1914" w:type="dxa"/>
            <w:vAlign w:val="center"/>
            <w:hideMark/>
          </w:tcPr>
          <w:p w14:paraId="4CFD5A95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Pamięć masowa</w:t>
            </w:r>
          </w:p>
        </w:tc>
        <w:tc>
          <w:tcPr>
            <w:tcW w:w="6934" w:type="dxa"/>
            <w:hideMark/>
          </w:tcPr>
          <w:p w14:paraId="2E88E776" w14:textId="6619F5F4" w:rsidR="00E92CA4" w:rsidRPr="00E92CA4" w:rsidRDefault="54DED1EF" w:rsidP="68694247">
            <w:pPr>
              <w:spacing w:before="240" w:after="240"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Minimum 1 dysk SSD o pojemności co najmniej 512 GB, wykonany w technologii NVMe lub SATA, przeznaczony do pracy w stacji roboczej klasy biznesowej. Oferowana pojemność musi zapewniać możliwość instalacji systemu operacyjnego, oprogramowania bezpieczeństwa, agentów logujących, narzędzi zdalnego dostępu oraz przechowywania danych roboczych i logów lokalnych związanych z funkcją stacji przesiadkowej.</w:t>
            </w:r>
          </w:p>
        </w:tc>
      </w:tr>
      <w:tr w:rsidR="00E85DEC" w:rsidRPr="00E92CA4" w14:paraId="710F903D" w14:textId="77777777" w:rsidTr="68694247">
        <w:tc>
          <w:tcPr>
            <w:tcW w:w="780" w:type="dxa"/>
            <w:vAlign w:val="center"/>
            <w:hideMark/>
          </w:tcPr>
          <w:p w14:paraId="722FDBA8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6</w:t>
            </w:r>
          </w:p>
        </w:tc>
        <w:tc>
          <w:tcPr>
            <w:tcW w:w="1914" w:type="dxa"/>
            <w:vAlign w:val="center"/>
            <w:hideMark/>
          </w:tcPr>
          <w:p w14:paraId="310AAFB9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Karta graficzna</w:t>
            </w:r>
          </w:p>
        </w:tc>
        <w:tc>
          <w:tcPr>
            <w:tcW w:w="6934" w:type="dxa"/>
            <w:hideMark/>
          </w:tcPr>
          <w:p w14:paraId="02041112" w14:textId="77777777" w:rsidR="00E92CA4" w:rsidRPr="00E92CA4" w:rsidRDefault="00E92CA4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Zintegrowana lub dedykowana karta graficzna umożliwiająca obsługę co najmniej 2 monitorów w rozdzielczości min. Full HD (1920x1080).</w:t>
            </w:r>
          </w:p>
        </w:tc>
      </w:tr>
      <w:tr w:rsidR="00E85DEC" w:rsidRPr="00E92CA4" w14:paraId="3DE6ACB1" w14:textId="77777777" w:rsidTr="68694247">
        <w:tc>
          <w:tcPr>
            <w:tcW w:w="780" w:type="dxa"/>
            <w:vAlign w:val="center"/>
            <w:hideMark/>
          </w:tcPr>
          <w:p w14:paraId="7D1D76E9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7</w:t>
            </w:r>
          </w:p>
        </w:tc>
        <w:tc>
          <w:tcPr>
            <w:tcW w:w="1914" w:type="dxa"/>
            <w:vAlign w:val="center"/>
            <w:hideMark/>
          </w:tcPr>
          <w:p w14:paraId="6E67B80F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Interfejsy wideo</w:t>
            </w:r>
          </w:p>
        </w:tc>
        <w:tc>
          <w:tcPr>
            <w:tcW w:w="6934" w:type="dxa"/>
            <w:hideMark/>
          </w:tcPr>
          <w:p w14:paraId="1C0D1B8D" w14:textId="535FD907" w:rsidR="00E92CA4" w:rsidRPr="00E92CA4" w:rsidRDefault="004164C0" w:rsidP="00E92CA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Kompatybilne z dostarczonym monitorem</w:t>
            </w:r>
          </w:p>
        </w:tc>
      </w:tr>
      <w:tr w:rsidR="002F54DB" w:rsidRPr="00E92CA4" w14:paraId="46DB968C" w14:textId="77777777" w:rsidTr="68694247">
        <w:tc>
          <w:tcPr>
            <w:tcW w:w="780" w:type="dxa"/>
            <w:vAlign w:val="center"/>
          </w:tcPr>
          <w:p w14:paraId="259BF2EE" w14:textId="120D8CD5" w:rsidR="002F54DB" w:rsidRPr="00E92CA4" w:rsidRDefault="002F54DB" w:rsidP="009F35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1914" w:type="dxa"/>
            <w:vAlign w:val="center"/>
          </w:tcPr>
          <w:p w14:paraId="6AC34D41" w14:textId="3CB6595B" w:rsidR="002F54DB" w:rsidRPr="00E92CA4" w:rsidRDefault="002F54DB" w:rsidP="009F35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Monitor</w:t>
            </w:r>
          </w:p>
        </w:tc>
        <w:tc>
          <w:tcPr>
            <w:tcW w:w="6934" w:type="dxa"/>
          </w:tcPr>
          <w:p w14:paraId="6177AAAD" w14:textId="45A41177" w:rsidR="002F54DB" w:rsidRDefault="002F54DB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Monitor przeznaczony do pracy ciągłej w środowisku administracyjnym IT/OT, o przekątnej min. 2</w:t>
            </w:r>
            <w:r w:rsidR="00AE7D6E" w:rsidRPr="5C0B1FEF">
              <w:rPr>
                <w:rFonts w:ascii="Tahoma" w:hAnsi="Tahoma" w:cs="Tahoma"/>
              </w:rPr>
              <w:t>3,8</w:t>
            </w:r>
            <w:r w:rsidRPr="5C0B1FEF">
              <w:rPr>
                <w:rFonts w:ascii="Tahoma" w:hAnsi="Tahoma" w:cs="Tahoma"/>
              </w:rPr>
              <w:t xml:space="preserve">”, rozdzielczości co najmniej Full HD (1920×1080) lub wyższej, wyposażony w interfejsy cyfrowe kompatybilne z oferowaną stacją. Urządzenie musi zapewniać ergonomię pracy (regulacja wysokości, pochylenia, opcjonalnie pivot). </w:t>
            </w:r>
          </w:p>
        </w:tc>
      </w:tr>
      <w:tr w:rsidR="004E4857" w:rsidRPr="00E92CA4" w14:paraId="21344436" w14:textId="77777777" w:rsidTr="68694247">
        <w:tc>
          <w:tcPr>
            <w:tcW w:w="780" w:type="dxa"/>
            <w:vAlign w:val="center"/>
          </w:tcPr>
          <w:p w14:paraId="676C7C16" w14:textId="25970B53" w:rsidR="004E4857" w:rsidRDefault="004E4857" w:rsidP="009F35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1914" w:type="dxa"/>
            <w:vAlign w:val="center"/>
          </w:tcPr>
          <w:p w14:paraId="47E135E1" w14:textId="592D70CD" w:rsidR="004E4857" w:rsidRDefault="004E4857" w:rsidP="009F35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Wyposażenie</w:t>
            </w:r>
          </w:p>
        </w:tc>
        <w:tc>
          <w:tcPr>
            <w:tcW w:w="6934" w:type="dxa"/>
          </w:tcPr>
          <w:p w14:paraId="25DCC312" w14:textId="43001835" w:rsidR="004E4857" w:rsidRPr="5C0B1FEF" w:rsidRDefault="004E4857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4E4857">
              <w:rPr>
                <w:rFonts w:ascii="Tahoma" w:hAnsi="Tahoma" w:cs="Tahoma"/>
              </w:rPr>
              <w:t>W ramach każdej stacji przesiadkowej Wykonawca dostarczy kompletne stanowisko pracy obejmujące co najmniej: jednostkę centralną, monitor, klawiaturę, mysz, przewody zasilające, przewód sygnałowy do monitora oraz wszelkie adaptery niezbędne do prawidłowego uruchomienia i użytkowania zestawu.</w:t>
            </w:r>
          </w:p>
        </w:tc>
      </w:tr>
      <w:tr w:rsidR="00E85DEC" w:rsidRPr="00E92CA4" w14:paraId="28C1ED1E" w14:textId="77777777" w:rsidTr="68694247">
        <w:tc>
          <w:tcPr>
            <w:tcW w:w="780" w:type="dxa"/>
            <w:vAlign w:val="center"/>
            <w:hideMark/>
          </w:tcPr>
          <w:p w14:paraId="557BCC2E" w14:textId="4463A208" w:rsidR="00E92CA4" w:rsidRPr="00E92CA4" w:rsidRDefault="004E4857" w:rsidP="009F35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914" w:type="dxa"/>
            <w:vAlign w:val="center"/>
            <w:hideMark/>
          </w:tcPr>
          <w:p w14:paraId="0954DE4D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Interfejsy sieciowe</w:t>
            </w:r>
          </w:p>
        </w:tc>
        <w:tc>
          <w:tcPr>
            <w:tcW w:w="6934" w:type="dxa"/>
            <w:hideMark/>
          </w:tcPr>
          <w:p w14:paraId="1EC1CE29" w14:textId="78EFC3DB" w:rsidR="00E92CA4" w:rsidRPr="00E92CA4" w:rsidRDefault="41FCCBB0" w:rsidP="68694247">
            <w:pPr>
              <w:spacing w:before="240" w:after="240"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 xml:space="preserve">Minimum 2 porty Ethernet RJ-45 1 Gb/s, z obsługą standardów IPv4, dostępne natywnie w urządzeniu lub dostarczone wraz z urządzeniem w sposób zapewniający pełną funkcjonalność, </w:t>
            </w:r>
            <w:r w:rsidRPr="68694247">
              <w:rPr>
                <w:rFonts w:ascii="Tahoma" w:eastAsia="Tahoma" w:hAnsi="Tahoma" w:cs="Tahoma"/>
              </w:rPr>
              <w:lastRenderedPageBreak/>
              <w:t>jednoczesną pracę obu interfejsów oraz kompatybilność z oferowanym systemem operacyjnym.</w:t>
            </w:r>
          </w:p>
          <w:p w14:paraId="17E0DE6E" w14:textId="41B9FE3E" w:rsidR="00E92CA4" w:rsidRPr="00E92CA4" w:rsidRDefault="41FCCBB0" w:rsidP="68694247">
            <w:pPr>
              <w:spacing w:before="240" w:after="240"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Oferowane rozwiązanie musi umożliwiać niezależną konfigurację obu interfejsów sieciowych na potrzeby połączenia z segmentem IT i segmentem OT.</w:t>
            </w:r>
          </w:p>
        </w:tc>
      </w:tr>
      <w:tr w:rsidR="00E85DEC" w:rsidRPr="00E92CA4" w14:paraId="77FD77BC" w14:textId="77777777" w:rsidTr="68694247">
        <w:tc>
          <w:tcPr>
            <w:tcW w:w="780" w:type="dxa"/>
            <w:vAlign w:val="center"/>
            <w:hideMark/>
          </w:tcPr>
          <w:p w14:paraId="32B2527E" w14:textId="261085D8" w:rsidR="00E92CA4" w:rsidRPr="00E92CA4" w:rsidRDefault="002F54DB" w:rsidP="009F353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</w:t>
            </w:r>
            <w:r w:rsidR="004E4857">
              <w:rPr>
                <w:rFonts w:ascii="Tahoma" w:hAnsi="Tahoma" w:cs="Tahoma"/>
              </w:rPr>
              <w:t>1</w:t>
            </w:r>
          </w:p>
        </w:tc>
        <w:tc>
          <w:tcPr>
            <w:tcW w:w="1914" w:type="dxa"/>
            <w:vAlign w:val="center"/>
            <w:hideMark/>
          </w:tcPr>
          <w:p w14:paraId="7E138742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Porty komunikacyjne</w:t>
            </w:r>
          </w:p>
        </w:tc>
        <w:tc>
          <w:tcPr>
            <w:tcW w:w="6934" w:type="dxa"/>
            <w:hideMark/>
          </w:tcPr>
          <w:p w14:paraId="4E38E6DC" w14:textId="0698DC67" w:rsidR="00E92CA4" w:rsidRPr="00E92CA4" w:rsidRDefault="00E50ABB" w:rsidP="00E92CA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="00E92CA4" w:rsidRPr="00E92CA4">
              <w:rPr>
                <w:rFonts w:ascii="Tahoma" w:hAnsi="Tahoma" w:cs="Tahoma"/>
              </w:rPr>
              <w:t xml:space="preserve"> port</w:t>
            </w:r>
            <w:r>
              <w:rPr>
                <w:rFonts w:ascii="Tahoma" w:hAnsi="Tahoma" w:cs="Tahoma"/>
              </w:rPr>
              <w:t>y</w:t>
            </w:r>
            <w:r w:rsidR="00E92CA4" w:rsidRPr="00E92CA4">
              <w:rPr>
                <w:rFonts w:ascii="Tahoma" w:hAnsi="Tahoma" w:cs="Tahoma"/>
              </w:rPr>
              <w:t xml:space="preserve"> USB (w tym min. 2 x USB 3.x)</w:t>
            </w:r>
          </w:p>
        </w:tc>
      </w:tr>
      <w:tr w:rsidR="00E85DEC" w:rsidRPr="00E92CA4" w14:paraId="4F30FBC2" w14:textId="77777777" w:rsidTr="68694247">
        <w:tc>
          <w:tcPr>
            <w:tcW w:w="780" w:type="dxa"/>
            <w:vAlign w:val="center"/>
            <w:hideMark/>
          </w:tcPr>
          <w:p w14:paraId="51E76420" w14:textId="7B7C0CDE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1</w:t>
            </w:r>
            <w:r w:rsidR="004E4857">
              <w:rPr>
                <w:rFonts w:ascii="Tahoma" w:hAnsi="Tahoma" w:cs="Tahoma"/>
              </w:rPr>
              <w:t>2</w:t>
            </w:r>
          </w:p>
        </w:tc>
        <w:tc>
          <w:tcPr>
            <w:tcW w:w="1914" w:type="dxa"/>
            <w:vAlign w:val="center"/>
            <w:hideMark/>
          </w:tcPr>
          <w:p w14:paraId="34F91124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System operacyjny</w:t>
            </w:r>
          </w:p>
        </w:tc>
        <w:tc>
          <w:tcPr>
            <w:tcW w:w="6934" w:type="dxa"/>
            <w:hideMark/>
          </w:tcPr>
          <w:p w14:paraId="3253AFD7" w14:textId="77777777" w:rsidR="00283D1E" w:rsidRPr="00283D1E" w:rsidRDefault="00283D1E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System operacyjny przeznaczony do zastosowań profesjonalnych, w polskiej lub angielskiej wersji językowej, z bezterminową licencją umożliwiającą użytkowanie w organizacji Zamawiającego, zapewniający:</w:t>
            </w:r>
          </w:p>
          <w:p w14:paraId="07CCCBCA" w14:textId="77777777" w:rsidR="00283D1E" w:rsidRPr="00283D1E" w:rsidRDefault="00283D1E" w:rsidP="5C0B1FEF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obsługę polityk bezpieczeństwa i zarządzania uprawnieniami użytkowników,</w:t>
            </w:r>
          </w:p>
          <w:p w14:paraId="56B2B0BD" w14:textId="77777777" w:rsidR="00283D1E" w:rsidRPr="00283D1E" w:rsidRDefault="00283D1E" w:rsidP="5C0B1FEF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wsparcie dla szyfrowania danych,</w:t>
            </w:r>
          </w:p>
          <w:p w14:paraId="203330E2" w14:textId="77777777" w:rsidR="00283D1E" w:rsidRPr="00283D1E" w:rsidRDefault="00283D1E" w:rsidP="5C0B1FEF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współpracę z co najmniej dwoma interfejsami sieciowymi Ethernet,</w:t>
            </w:r>
          </w:p>
          <w:p w14:paraId="66E708FE" w14:textId="77777777" w:rsidR="00283D1E" w:rsidRPr="00283D1E" w:rsidRDefault="00283D1E" w:rsidP="5C0B1FEF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możliwość instalacji i poprawnego działania oprogramowania klasy EDR/XDR, agentów logujących/SIEM oraz narzędzi zdalnego dostępu wykorzystywanych przez Zamawiającego,</w:t>
            </w:r>
          </w:p>
          <w:p w14:paraId="4553173D" w14:textId="77777777" w:rsidR="00E92CA4" w:rsidRDefault="00283D1E" w:rsidP="5C0B1FEF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możliwość realizacji funkcji stacji przesiadkowej (jump host) w środowisku IT/OT.</w:t>
            </w:r>
          </w:p>
          <w:p w14:paraId="52137309" w14:textId="2E6B1978" w:rsidR="0024442D" w:rsidRPr="00E92CA4" w:rsidRDefault="0024442D" w:rsidP="0024442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4442D">
              <w:rPr>
                <w:rFonts w:ascii="Tahoma" w:hAnsi="Tahoma" w:cs="Tahoma"/>
              </w:rPr>
              <w:t xml:space="preserve">System operacyjny musi być objęty wsparciem w zakresie aktualizacji bezpieczeństwa na dzień dostawy oraz nie może znajdować się w fazie zakończonego wsparcia technicznego. Wykonawca dostarczy system w wersji umożliwiającej legalne </w:t>
            </w:r>
            <w:r w:rsidRPr="0024442D">
              <w:rPr>
                <w:rFonts w:ascii="Tahoma" w:hAnsi="Tahoma" w:cs="Tahoma"/>
              </w:rPr>
              <w:lastRenderedPageBreak/>
              <w:t>użytkowanie w organizacji Zamawiającego oraz instalowanie aktualizacji bezpieczeństwa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E85DEC" w:rsidRPr="00E92CA4" w14:paraId="7F4445AC" w14:textId="77777777" w:rsidTr="68694247">
        <w:tc>
          <w:tcPr>
            <w:tcW w:w="780" w:type="dxa"/>
            <w:vAlign w:val="center"/>
            <w:hideMark/>
          </w:tcPr>
          <w:p w14:paraId="25371300" w14:textId="54CBCEBC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lastRenderedPageBreak/>
              <w:t>1</w:t>
            </w:r>
            <w:r w:rsidR="004E4857">
              <w:rPr>
                <w:rFonts w:ascii="Tahoma" w:hAnsi="Tahoma" w:cs="Tahoma"/>
              </w:rPr>
              <w:t>3</w:t>
            </w:r>
          </w:p>
        </w:tc>
        <w:tc>
          <w:tcPr>
            <w:tcW w:w="1914" w:type="dxa"/>
            <w:vAlign w:val="center"/>
            <w:hideMark/>
          </w:tcPr>
          <w:p w14:paraId="4CE0B274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Bezpieczeństwo sprzętowe</w:t>
            </w:r>
          </w:p>
        </w:tc>
        <w:tc>
          <w:tcPr>
            <w:tcW w:w="6934" w:type="dxa"/>
            <w:hideMark/>
          </w:tcPr>
          <w:p w14:paraId="632AE29B" w14:textId="77777777" w:rsidR="00E92CA4" w:rsidRPr="00E92CA4" w:rsidRDefault="00E92CA4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Urządzenie musi posiadać sprzętowy moduł bezpieczeństwa TPM 2.0 lub równoważny.</w:t>
            </w:r>
          </w:p>
        </w:tc>
      </w:tr>
      <w:tr w:rsidR="00E85DEC" w:rsidRPr="00E92CA4" w14:paraId="13DF3225" w14:textId="77777777" w:rsidTr="68694247">
        <w:tc>
          <w:tcPr>
            <w:tcW w:w="780" w:type="dxa"/>
            <w:vAlign w:val="center"/>
            <w:hideMark/>
          </w:tcPr>
          <w:p w14:paraId="3A07A0B5" w14:textId="4D5C97DC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1</w:t>
            </w:r>
            <w:r w:rsidR="004E4857">
              <w:rPr>
                <w:rFonts w:ascii="Tahoma" w:hAnsi="Tahoma" w:cs="Tahoma"/>
              </w:rPr>
              <w:t>4</w:t>
            </w:r>
          </w:p>
        </w:tc>
        <w:tc>
          <w:tcPr>
            <w:tcW w:w="1914" w:type="dxa"/>
            <w:vAlign w:val="center"/>
            <w:hideMark/>
          </w:tcPr>
          <w:p w14:paraId="51AD1FD0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Funkcje zarządzania</w:t>
            </w:r>
          </w:p>
        </w:tc>
        <w:tc>
          <w:tcPr>
            <w:tcW w:w="6934" w:type="dxa"/>
            <w:hideMark/>
          </w:tcPr>
          <w:p w14:paraId="79AA4327" w14:textId="21DBB1C5" w:rsidR="00E92CA4" w:rsidRPr="00E92CA4" w:rsidRDefault="00E92CA4" w:rsidP="00E92CA4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Możliwość zdalnego zarządzania lub diagnostyki</w:t>
            </w:r>
            <w:r w:rsidR="004164C0">
              <w:rPr>
                <w:rFonts w:ascii="Tahoma" w:hAnsi="Tahoma" w:cs="Tahoma"/>
              </w:rPr>
              <w:t>.</w:t>
            </w:r>
          </w:p>
        </w:tc>
      </w:tr>
      <w:tr w:rsidR="00E85DEC" w:rsidRPr="00E92CA4" w14:paraId="1E3E14A7" w14:textId="77777777" w:rsidTr="68694247">
        <w:tc>
          <w:tcPr>
            <w:tcW w:w="780" w:type="dxa"/>
            <w:vAlign w:val="center"/>
            <w:hideMark/>
          </w:tcPr>
          <w:p w14:paraId="74937C65" w14:textId="0B52D762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1</w:t>
            </w:r>
            <w:r w:rsidR="004E4857">
              <w:rPr>
                <w:rFonts w:ascii="Tahoma" w:hAnsi="Tahoma" w:cs="Tahoma"/>
              </w:rPr>
              <w:t>5</w:t>
            </w:r>
          </w:p>
        </w:tc>
        <w:tc>
          <w:tcPr>
            <w:tcW w:w="1914" w:type="dxa"/>
            <w:vAlign w:val="center"/>
            <w:hideMark/>
          </w:tcPr>
          <w:p w14:paraId="59182F6B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Zastosowanie IT/OT</w:t>
            </w:r>
          </w:p>
        </w:tc>
        <w:tc>
          <w:tcPr>
            <w:tcW w:w="6934" w:type="dxa"/>
            <w:hideMark/>
          </w:tcPr>
          <w:p w14:paraId="0E2A93DF" w14:textId="77777777" w:rsidR="00283D1E" w:rsidRPr="00283D1E" w:rsidRDefault="00283D1E" w:rsidP="5C0B1FEF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Urządzenie musi umożliwiać wykorzystanie jako stacja przesiadkowa (jump host) w środowisku IT/OT, w szczególności:</w:t>
            </w:r>
          </w:p>
          <w:p w14:paraId="12779719" w14:textId="77777777" w:rsidR="00283D1E" w:rsidRPr="00283D1E" w:rsidRDefault="00283D1E" w:rsidP="5C0B1FE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pracę z wykorzystaniem co najmniej dwóch interfejsów sieciowych pozwalających na podłączenie do segmentu IT i segmentu OT,</w:t>
            </w:r>
          </w:p>
          <w:p w14:paraId="10EC5FB2" w14:textId="77777777" w:rsidR="00283D1E" w:rsidRPr="00283D1E" w:rsidRDefault="00283D1E" w:rsidP="5C0B1FE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5C0B1FEF">
              <w:rPr>
                <w:rFonts w:ascii="Tahoma" w:hAnsi="Tahoma" w:cs="Tahoma"/>
              </w:rPr>
              <w:t>realizację dostępu administracyjnego do systemów IT i OT z zachowaniem zasad separacji logicznej i kontroli dostępu wdrożonych przez Zamawiającego,</w:t>
            </w:r>
          </w:p>
          <w:p w14:paraId="3F5152E2" w14:textId="15587A66" w:rsidR="00E92CA4" w:rsidRPr="00E92CA4" w:rsidRDefault="00283D1E" w:rsidP="5C0B1FE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ahoma" w:hAnsi="Tahoma" w:cs="Tahoma"/>
              </w:rPr>
            </w:pPr>
            <w:r w:rsidRPr="68694247">
              <w:rPr>
                <w:rFonts w:ascii="Tahoma" w:hAnsi="Tahoma" w:cs="Tahoma"/>
              </w:rPr>
              <w:t>instalację i eksploatację dostarczonego oprogramowania bezpieczeństwa, w szczególności klasy EDR/XDR oraz agenta systemu centralnego zbierania logów.</w:t>
            </w:r>
          </w:p>
          <w:p w14:paraId="0FDFF81C" w14:textId="19ED2767" w:rsidR="00E92CA4" w:rsidRPr="00E92CA4" w:rsidRDefault="5F6427E4" w:rsidP="68694247">
            <w:pPr>
              <w:spacing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Stacja przesiadkowa musi umożliwiać realizację funkcji jump host przy zachowaniu separacji logicznej pomiędzy segmentami IT i OT. Oferowane rozwiązanie nie może wymuszać routingu lub mostkowania ruchu pomiędzy tymi segmentami jako warunku prawidłowej pracy, chyba że takie rozwiązanie zostanie świadomie i odrębnie wdrożone przez Zamawiającego w ramach przyjętej architektury bezpieczeństwa.</w:t>
            </w:r>
          </w:p>
        </w:tc>
      </w:tr>
      <w:tr w:rsidR="00E85DEC" w:rsidRPr="00E92CA4" w14:paraId="4128EDC2" w14:textId="77777777" w:rsidTr="68694247">
        <w:tc>
          <w:tcPr>
            <w:tcW w:w="780" w:type="dxa"/>
            <w:vAlign w:val="center"/>
            <w:hideMark/>
          </w:tcPr>
          <w:p w14:paraId="427BEBF6" w14:textId="7CE77B00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lastRenderedPageBreak/>
              <w:t>1</w:t>
            </w:r>
            <w:r w:rsidR="004E4857">
              <w:rPr>
                <w:rFonts w:ascii="Tahoma" w:hAnsi="Tahoma" w:cs="Tahoma"/>
              </w:rPr>
              <w:t>6</w:t>
            </w:r>
          </w:p>
        </w:tc>
        <w:tc>
          <w:tcPr>
            <w:tcW w:w="1914" w:type="dxa"/>
            <w:vAlign w:val="center"/>
            <w:hideMark/>
          </w:tcPr>
          <w:p w14:paraId="27181CE0" w14:textId="77777777" w:rsidR="00E92CA4" w:rsidRPr="00E92CA4" w:rsidRDefault="00E92CA4" w:rsidP="009F353F">
            <w:pPr>
              <w:rPr>
                <w:rFonts w:ascii="Tahoma" w:hAnsi="Tahoma" w:cs="Tahoma"/>
              </w:rPr>
            </w:pPr>
            <w:r w:rsidRPr="00E92CA4">
              <w:rPr>
                <w:rFonts w:ascii="Tahoma" w:hAnsi="Tahoma" w:cs="Tahoma"/>
              </w:rPr>
              <w:t>Gwarancja</w:t>
            </w:r>
          </w:p>
        </w:tc>
        <w:tc>
          <w:tcPr>
            <w:tcW w:w="6934" w:type="dxa"/>
            <w:hideMark/>
          </w:tcPr>
          <w:p w14:paraId="5CEFEEEB" w14:textId="2ABA667C" w:rsidR="00E92CA4" w:rsidRPr="00E92CA4" w:rsidRDefault="623D0807" w:rsidP="68694247">
            <w:pPr>
              <w:spacing w:before="240" w:after="240"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36 miesięcy gwarancji, liczonych od dnia podpisania protokołu odbioru.</w:t>
            </w:r>
          </w:p>
          <w:p w14:paraId="6318956A" w14:textId="475C4B6F" w:rsidR="00E92CA4" w:rsidRPr="00E92CA4" w:rsidRDefault="623D0807" w:rsidP="68694247">
            <w:pPr>
              <w:spacing w:before="240" w:after="240" w:line="276" w:lineRule="auto"/>
              <w:jc w:val="both"/>
            </w:pPr>
            <w:r w:rsidRPr="68694247">
              <w:rPr>
                <w:rFonts w:ascii="Tahoma" w:eastAsia="Tahoma" w:hAnsi="Tahoma" w:cs="Tahoma"/>
              </w:rPr>
              <w:t>Gwarancja musi obejmować co najmniej:</w:t>
            </w:r>
            <w:r w:rsidR="00E92CA4">
              <w:br/>
            </w:r>
            <w:r w:rsidRPr="68694247">
              <w:rPr>
                <w:rFonts w:ascii="Tahoma" w:eastAsia="Tahoma" w:hAnsi="Tahoma" w:cs="Tahoma"/>
              </w:rPr>
              <w:t>a) możliwość zgłaszania awarii i usterek w dni robocze od poniedziałku do piątku w godzinach 7:00–15:00,</w:t>
            </w:r>
            <w:r w:rsidR="00E92CA4">
              <w:br/>
            </w:r>
            <w:r w:rsidRPr="68694247">
              <w:rPr>
                <w:rFonts w:ascii="Tahoma" w:eastAsia="Tahoma" w:hAnsi="Tahoma" w:cs="Tahoma"/>
              </w:rPr>
              <w:t>b) obsługę zgłoszeń w języku polskim,</w:t>
            </w:r>
            <w:r w:rsidR="00E92CA4">
              <w:br/>
            </w:r>
            <w:r w:rsidRPr="68694247">
              <w:rPr>
                <w:rFonts w:ascii="Tahoma" w:eastAsia="Tahoma" w:hAnsi="Tahoma" w:cs="Tahoma"/>
              </w:rPr>
              <w:t>c) naprawę albo wymianę uszkodzonego sprzętu lub jego elementów w przypadku wad uniemożliwiających prawidłowe użytkowanie zgodnie z przeznaczeniem,</w:t>
            </w:r>
            <w:r w:rsidR="00E92CA4">
              <w:br/>
            </w:r>
            <w:r w:rsidRPr="68694247">
              <w:rPr>
                <w:rFonts w:ascii="Tahoma" w:eastAsia="Tahoma" w:hAnsi="Tahoma" w:cs="Tahoma"/>
              </w:rPr>
              <w:t>d) dostęp do aktualizacji bezpie</w:t>
            </w:r>
            <w:r w:rsidR="17C1EC07" w:rsidRPr="68694247">
              <w:rPr>
                <w:rFonts w:ascii="Tahoma" w:eastAsia="Tahoma" w:hAnsi="Tahoma" w:cs="Tahoma"/>
              </w:rPr>
              <w:t xml:space="preserve">czeństwa </w:t>
            </w:r>
            <w:r w:rsidRPr="68694247">
              <w:rPr>
                <w:rFonts w:ascii="Tahoma" w:eastAsia="Tahoma" w:hAnsi="Tahoma" w:cs="Tahoma"/>
              </w:rPr>
              <w:t>firmware i sterowników producenta.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BDC10" w14:textId="77777777" w:rsidR="005E6F82" w:rsidRDefault="005E6F82">
      <w:r>
        <w:separator/>
      </w:r>
    </w:p>
  </w:endnote>
  <w:endnote w:type="continuationSeparator" w:id="0">
    <w:p w14:paraId="3E07AF52" w14:textId="77777777" w:rsidR="005E6F82" w:rsidRDefault="005E6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97A8C" w14:textId="77777777" w:rsidR="005E6F82" w:rsidRDefault="005E6F82">
      <w:r>
        <w:separator/>
      </w:r>
    </w:p>
  </w:footnote>
  <w:footnote w:type="continuationSeparator" w:id="0">
    <w:p w14:paraId="4EF796E9" w14:textId="77777777" w:rsidR="005E6F82" w:rsidRDefault="005E6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70469"/>
    <w:multiLevelType w:val="multilevel"/>
    <w:tmpl w:val="C6543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F0ED0"/>
    <w:multiLevelType w:val="multilevel"/>
    <w:tmpl w:val="D9DC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6"/>
  </w:num>
  <w:num w:numId="5" w16cid:durableId="397635744">
    <w:abstractNumId w:val="17"/>
  </w:num>
  <w:num w:numId="6" w16cid:durableId="1648318210">
    <w:abstractNumId w:val="15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1"/>
  </w:num>
  <w:num w:numId="18" w16cid:durableId="1521163692">
    <w:abstractNumId w:val="13"/>
  </w:num>
  <w:num w:numId="19" w16cid:durableId="229847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0343"/>
    <w:rsid w:val="0004603C"/>
    <w:rsid w:val="00065C40"/>
    <w:rsid w:val="000720B6"/>
    <w:rsid w:val="00094EF6"/>
    <w:rsid w:val="000A0A4D"/>
    <w:rsid w:val="000A73E2"/>
    <w:rsid w:val="000E21EF"/>
    <w:rsid w:val="000E45A5"/>
    <w:rsid w:val="0010162A"/>
    <w:rsid w:val="001259A8"/>
    <w:rsid w:val="001561C5"/>
    <w:rsid w:val="00165DF2"/>
    <w:rsid w:val="00200170"/>
    <w:rsid w:val="00214307"/>
    <w:rsid w:val="00217078"/>
    <w:rsid w:val="0024442D"/>
    <w:rsid w:val="002571F6"/>
    <w:rsid w:val="00283D1E"/>
    <w:rsid w:val="002B08FC"/>
    <w:rsid w:val="002B40F4"/>
    <w:rsid w:val="002D66BB"/>
    <w:rsid w:val="002E5BF8"/>
    <w:rsid w:val="002E6BDD"/>
    <w:rsid w:val="002F54DB"/>
    <w:rsid w:val="002F66E8"/>
    <w:rsid w:val="00310274"/>
    <w:rsid w:val="003134FE"/>
    <w:rsid w:val="003165EB"/>
    <w:rsid w:val="0032350E"/>
    <w:rsid w:val="003304A1"/>
    <w:rsid w:val="003816DA"/>
    <w:rsid w:val="00385FFB"/>
    <w:rsid w:val="003B3F28"/>
    <w:rsid w:val="00412555"/>
    <w:rsid w:val="004164C0"/>
    <w:rsid w:val="0042606F"/>
    <w:rsid w:val="00482EA3"/>
    <w:rsid w:val="004844AD"/>
    <w:rsid w:val="004E4857"/>
    <w:rsid w:val="004E62F6"/>
    <w:rsid w:val="005115C2"/>
    <w:rsid w:val="0058722E"/>
    <w:rsid w:val="005A056A"/>
    <w:rsid w:val="005B7917"/>
    <w:rsid w:val="005E22E2"/>
    <w:rsid w:val="005E6F8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E02C4"/>
    <w:rsid w:val="00863B80"/>
    <w:rsid w:val="00863D3F"/>
    <w:rsid w:val="0088784C"/>
    <w:rsid w:val="008B2E44"/>
    <w:rsid w:val="008B5A3C"/>
    <w:rsid w:val="008C4DE6"/>
    <w:rsid w:val="008D7C6A"/>
    <w:rsid w:val="00924460"/>
    <w:rsid w:val="009802C0"/>
    <w:rsid w:val="009823C9"/>
    <w:rsid w:val="009A5797"/>
    <w:rsid w:val="009B56F9"/>
    <w:rsid w:val="009B7B29"/>
    <w:rsid w:val="009F353F"/>
    <w:rsid w:val="00A228FA"/>
    <w:rsid w:val="00A25198"/>
    <w:rsid w:val="00A27692"/>
    <w:rsid w:val="00A34049"/>
    <w:rsid w:val="00A40375"/>
    <w:rsid w:val="00A42564"/>
    <w:rsid w:val="00A6538F"/>
    <w:rsid w:val="00A834F4"/>
    <w:rsid w:val="00A8394D"/>
    <w:rsid w:val="00A955D5"/>
    <w:rsid w:val="00A97B93"/>
    <w:rsid w:val="00AD274B"/>
    <w:rsid w:val="00AE404F"/>
    <w:rsid w:val="00AE7D6E"/>
    <w:rsid w:val="00AF3CB9"/>
    <w:rsid w:val="00AF4EB4"/>
    <w:rsid w:val="00B02C1C"/>
    <w:rsid w:val="00B066B2"/>
    <w:rsid w:val="00B371AE"/>
    <w:rsid w:val="00B37C91"/>
    <w:rsid w:val="00B546E9"/>
    <w:rsid w:val="00B615FE"/>
    <w:rsid w:val="00B619ED"/>
    <w:rsid w:val="00B673BB"/>
    <w:rsid w:val="00B73157"/>
    <w:rsid w:val="00B82EF6"/>
    <w:rsid w:val="00BC79CC"/>
    <w:rsid w:val="00C029AA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50ABB"/>
    <w:rsid w:val="00E81AAD"/>
    <w:rsid w:val="00E82DDD"/>
    <w:rsid w:val="00E85DEC"/>
    <w:rsid w:val="00E92CA4"/>
    <w:rsid w:val="00EA5546"/>
    <w:rsid w:val="00EB7791"/>
    <w:rsid w:val="00EE312E"/>
    <w:rsid w:val="00F50F20"/>
    <w:rsid w:val="00F6134F"/>
    <w:rsid w:val="00F6254C"/>
    <w:rsid w:val="00F753C2"/>
    <w:rsid w:val="00F85651"/>
    <w:rsid w:val="00F8620F"/>
    <w:rsid w:val="00FE3AD8"/>
    <w:rsid w:val="00FF5508"/>
    <w:rsid w:val="0D90093D"/>
    <w:rsid w:val="10301CC4"/>
    <w:rsid w:val="17C1EC07"/>
    <w:rsid w:val="28F1233D"/>
    <w:rsid w:val="340751DD"/>
    <w:rsid w:val="362F3AB1"/>
    <w:rsid w:val="41EF8D14"/>
    <w:rsid w:val="41FCCBB0"/>
    <w:rsid w:val="4AB0974C"/>
    <w:rsid w:val="54DED1EF"/>
    <w:rsid w:val="58D65072"/>
    <w:rsid w:val="5AE74F3D"/>
    <w:rsid w:val="5BCDE300"/>
    <w:rsid w:val="5C0B1FEF"/>
    <w:rsid w:val="5F6427E4"/>
    <w:rsid w:val="6102364F"/>
    <w:rsid w:val="623D0807"/>
    <w:rsid w:val="67E12C32"/>
    <w:rsid w:val="68694247"/>
    <w:rsid w:val="697A2055"/>
    <w:rsid w:val="6DB39294"/>
    <w:rsid w:val="6FA69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770</Words>
  <Characters>4625</Characters>
  <Application>Microsoft Office Word</Application>
  <DocSecurity>0</DocSecurity>
  <Lines>38</Lines>
  <Paragraphs>10</Paragraphs>
  <ScaleCrop>false</ScaleCrop>
  <Company>MRR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19</cp:revision>
  <cp:lastPrinted>2018-03-26T09:55:00Z</cp:lastPrinted>
  <dcterms:created xsi:type="dcterms:W3CDTF">2026-03-27T11:38:00Z</dcterms:created>
  <dcterms:modified xsi:type="dcterms:W3CDTF">2026-07-19T16:52:00Z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