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51947" w14:textId="5F1CDC6F" w:rsidR="000A0DB9" w:rsidRDefault="000A0DB9" w:rsidP="000A0DB9">
      <w:pPr>
        <w:jc w:val="right"/>
        <w:rPr>
          <w:rFonts w:ascii="Tahoma" w:hAnsi="Tahoma" w:cs="Tahoma"/>
          <w:b/>
          <w:bCs/>
        </w:rPr>
      </w:pPr>
      <w:r w:rsidRPr="29CFA801">
        <w:rPr>
          <w:rFonts w:ascii="Tahoma" w:hAnsi="Tahoma" w:cs="Tahoma"/>
          <w:b/>
          <w:bCs/>
        </w:rPr>
        <w:t>Załącznik nr 1</w:t>
      </w:r>
      <w:r w:rsidR="4408F863" w:rsidRPr="29CFA801">
        <w:rPr>
          <w:rFonts w:ascii="Tahoma" w:hAnsi="Tahoma" w:cs="Tahoma"/>
          <w:b/>
          <w:bCs/>
        </w:rPr>
        <w:t>.</w:t>
      </w:r>
      <w:r w:rsidR="00584532">
        <w:rPr>
          <w:rFonts w:ascii="Tahoma" w:hAnsi="Tahoma" w:cs="Tahoma"/>
          <w:b/>
          <w:bCs/>
        </w:rPr>
        <w:t>2</w:t>
      </w:r>
    </w:p>
    <w:p w14:paraId="64FDB909" w14:textId="2E13B63C" w:rsidR="000A0DB9" w:rsidRPr="000A0DB9" w:rsidRDefault="0006209D" w:rsidP="000A0DB9">
      <w:pPr>
        <w:rPr>
          <w:rFonts w:ascii="Tahoma" w:hAnsi="Tahoma" w:cs="Tahoma"/>
          <w:b/>
          <w:bCs/>
        </w:rPr>
      </w:pPr>
      <w:r w:rsidRPr="0006209D">
        <w:rPr>
          <w:rFonts w:ascii="Tahoma" w:hAnsi="Tahoma" w:cs="Tahoma"/>
          <w:b/>
          <w:bCs/>
        </w:rPr>
        <w:t>Oprogramowanie antywirusowe z EDR</w:t>
      </w:r>
      <w:r w:rsidR="000A0DB9" w:rsidRPr="2848D7CF">
        <w:rPr>
          <w:rFonts w:ascii="Tahoma" w:hAnsi="Tahoma" w:cs="Tahoma"/>
          <w:b/>
          <w:bCs/>
        </w:rPr>
        <w:t xml:space="preserve">. </w:t>
      </w:r>
    </w:p>
    <w:tbl>
      <w:tblPr>
        <w:tblW w:w="0" w:type="auto"/>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Layout w:type="fixed"/>
        <w:tblLook w:val="06A0" w:firstRow="1" w:lastRow="0" w:firstColumn="1" w:lastColumn="0" w:noHBand="1" w:noVBand="1"/>
      </w:tblPr>
      <w:tblGrid>
        <w:gridCol w:w="720"/>
        <w:gridCol w:w="2745"/>
        <w:gridCol w:w="5550"/>
      </w:tblGrid>
      <w:tr w:rsidR="000A0DB9" w:rsidRPr="00127629" w14:paraId="3938BD1B" w14:textId="77777777" w:rsidTr="27CD0593">
        <w:trPr>
          <w:trHeight w:val="300"/>
        </w:trPr>
        <w:tc>
          <w:tcPr>
            <w:tcW w:w="720" w:type="dxa"/>
            <w:tcBorders>
              <w:bottom w:val="single" w:sz="12" w:space="0" w:color="45B0E1"/>
            </w:tcBorders>
            <w:vAlign w:val="center"/>
          </w:tcPr>
          <w:p w14:paraId="74B08913" w14:textId="77777777" w:rsidR="000A0DB9" w:rsidRPr="00127629" w:rsidRDefault="000A0DB9" w:rsidP="00621BB1">
            <w:pPr>
              <w:jc w:val="center"/>
              <w:rPr>
                <w:rFonts w:ascii="Tahoma" w:eastAsia="Aptos" w:hAnsi="Tahoma" w:cs="Tahoma"/>
                <w:b/>
                <w:bCs/>
              </w:rPr>
            </w:pPr>
            <w:r w:rsidRPr="00127629">
              <w:rPr>
                <w:rFonts w:ascii="Tahoma" w:eastAsia="Aptos" w:hAnsi="Tahoma" w:cs="Tahoma"/>
                <w:b/>
                <w:bCs/>
              </w:rPr>
              <w:t>L.p.</w:t>
            </w:r>
          </w:p>
        </w:tc>
        <w:tc>
          <w:tcPr>
            <w:tcW w:w="2745" w:type="dxa"/>
            <w:tcBorders>
              <w:bottom w:val="single" w:sz="12" w:space="0" w:color="45B0E1"/>
            </w:tcBorders>
            <w:vAlign w:val="center"/>
          </w:tcPr>
          <w:p w14:paraId="338792F1" w14:textId="77777777" w:rsidR="000A0DB9" w:rsidRPr="00127629" w:rsidRDefault="000A0DB9" w:rsidP="00621BB1">
            <w:pPr>
              <w:jc w:val="center"/>
              <w:rPr>
                <w:rFonts w:ascii="Tahoma" w:eastAsia="Aptos" w:hAnsi="Tahoma" w:cs="Tahoma"/>
                <w:b/>
                <w:bCs/>
              </w:rPr>
            </w:pPr>
            <w:r w:rsidRPr="00127629">
              <w:rPr>
                <w:rFonts w:ascii="Tahoma" w:eastAsia="Aptos" w:hAnsi="Tahoma" w:cs="Tahoma"/>
                <w:b/>
                <w:bCs/>
              </w:rPr>
              <w:t>Wymaganie</w:t>
            </w:r>
          </w:p>
        </w:tc>
        <w:tc>
          <w:tcPr>
            <w:tcW w:w="5550" w:type="dxa"/>
            <w:tcBorders>
              <w:bottom w:val="single" w:sz="12" w:space="0" w:color="45B0E1"/>
            </w:tcBorders>
          </w:tcPr>
          <w:p w14:paraId="731CF6E6" w14:textId="77777777" w:rsidR="000A0DB9" w:rsidRPr="00127629" w:rsidRDefault="000A0DB9" w:rsidP="00621BB1">
            <w:pPr>
              <w:jc w:val="center"/>
              <w:rPr>
                <w:rFonts w:ascii="Tahoma" w:eastAsia="Aptos" w:hAnsi="Tahoma" w:cs="Tahoma"/>
                <w:b/>
                <w:bCs/>
              </w:rPr>
            </w:pPr>
            <w:r w:rsidRPr="00127629">
              <w:rPr>
                <w:rFonts w:ascii="Tahoma" w:eastAsia="Aptos" w:hAnsi="Tahoma" w:cs="Tahoma"/>
                <w:b/>
                <w:bCs/>
              </w:rPr>
              <w:t>Opis wymagania</w:t>
            </w:r>
          </w:p>
        </w:tc>
      </w:tr>
      <w:tr w:rsidR="000A0DB9" w:rsidRPr="00127629" w14:paraId="71C9D99C" w14:textId="77777777" w:rsidTr="27CD0593">
        <w:trPr>
          <w:trHeight w:val="300"/>
        </w:trPr>
        <w:tc>
          <w:tcPr>
            <w:tcW w:w="720" w:type="dxa"/>
            <w:vAlign w:val="center"/>
          </w:tcPr>
          <w:p w14:paraId="50BB8FD9" w14:textId="77777777" w:rsidR="000A0DB9" w:rsidRPr="00127629" w:rsidRDefault="000A0DB9" w:rsidP="00621BB1">
            <w:pPr>
              <w:jc w:val="center"/>
              <w:rPr>
                <w:rFonts w:ascii="Tahoma" w:eastAsia="Aptos" w:hAnsi="Tahoma" w:cs="Tahoma"/>
                <w:b/>
                <w:bCs/>
              </w:rPr>
            </w:pPr>
            <w:r w:rsidRPr="00127629">
              <w:rPr>
                <w:rFonts w:ascii="Tahoma" w:eastAsia="Aptos" w:hAnsi="Tahoma" w:cs="Tahoma"/>
                <w:b/>
                <w:bCs/>
              </w:rPr>
              <w:t>1</w:t>
            </w:r>
          </w:p>
        </w:tc>
        <w:tc>
          <w:tcPr>
            <w:tcW w:w="2745" w:type="dxa"/>
            <w:vAlign w:val="center"/>
          </w:tcPr>
          <w:p w14:paraId="468A45E8" w14:textId="77777777" w:rsidR="000A0DB9" w:rsidRPr="00127629" w:rsidRDefault="000A0DB9" w:rsidP="00621BB1">
            <w:pPr>
              <w:rPr>
                <w:rFonts w:ascii="Tahoma" w:eastAsia="Aptos" w:hAnsi="Tahoma" w:cs="Tahoma"/>
                <w:b/>
                <w:bCs/>
              </w:rPr>
            </w:pPr>
            <w:r w:rsidRPr="00127629">
              <w:rPr>
                <w:rFonts w:ascii="Tahoma" w:eastAsia="Aptos" w:hAnsi="Tahoma" w:cs="Tahoma"/>
                <w:b/>
                <w:bCs/>
              </w:rPr>
              <w:t>Przedmiot zamówienia</w:t>
            </w:r>
          </w:p>
        </w:tc>
        <w:tc>
          <w:tcPr>
            <w:tcW w:w="5550" w:type="dxa"/>
          </w:tcPr>
          <w:p w14:paraId="41A8B976" w14:textId="2D45C681" w:rsidR="000A0DB9" w:rsidRPr="00B47972" w:rsidRDefault="009B408F" w:rsidP="2848D7CF">
            <w:pPr>
              <w:spacing w:line="276" w:lineRule="auto"/>
              <w:jc w:val="both"/>
              <w:rPr>
                <w:rFonts w:ascii="Tahoma" w:eastAsia="Aptos" w:hAnsi="Tahoma" w:cs="Tahoma"/>
              </w:rPr>
            </w:pPr>
            <w:r w:rsidRPr="009B408F">
              <w:rPr>
                <w:rFonts w:ascii="Tahoma" w:eastAsia="Aptos" w:hAnsi="Tahoma" w:cs="Tahoma"/>
              </w:rPr>
              <w:t>Przedmiotem zamówienia jest dostawa jednego pakietu licencyjnego na oprogramowanie antywirusowe klasy Endpoint Protection Platform (EPP), wyposażone w funkcjonalności Endpoint Detection and Response (EDR), przeznaczonego dla 31 stacji komputerowych Zamawiającego.</w:t>
            </w:r>
          </w:p>
          <w:p w14:paraId="00DFB817" w14:textId="77C3D825" w:rsidR="000A0DB9" w:rsidRPr="00B47972" w:rsidRDefault="009B408F" w:rsidP="2848D7CF">
            <w:pPr>
              <w:spacing w:line="276" w:lineRule="auto"/>
              <w:jc w:val="both"/>
              <w:rPr>
                <w:rFonts w:ascii="Tahoma" w:eastAsia="Aptos" w:hAnsi="Tahoma" w:cs="Tahoma"/>
              </w:rPr>
            </w:pPr>
            <w:r w:rsidRPr="009B408F">
              <w:rPr>
                <w:rFonts w:ascii="Tahoma" w:eastAsia="Aptos" w:hAnsi="Tahoma" w:cs="Tahoma"/>
              </w:rPr>
              <w:t>Dostarczone oprogramowanie musi umożliwiać centralnie zarządzaną ochronę stacji końcowych, obejmującą co najmniej</w:t>
            </w:r>
            <w:r w:rsidR="000A0DB9" w:rsidRPr="2848D7CF">
              <w:rPr>
                <w:rFonts w:ascii="Tahoma" w:eastAsia="Aptos" w:hAnsi="Tahoma" w:cs="Tahoma"/>
              </w:rPr>
              <w:t>:</w:t>
            </w:r>
          </w:p>
          <w:p w14:paraId="21A60421" w14:textId="77777777" w:rsidR="000A0DB9" w:rsidRPr="00B47972" w:rsidRDefault="000A0DB9" w:rsidP="2848D7CF">
            <w:pPr>
              <w:numPr>
                <w:ilvl w:val="0"/>
                <w:numId w:val="29"/>
              </w:numPr>
              <w:spacing w:before="0" w:after="160" w:line="276" w:lineRule="auto"/>
              <w:jc w:val="both"/>
              <w:rPr>
                <w:rFonts w:ascii="Tahoma" w:eastAsia="Aptos" w:hAnsi="Tahoma" w:cs="Tahoma"/>
              </w:rPr>
            </w:pPr>
            <w:r w:rsidRPr="2848D7CF">
              <w:rPr>
                <w:rFonts w:ascii="Tahoma" w:eastAsia="Aptos" w:hAnsi="Tahoma" w:cs="Tahoma"/>
              </w:rPr>
              <w:t>ochronę antywirusową i antymalware,</w:t>
            </w:r>
          </w:p>
          <w:p w14:paraId="78F91B2F" w14:textId="77777777" w:rsidR="000A0DB9" w:rsidRPr="00B47972" w:rsidRDefault="000A0DB9" w:rsidP="2848D7CF">
            <w:pPr>
              <w:numPr>
                <w:ilvl w:val="0"/>
                <w:numId w:val="29"/>
              </w:numPr>
              <w:spacing w:before="0" w:after="160" w:line="276" w:lineRule="auto"/>
              <w:jc w:val="both"/>
              <w:rPr>
                <w:rFonts w:ascii="Tahoma" w:eastAsia="Aptos" w:hAnsi="Tahoma" w:cs="Tahoma"/>
              </w:rPr>
            </w:pPr>
            <w:r w:rsidRPr="2848D7CF">
              <w:rPr>
                <w:rFonts w:ascii="Tahoma" w:eastAsia="Aptos" w:hAnsi="Tahoma" w:cs="Tahoma"/>
              </w:rPr>
              <w:t>analizę behawioralną zagrożeń,</w:t>
            </w:r>
          </w:p>
          <w:p w14:paraId="0794E46F" w14:textId="77777777" w:rsidR="000A0DB9" w:rsidRPr="00B47972" w:rsidRDefault="000A0DB9" w:rsidP="2848D7CF">
            <w:pPr>
              <w:numPr>
                <w:ilvl w:val="0"/>
                <w:numId w:val="29"/>
              </w:numPr>
              <w:spacing w:before="0" w:after="160" w:line="276" w:lineRule="auto"/>
              <w:jc w:val="both"/>
              <w:rPr>
                <w:rFonts w:ascii="Tahoma" w:eastAsia="Aptos" w:hAnsi="Tahoma" w:cs="Tahoma"/>
              </w:rPr>
            </w:pPr>
            <w:r w:rsidRPr="2848D7CF">
              <w:rPr>
                <w:rFonts w:ascii="Tahoma" w:eastAsia="Aptos" w:hAnsi="Tahoma" w:cs="Tahoma"/>
              </w:rPr>
              <w:t>korelację zdarzeń bezpieczeństwa,</w:t>
            </w:r>
          </w:p>
          <w:p w14:paraId="760C260D" w14:textId="77777777" w:rsidR="000A0DB9" w:rsidRPr="00B47972" w:rsidRDefault="000A0DB9" w:rsidP="2848D7CF">
            <w:pPr>
              <w:numPr>
                <w:ilvl w:val="0"/>
                <w:numId w:val="29"/>
              </w:numPr>
              <w:spacing w:before="0" w:after="160" w:line="276" w:lineRule="auto"/>
              <w:jc w:val="both"/>
              <w:rPr>
                <w:rFonts w:ascii="Tahoma" w:eastAsia="Aptos" w:hAnsi="Tahoma" w:cs="Tahoma"/>
              </w:rPr>
            </w:pPr>
            <w:r w:rsidRPr="2848D7CF">
              <w:rPr>
                <w:rFonts w:ascii="Tahoma" w:eastAsia="Aptos" w:hAnsi="Tahoma" w:cs="Tahoma"/>
              </w:rPr>
              <w:t>wykrywanie incydentów bezpieczeństwa,</w:t>
            </w:r>
          </w:p>
          <w:p w14:paraId="4B1CB59C" w14:textId="77777777" w:rsidR="000A0DB9" w:rsidRDefault="000A0DB9" w:rsidP="2848D7CF">
            <w:pPr>
              <w:numPr>
                <w:ilvl w:val="0"/>
                <w:numId w:val="29"/>
              </w:numPr>
              <w:spacing w:before="0" w:after="160" w:line="276" w:lineRule="auto"/>
              <w:jc w:val="both"/>
              <w:rPr>
                <w:rFonts w:ascii="Tahoma" w:eastAsia="Aptos" w:hAnsi="Tahoma" w:cs="Tahoma"/>
              </w:rPr>
            </w:pPr>
            <w:r w:rsidRPr="2848D7CF">
              <w:rPr>
                <w:rFonts w:ascii="Tahoma" w:eastAsia="Aptos" w:hAnsi="Tahoma" w:cs="Tahoma"/>
              </w:rPr>
              <w:t>automatyczne oraz wspomagane reagowanie na incydenty.</w:t>
            </w:r>
          </w:p>
          <w:p w14:paraId="1EA3375E" w14:textId="77777777" w:rsidR="000A0DB9" w:rsidRDefault="000A0DB9" w:rsidP="2848D7CF">
            <w:pPr>
              <w:spacing w:line="276" w:lineRule="auto"/>
              <w:jc w:val="both"/>
              <w:rPr>
                <w:rFonts w:ascii="Tahoma" w:eastAsia="Aptos" w:hAnsi="Tahoma" w:cs="Tahoma"/>
              </w:rPr>
            </w:pPr>
            <w:r w:rsidRPr="2848D7CF">
              <w:rPr>
                <w:rFonts w:ascii="Tahoma" w:eastAsia="Aptos" w:hAnsi="Tahoma" w:cs="Tahoma"/>
              </w:rPr>
              <w:t>Zamawiający dopuszcza, aby część funkcji była realizowana przez natywne moduły, komponenty lub usługi tego samego producenta, dostarczane w ramach oferowanego rozwiązania, pod warunkiem zachowania jednej spójnej konsoli zarządzającej lub logicznie zintegrowanego modelu zarządzania.</w:t>
            </w:r>
          </w:p>
          <w:p w14:paraId="10218A78" w14:textId="5980C45E" w:rsidR="009C4F2E" w:rsidRPr="00B47972" w:rsidRDefault="009B408F" w:rsidP="2848D7CF">
            <w:pPr>
              <w:spacing w:line="276" w:lineRule="auto"/>
              <w:jc w:val="both"/>
              <w:rPr>
                <w:rFonts w:ascii="Tahoma" w:eastAsia="Aptos" w:hAnsi="Tahoma" w:cs="Tahoma"/>
              </w:rPr>
            </w:pPr>
            <w:r w:rsidRPr="009B408F">
              <w:rPr>
                <w:rFonts w:ascii="Tahoma" w:eastAsia="Aptos" w:hAnsi="Tahoma" w:cs="Tahoma"/>
              </w:rPr>
              <w:t xml:space="preserve">Oferowane oprogramowanie musi udostępniać co najmniej jeden standardowy mechanizm </w:t>
            </w:r>
            <w:r w:rsidRPr="009B408F">
              <w:rPr>
                <w:rFonts w:ascii="Tahoma" w:eastAsia="Aptos" w:hAnsi="Tahoma" w:cs="Tahoma"/>
              </w:rPr>
              <w:lastRenderedPageBreak/>
              <w:t>przekazywania informacji o detekcjach, alertach, incydentach, statusie ochrony i stanie chronionych hostów do innych systemów bezpieczeństwa, w szczególności do systemu typu menedżer logów wdrażanego w ramach tego samego zamówienia. Dopuszczalne mechanizmy integracyjne obejmują udokumentowany interfejs API, syslog, webhook albo inny udokumentowany mechanizm eksportu zdarzeń. Konfiguracja integracji nie wchodzi w zakres dostawy licencji i zostanie wykonana w ramach odrębnej pozycji „Wdrożenie oprogramowania antywirusowego z EDR”</w:t>
            </w:r>
            <w:r w:rsidR="0BF8CC9D" w:rsidRPr="2848D7CF">
              <w:rPr>
                <w:rFonts w:ascii="Tahoma" w:eastAsia="Aptos" w:hAnsi="Tahoma" w:cs="Tahoma"/>
              </w:rPr>
              <w:t>.</w:t>
            </w:r>
          </w:p>
        </w:tc>
      </w:tr>
      <w:tr w:rsidR="000A0DB9" w:rsidRPr="00127629" w14:paraId="07FEA49D" w14:textId="77777777" w:rsidTr="27CD0593">
        <w:trPr>
          <w:trHeight w:val="300"/>
        </w:trPr>
        <w:tc>
          <w:tcPr>
            <w:tcW w:w="720" w:type="dxa"/>
            <w:vAlign w:val="center"/>
          </w:tcPr>
          <w:p w14:paraId="67AE2277" w14:textId="77777777" w:rsidR="000A0DB9" w:rsidRPr="00127629" w:rsidRDefault="000A0DB9" w:rsidP="00621BB1">
            <w:pPr>
              <w:jc w:val="center"/>
              <w:rPr>
                <w:rFonts w:ascii="Tahoma" w:eastAsia="Aptos" w:hAnsi="Tahoma" w:cs="Tahoma"/>
                <w:b/>
                <w:bCs/>
              </w:rPr>
            </w:pPr>
            <w:r w:rsidRPr="00127629">
              <w:rPr>
                <w:rFonts w:ascii="Tahoma" w:eastAsia="Aptos" w:hAnsi="Tahoma" w:cs="Tahoma"/>
                <w:b/>
                <w:bCs/>
              </w:rPr>
              <w:lastRenderedPageBreak/>
              <w:t>2</w:t>
            </w:r>
          </w:p>
        </w:tc>
        <w:tc>
          <w:tcPr>
            <w:tcW w:w="2745" w:type="dxa"/>
            <w:vAlign w:val="center"/>
          </w:tcPr>
          <w:p w14:paraId="1E6D258B" w14:textId="77777777" w:rsidR="000A0DB9" w:rsidRPr="00127629" w:rsidRDefault="000A0DB9" w:rsidP="00621BB1">
            <w:pPr>
              <w:spacing w:line="279" w:lineRule="auto"/>
              <w:rPr>
                <w:rFonts w:ascii="Tahoma" w:eastAsia="Aptos" w:hAnsi="Tahoma" w:cs="Tahoma"/>
              </w:rPr>
            </w:pPr>
            <w:r w:rsidRPr="00127629">
              <w:rPr>
                <w:rFonts w:ascii="Tahoma" w:eastAsia="Aptos" w:hAnsi="Tahoma" w:cs="Tahoma"/>
                <w:b/>
                <w:bCs/>
              </w:rPr>
              <w:t>Licencje</w:t>
            </w:r>
          </w:p>
        </w:tc>
        <w:tc>
          <w:tcPr>
            <w:tcW w:w="5550" w:type="dxa"/>
          </w:tcPr>
          <w:p w14:paraId="619618D4" w14:textId="216771A7" w:rsidR="00984209" w:rsidRPr="00984209" w:rsidRDefault="00984209" w:rsidP="00984209">
            <w:pPr>
              <w:spacing w:line="276" w:lineRule="auto"/>
              <w:jc w:val="both"/>
              <w:rPr>
                <w:rFonts w:ascii="Tahoma" w:eastAsia="Aptos" w:hAnsi="Tahoma" w:cs="Tahoma"/>
              </w:rPr>
            </w:pPr>
            <w:r w:rsidRPr="27CD0593">
              <w:rPr>
                <w:rFonts w:ascii="Tahoma" w:eastAsia="Aptos" w:hAnsi="Tahoma" w:cs="Tahoma"/>
              </w:rPr>
              <w:t xml:space="preserve">Wykonawca zobowiązany jest dostarczyć licencję terminową / subskrypcję na oprogramowanie dla </w:t>
            </w:r>
            <w:r w:rsidR="009B408F">
              <w:rPr>
                <w:rFonts w:ascii="Tahoma" w:eastAsia="Aptos" w:hAnsi="Tahoma" w:cs="Tahoma"/>
              </w:rPr>
              <w:t>31</w:t>
            </w:r>
            <w:r w:rsidRPr="27CD0593">
              <w:rPr>
                <w:rFonts w:ascii="Tahoma" w:eastAsia="Aptos" w:hAnsi="Tahoma" w:cs="Tahoma"/>
              </w:rPr>
              <w:t xml:space="preserve"> stanowisk, obejmującą wszystkie wymagane funkcjonalności wskazane w OPZ.</w:t>
            </w:r>
          </w:p>
          <w:p w14:paraId="56436610" w14:textId="77777777" w:rsidR="00984209" w:rsidRPr="00984209" w:rsidRDefault="00984209" w:rsidP="00984209">
            <w:pPr>
              <w:spacing w:line="276" w:lineRule="auto"/>
              <w:jc w:val="both"/>
              <w:rPr>
                <w:rFonts w:ascii="Tahoma" w:eastAsia="Aptos" w:hAnsi="Tahoma" w:cs="Tahoma"/>
              </w:rPr>
            </w:pPr>
            <w:r w:rsidRPr="00984209">
              <w:rPr>
                <w:rFonts w:ascii="Tahoma" w:eastAsia="Aptos" w:hAnsi="Tahoma" w:cs="Tahoma"/>
              </w:rPr>
              <w:t>Licencja/subskrypcja musi zostać zaoferowana w sposób zgodny z podziałem przyjętym w formularzu oferty, tj.:</w:t>
            </w:r>
          </w:p>
          <w:p w14:paraId="72AF66F9" w14:textId="06E0D4AF" w:rsidR="00984209" w:rsidRPr="00984209" w:rsidRDefault="00984209" w:rsidP="00984209">
            <w:pPr>
              <w:spacing w:line="276" w:lineRule="auto"/>
              <w:jc w:val="both"/>
              <w:rPr>
                <w:rFonts w:ascii="Tahoma" w:eastAsia="Aptos" w:hAnsi="Tahoma" w:cs="Tahoma"/>
              </w:rPr>
            </w:pPr>
            <w:r w:rsidRPr="00984209">
              <w:rPr>
                <w:rFonts w:ascii="Tahoma" w:eastAsia="Aptos" w:hAnsi="Tahoma" w:cs="Tahoma"/>
              </w:rPr>
              <w:t>1) w Części A formularza oferty — Tabela 1</w:t>
            </w:r>
            <w:r w:rsidRPr="00984209">
              <w:rPr>
                <w:rFonts w:ascii="Tahoma" w:eastAsia="Aptos" w:hAnsi="Tahoma" w:cs="Tahoma"/>
              </w:rPr>
              <w:br/>
              <w:t>Wykonawca zobowiązany jest ująć koszt dostawy licencji/subskrypcji obejmujący okres korzystania z oprogramowania do dnia 30.11.2026 r.</w:t>
            </w:r>
            <w:r w:rsidRPr="00984209">
              <w:rPr>
                <w:rFonts w:ascii="Tahoma" w:eastAsia="Aptos" w:hAnsi="Tahoma" w:cs="Tahoma"/>
              </w:rPr>
              <w:br/>
              <w:t>Część A obejmuje cenę dostawy, wdrożenia i integracji, w tym kwalifikowany w ramach Projektu grantowego koszt licencji/subskrypcji przypadający na okres do dnia 30.11.2026 r.</w:t>
            </w:r>
          </w:p>
          <w:p w14:paraId="4E0E65A1" w14:textId="77777777" w:rsidR="00984209" w:rsidRPr="00984209" w:rsidRDefault="00984209" w:rsidP="00984209">
            <w:pPr>
              <w:spacing w:line="276" w:lineRule="auto"/>
              <w:jc w:val="both"/>
              <w:rPr>
                <w:rFonts w:ascii="Tahoma" w:eastAsia="Aptos" w:hAnsi="Tahoma" w:cs="Tahoma"/>
              </w:rPr>
            </w:pPr>
            <w:r w:rsidRPr="00984209">
              <w:rPr>
                <w:rFonts w:ascii="Tahoma" w:eastAsia="Aptos" w:hAnsi="Tahoma" w:cs="Tahoma"/>
              </w:rPr>
              <w:t>2) w Części B formularza oferty — Tabela 2</w:t>
            </w:r>
            <w:r w:rsidRPr="00984209">
              <w:rPr>
                <w:rFonts w:ascii="Tahoma" w:eastAsia="Aptos" w:hAnsi="Tahoma" w:cs="Tahoma"/>
              </w:rPr>
              <w:br/>
              <w:t>Wykonawca zobowiązany jest wskazać koszt dalszego utrzymania licencji/subskrypcji po dniu 30.11.2026 r., jako koszt życia produktu objętego subskrypcją/licencją czasową przez okres 36 miesięcy, zgodnie z formularzem oferty.</w:t>
            </w:r>
          </w:p>
          <w:p w14:paraId="195D9F0B" w14:textId="77777777" w:rsidR="00984209" w:rsidRPr="00984209" w:rsidRDefault="00984209" w:rsidP="00984209">
            <w:pPr>
              <w:spacing w:line="276" w:lineRule="auto"/>
              <w:jc w:val="both"/>
              <w:rPr>
                <w:rFonts w:ascii="Tahoma" w:eastAsia="Aptos" w:hAnsi="Tahoma" w:cs="Tahoma"/>
              </w:rPr>
            </w:pPr>
            <w:r w:rsidRPr="00984209">
              <w:rPr>
                <w:rFonts w:ascii="Tahoma" w:eastAsia="Aptos" w:hAnsi="Tahoma" w:cs="Tahoma"/>
              </w:rPr>
              <w:lastRenderedPageBreak/>
              <w:t>Przez Część B należy rozumieć wyłącznie koszt utrzymania pełnej funkcjonalności zaoferowanego oprogramowania po okresie kwalifikowanym w Projekcie grantowym, w szczególności koszt odnowienia licencji, kontynuacji subskrypcji, aktualizacji, baz sygnatur, reguł, definicji, mechanizmów detekcyjnych, konsoli zarządzającej oraz wsparcia producenta lub równoważnego wsparcia technicznego, jeżeli są one wymagane do prawidłowego działania zaoferowanego rozwiązania.</w:t>
            </w:r>
          </w:p>
          <w:p w14:paraId="420A6BDF" w14:textId="77777777" w:rsidR="00984209" w:rsidRDefault="00984209" w:rsidP="00984209">
            <w:pPr>
              <w:spacing w:line="276" w:lineRule="auto"/>
              <w:jc w:val="both"/>
              <w:rPr>
                <w:rFonts w:ascii="Tahoma" w:eastAsia="Aptos" w:hAnsi="Tahoma" w:cs="Tahoma"/>
              </w:rPr>
            </w:pPr>
            <w:r w:rsidRPr="00984209">
              <w:rPr>
                <w:rFonts w:ascii="Tahoma" w:eastAsia="Aptos" w:hAnsi="Tahoma" w:cs="Tahoma"/>
              </w:rPr>
              <w:t>Zasady aktywacji:</w:t>
            </w:r>
          </w:p>
          <w:p w14:paraId="37AB1C66" w14:textId="2B4CF2C6" w:rsidR="00984209" w:rsidRPr="00984209" w:rsidRDefault="00984209" w:rsidP="00984209">
            <w:pPr>
              <w:spacing w:line="276" w:lineRule="auto"/>
              <w:jc w:val="both"/>
              <w:rPr>
                <w:rFonts w:ascii="Tahoma" w:eastAsia="Aptos" w:hAnsi="Tahoma" w:cs="Tahoma"/>
              </w:rPr>
            </w:pPr>
            <w:r w:rsidRPr="00984209">
              <w:rPr>
                <w:rFonts w:ascii="Tahoma" w:eastAsia="Aptos" w:hAnsi="Tahoma" w:cs="Tahoma"/>
              </w:rPr>
              <w:t>Aktywacja licencji/subskrypcji nie może nastąpić wcześniej niż po dostarczeniu licencji/subskrypcji Zamawiającemu oraz po potwierdzeniu przez Zamawiającego możliwości korzystania z oprogramowania.</w:t>
            </w:r>
          </w:p>
          <w:p w14:paraId="779207E7" w14:textId="77777777" w:rsidR="00984209" w:rsidRDefault="00984209" w:rsidP="00984209">
            <w:pPr>
              <w:spacing w:line="276" w:lineRule="auto"/>
              <w:jc w:val="both"/>
              <w:rPr>
                <w:rFonts w:ascii="Tahoma" w:eastAsia="Aptos" w:hAnsi="Tahoma" w:cs="Tahoma"/>
              </w:rPr>
            </w:pPr>
            <w:r w:rsidRPr="00984209">
              <w:rPr>
                <w:rFonts w:ascii="Tahoma" w:eastAsia="Aptos" w:hAnsi="Tahoma" w:cs="Tahoma"/>
              </w:rPr>
              <w:t>Zasady rozliczenia:</w:t>
            </w:r>
          </w:p>
          <w:p w14:paraId="4CA202AF" w14:textId="5802FE53" w:rsidR="0070601C" w:rsidRPr="009B408F" w:rsidRDefault="0070601C" w:rsidP="0070601C">
            <w:pPr>
              <w:spacing w:line="276" w:lineRule="auto"/>
              <w:jc w:val="both"/>
              <w:rPr>
                <w:rFonts w:ascii="Tahoma" w:eastAsia="Aptos" w:hAnsi="Tahoma" w:cs="Tahoma"/>
              </w:rPr>
            </w:pPr>
            <w:r w:rsidRPr="009B408F">
              <w:rPr>
                <w:rFonts w:ascii="Tahoma" w:eastAsia="Aptos" w:hAnsi="Tahoma" w:cs="Tahoma"/>
              </w:rPr>
              <w:t>Zamawiający zastrzega, że w ramach środków Projektu grantowego rozliczona zostanie wyłącznie część wynagrodzenia przypadająca na okres korzystania z licencji/subskrypcji do dnia 30.11.2026 r., wykazana przez Wykonawcę w Części A formularza oferty - Tabela 1.</w:t>
            </w:r>
          </w:p>
          <w:p w14:paraId="7E4DD32E" w14:textId="07318846" w:rsidR="0070601C" w:rsidRPr="009B408F" w:rsidRDefault="0070601C" w:rsidP="0070601C">
            <w:pPr>
              <w:spacing w:line="276" w:lineRule="auto"/>
              <w:jc w:val="both"/>
              <w:rPr>
                <w:rFonts w:ascii="Tahoma" w:eastAsia="Aptos" w:hAnsi="Tahoma" w:cs="Tahoma"/>
              </w:rPr>
            </w:pPr>
            <w:r w:rsidRPr="009B408F">
              <w:rPr>
                <w:rFonts w:ascii="Tahoma" w:eastAsia="Aptos" w:hAnsi="Tahoma" w:cs="Tahoma"/>
              </w:rPr>
              <w:t>Część wynagrodzenia przypadająca na okres po dniu 30.11.2026 r., wykazana przez Wykonawcę w Części B formularza oferty - Tabela 2, stanowi koszt niekwalifikowalny w ramach Projektu grantowego i zostanie pokryta ze środków własnych Zamawiającego.</w:t>
            </w:r>
          </w:p>
          <w:p w14:paraId="0AAB833A" w14:textId="77777777" w:rsidR="0070601C" w:rsidRPr="009B408F" w:rsidRDefault="0070601C" w:rsidP="0070601C">
            <w:pPr>
              <w:spacing w:line="276" w:lineRule="auto"/>
              <w:jc w:val="both"/>
              <w:rPr>
                <w:rFonts w:ascii="Tahoma" w:eastAsia="Aptos" w:hAnsi="Tahoma" w:cs="Tahoma"/>
              </w:rPr>
            </w:pPr>
            <w:r w:rsidRPr="009B408F">
              <w:rPr>
                <w:rFonts w:ascii="Tahoma" w:eastAsia="Aptos" w:hAnsi="Tahoma" w:cs="Tahoma"/>
              </w:rPr>
              <w:t xml:space="preserve">Wynagrodzenie dotyczące okresu po dniu 30.11.2026 r. będzie rozliczane etapowo, w okresach 12-miesięcznych, na podstawie faktur </w:t>
            </w:r>
            <w:r w:rsidRPr="009B408F">
              <w:rPr>
                <w:rFonts w:ascii="Tahoma" w:eastAsia="Aptos" w:hAnsi="Tahoma" w:cs="Tahoma"/>
              </w:rPr>
              <w:lastRenderedPageBreak/>
              <w:t>wystawianych przez Wykonawcę za każdy kolejny 12-miesięczny okres obowiązywania licencji/subskrypcji, liczony od dnia 01.12.2026 r.</w:t>
            </w:r>
          </w:p>
          <w:p w14:paraId="70D5F0C1" w14:textId="77777777" w:rsidR="0070601C" w:rsidRPr="009B408F" w:rsidRDefault="0070601C" w:rsidP="0070601C">
            <w:pPr>
              <w:spacing w:line="276" w:lineRule="auto"/>
              <w:jc w:val="both"/>
              <w:rPr>
                <w:rFonts w:ascii="Tahoma" w:eastAsia="Aptos" w:hAnsi="Tahoma" w:cs="Tahoma"/>
              </w:rPr>
            </w:pPr>
            <w:r w:rsidRPr="009B408F">
              <w:rPr>
                <w:rFonts w:ascii="Tahoma" w:eastAsia="Aptos" w:hAnsi="Tahoma" w:cs="Tahoma"/>
              </w:rPr>
              <w:t>Zamawiający dopuszcza również rozliczenie miesięczne, na podstawie faktur wystawianych przez Wykonawcę za każdy kolejny miesięczny okres obowiązywania licencji/subskrypcji.</w:t>
            </w:r>
          </w:p>
          <w:p w14:paraId="3B3201C3" w14:textId="528ED118" w:rsidR="00984209" w:rsidRPr="00984209" w:rsidRDefault="00984209" w:rsidP="00984209">
            <w:pPr>
              <w:spacing w:line="276" w:lineRule="auto"/>
              <w:jc w:val="both"/>
              <w:rPr>
                <w:rFonts w:ascii="Tahoma" w:eastAsia="Aptos" w:hAnsi="Tahoma" w:cs="Tahoma"/>
              </w:rPr>
            </w:pPr>
            <w:r w:rsidRPr="27CD0593">
              <w:rPr>
                <w:rFonts w:ascii="Tahoma" w:eastAsia="Aptos" w:hAnsi="Tahoma" w:cs="Tahoma"/>
              </w:rPr>
              <w:t>Ilość stanowisk objętych licencją:</w:t>
            </w:r>
            <w:r>
              <w:br/>
            </w:r>
            <w:r w:rsidRPr="27CD0593">
              <w:rPr>
                <w:rFonts w:ascii="Tahoma" w:eastAsia="Aptos" w:hAnsi="Tahoma" w:cs="Tahoma"/>
              </w:rPr>
              <w:t xml:space="preserve">Licencja/subskrypcja musi obejmować </w:t>
            </w:r>
            <w:r w:rsidR="009B408F">
              <w:rPr>
                <w:rFonts w:ascii="Tahoma" w:eastAsia="Aptos" w:hAnsi="Tahoma" w:cs="Tahoma"/>
              </w:rPr>
              <w:t>31</w:t>
            </w:r>
            <w:r w:rsidRPr="27CD0593">
              <w:rPr>
                <w:rFonts w:ascii="Tahoma" w:eastAsia="Aptos" w:hAnsi="Tahoma" w:cs="Tahoma"/>
              </w:rPr>
              <w:t xml:space="preserve"> stanowisk oraz 1 konsolę zarządzającą, dostępną w chmurze lub na serwerze dostarczonym w ramach niniejszego zamówienia — w zależności od oferowanego rozwiązania. Konsola administracyjna musi umożliwiać korzystanie z niej przez co najmniej jednego administratora.</w:t>
            </w:r>
          </w:p>
          <w:p w14:paraId="73312AE2" w14:textId="77777777" w:rsidR="00984209" w:rsidRDefault="00984209" w:rsidP="00984209">
            <w:pPr>
              <w:spacing w:line="276" w:lineRule="auto"/>
              <w:jc w:val="both"/>
              <w:rPr>
                <w:rFonts w:ascii="Tahoma" w:eastAsia="Aptos" w:hAnsi="Tahoma" w:cs="Tahoma"/>
              </w:rPr>
            </w:pPr>
            <w:r w:rsidRPr="00984209">
              <w:rPr>
                <w:rFonts w:ascii="Tahoma" w:eastAsia="Aptos" w:hAnsi="Tahoma" w:cs="Tahoma"/>
              </w:rPr>
              <w:t>Forma dostarczenia:</w:t>
            </w:r>
          </w:p>
          <w:p w14:paraId="54818601" w14:textId="7613DDCE" w:rsidR="000A0DB9" w:rsidRPr="00984209" w:rsidRDefault="00984209" w:rsidP="00984209">
            <w:pPr>
              <w:spacing w:line="276" w:lineRule="auto"/>
              <w:jc w:val="both"/>
              <w:rPr>
                <w:rFonts w:ascii="Tahoma" w:eastAsia="Aptos" w:hAnsi="Tahoma" w:cs="Tahoma"/>
                <w:color w:val="FF0000"/>
              </w:rPr>
            </w:pPr>
            <w:r w:rsidRPr="00984209">
              <w:rPr>
                <w:rFonts w:ascii="Tahoma" w:eastAsia="Aptos" w:hAnsi="Tahoma" w:cs="Tahoma"/>
              </w:rPr>
              <w:t>Licencje/subskrypcje na oprogramowanie muszą zostać dostarczone do siedziby Zamawiającego w formie papierowej lub elektronicznej, w sposób umożliwiający jednoznaczną identyfikację zakresu licencji, liczby stanowisk, okresu obowiązywania oraz zasad aktywacji.</w:t>
            </w:r>
          </w:p>
        </w:tc>
      </w:tr>
      <w:tr w:rsidR="000A0DB9" w:rsidRPr="00127629" w14:paraId="48B6121B" w14:textId="77777777" w:rsidTr="27CD0593">
        <w:trPr>
          <w:trHeight w:val="300"/>
        </w:trPr>
        <w:tc>
          <w:tcPr>
            <w:tcW w:w="720" w:type="dxa"/>
            <w:vAlign w:val="center"/>
          </w:tcPr>
          <w:p w14:paraId="36CED786" w14:textId="413A42E3" w:rsidR="000A0DB9" w:rsidRPr="00127629" w:rsidRDefault="65BBF0DE" w:rsidP="2848D7CF">
            <w:pPr>
              <w:jc w:val="center"/>
            </w:pPr>
            <w:r w:rsidRPr="2848D7CF">
              <w:rPr>
                <w:rFonts w:ascii="Tahoma" w:eastAsia="Aptos" w:hAnsi="Tahoma" w:cs="Tahoma"/>
                <w:b/>
                <w:bCs/>
              </w:rPr>
              <w:lastRenderedPageBreak/>
              <w:t>3</w:t>
            </w:r>
          </w:p>
        </w:tc>
        <w:tc>
          <w:tcPr>
            <w:tcW w:w="2745" w:type="dxa"/>
            <w:vAlign w:val="center"/>
          </w:tcPr>
          <w:p w14:paraId="382EFCA2" w14:textId="77777777" w:rsidR="000A0DB9" w:rsidRPr="00127629" w:rsidRDefault="000A0DB9" w:rsidP="00621BB1">
            <w:pPr>
              <w:rPr>
                <w:rFonts w:ascii="Tahoma" w:eastAsia="Aptos" w:hAnsi="Tahoma" w:cs="Tahoma"/>
                <w:b/>
                <w:bCs/>
              </w:rPr>
            </w:pPr>
            <w:r w:rsidRPr="00127629">
              <w:rPr>
                <w:rFonts w:ascii="Tahoma" w:eastAsia="Aptos" w:hAnsi="Tahoma" w:cs="Tahoma"/>
                <w:b/>
                <w:bCs/>
              </w:rPr>
              <w:t>Ochrona antywirusowa i zarządzanie centralne</w:t>
            </w:r>
          </w:p>
        </w:tc>
        <w:tc>
          <w:tcPr>
            <w:tcW w:w="5550" w:type="dxa"/>
          </w:tcPr>
          <w:p w14:paraId="7D9E9B3B" w14:textId="65EC5E6A" w:rsidR="000A0DB9" w:rsidRPr="00127629" w:rsidRDefault="000A0DB9" w:rsidP="2848D7CF">
            <w:pPr>
              <w:spacing w:line="276" w:lineRule="auto"/>
              <w:jc w:val="both"/>
              <w:rPr>
                <w:rFonts w:ascii="Tahoma" w:eastAsia="Aptos" w:hAnsi="Tahoma" w:cs="Tahoma"/>
              </w:rPr>
            </w:pPr>
            <w:r w:rsidRPr="2848D7CF">
              <w:rPr>
                <w:rFonts w:ascii="Tahoma" w:eastAsia="Aptos" w:hAnsi="Tahoma" w:cs="Tahoma"/>
              </w:rPr>
              <w:t>Wykonawca zobowiązany jest do dostarczenia rozwiązania zapewniającego ochronę antywirusową monitorowaną i zarządzaną centralnie. Oprogramowanie musi umożliwiać zarządzanie ochroną dla całego systemu z pojedynczej, centralnej konsoli, dostępnej przez interfejs przeglądarki internetowej. Zamawiający dopuszcza konsolę zainstalowaną na serwerach producenta lub innych autoryzowanych przez producenta dostawców.</w:t>
            </w:r>
          </w:p>
        </w:tc>
      </w:tr>
      <w:tr w:rsidR="000A0DB9" w:rsidRPr="00127629" w14:paraId="706D4CE9" w14:textId="77777777" w:rsidTr="27CD0593">
        <w:trPr>
          <w:trHeight w:val="300"/>
        </w:trPr>
        <w:tc>
          <w:tcPr>
            <w:tcW w:w="720" w:type="dxa"/>
            <w:vAlign w:val="center"/>
          </w:tcPr>
          <w:p w14:paraId="0BE17067" w14:textId="27452FD0" w:rsidR="000A0DB9" w:rsidRPr="00127629" w:rsidRDefault="6EED8D70" w:rsidP="2848D7CF">
            <w:pPr>
              <w:jc w:val="center"/>
            </w:pPr>
            <w:r w:rsidRPr="2848D7CF">
              <w:rPr>
                <w:rFonts w:ascii="Tahoma" w:eastAsia="Aptos" w:hAnsi="Tahoma" w:cs="Tahoma"/>
                <w:b/>
                <w:bCs/>
              </w:rPr>
              <w:lastRenderedPageBreak/>
              <w:t>4</w:t>
            </w:r>
          </w:p>
        </w:tc>
        <w:tc>
          <w:tcPr>
            <w:tcW w:w="2745" w:type="dxa"/>
            <w:vAlign w:val="center"/>
          </w:tcPr>
          <w:p w14:paraId="62A1C3AE" w14:textId="77777777" w:rsidR="000A0DB9" w:rsidRPr="00127629" w:rsidRDefault="000A0DB9" w:rsidP="00621BB1">
            <w:pPr>
              <w:rPr>
                <w:rFonts w:ascii="Tahoma" w:eastAsia="Aptos" w:hAnsi="Tahoma" w:cs="Tahoma"/>
                <w:b/>
                <w:bCs/>
              </w:rPr>
            </w:pPr>
            <w:r w:rsidRPr="00127629">
              <w:rPr>
                <w:rFonts w:ascii="Tahoma" w:eastAsia="Aptos" w:hAnsi="Tahoma" w:cs="Tahoma"/>
                <w:b/>
                <w:bCs/>
              </w:rPr>
              <w:t>Agent</w:t>
            </w:r>
          </w:p>
        </w:tc>
        <w:tc>
          <w:tcPr>
            <w:tcW w:w="5550" w:type="dxa"/>
          </w:tcPr>
          <w:p w14:paraId="72DCE71D" w14:textId="77777777" w:rsidR="000A0DB9" w:rsidRPr="00127629" w:rsidRDefault="000A0DB9" w:rsidP="2848D7CF">
            <w:pPr>
              <w:pStyle w:val="Akapitzlist"/>
              <w:numPr>
                <w:ilvl w:val="0"/>
                <w:numId w:val="28"/>
              </w:numPr>
              <w:spacing w:before="0" w:after="0" w:line="276" w:lineRule="auto"/>
              <w:ind w:left="363"/>
              <w:jc w:val="both"/>
              <w:rPr>
                <w:rFonts w:ascii="Tahoma" w:hAnsi="Tahoma" w:cs="Tahoma"/>
              </w:rPr>
            </w:pPr>
            <w:r w:rsidRPr="2848D7CF">
              <w:rPr>
                <w:rFonts w:ascii="Tahoma" w:hAnsi="Tahoma" w:cs="Tahoma"/>
              </w:rPr>
              <w:t xml:space="preserve">Wykonawca zobowiązany jest do dostarczenia rozwiązania, które wymaga jedynie instalacji agenta na wspieranych urządzeniach końcowych. </w:t>
            </w:r>
          </w:p>
          <w:p w14:paraId="1F9B3BDF" w14:textId="77777777" w:rsidR="000A0DB9" w:rsidRPr="00127629" w:rsidRDefault="000A0DB9" w:rsidP="2848D7CF">
            <w:pPr>
              <w:pStyle w:val="Akapitzlist"/>
              <w:numPr>
                <w:ilvl w:val="0"/>
                <w:numId w:val="28"/>
              </w:numPr>
              <w:spacing w:before="0" w:after="0" w:line="276" w:lineRule="auto"/>
              <w:ind w:left="363"/>
              <w:jc w:val="both"/>
              <w:rPr>
                <w:rFonts w:ascii="Tahoma" w:hAnsi="Tahoma" w:cs="Tahoma"/>
              </w:rPr>
            </w:pPr>
            <w:r w:rsidRPr="2848D7CF">
              <w:rPr>
                <w:rFonts w:ascii="Tahoma" w:hAnsi="Tahoma" w:cs="Tahoma"/>
              </w:rPr>
              <w:t>Oprogramowanie nie może wymagać instalacji dodatkowych komponentów w środowisku, takich jak bazy danych, serwery HTTP, czy serwery proxy, aby uprościć zarządzanie systemem oraz minimalizować ryzyko związane z bezpieczeństwem.</w:t>
            </w:r>
          </w:p>
          <w:p w14:paraId="2154A910" w14:textId="77777777" w:rsidR="000A0DB9" w:rsidRPr="00127629" w:rsidRDefault="000A0DB9" w:rsidP="2848D7CF">
            <w:pPr>
              <w:pStyle w:val="Akapitzlist"/>
              <w:numPr>
                <w:ilvl w:val="0"/>
                <w:numId w:val="28"/>
              </w:numPr>
              <w:spacing w:before="0" w:after="0" w:line="276" w:lineRule="auto"/>
              <w:ind w:left="363"/>
              <w:jc w:val="both"/>
              <w:rPr>
                <w:rFonts w:ascii="Tahoma" w:hAnsi="Tahoma" w:cs="Tahoma"/>
              </w:rPr>
            </w:pPr>
            <w:r w:rsidRPr="2848D7CF">
              <w:rPr>
                <w:rFonts w:ascii="Tahoma" w:hAnsi="Tahoma" w:cs="Tahoma"/>
              </w:rPr>
              <w:t xml:space="preserve">Zainstalowany agent musi łączyć się z centralną konsolą zarządzającą, która musi być dostępna zdalnie poprzez bezpieczne połączenie.  </w:t>
            </w:r>
          </w:p>
          <w:p w14:paraId="47E6967D" w14:textId="77777777" w:rsidR="000A0DB9" w:rsidRPr="00127629" w:rsidRDefault="000A0DB9" w:rsidP="2848D7CF">
            <w:pPr>
              <w:pStyle w:val="Akapitzlist"/>
              <w:numPr>
                <w:ilvl w:val="0"/>
                <w:numId w:val="28"/>
              </w:numPr>
              <w:spacing w:before="0" w:after="0" w:line="276" w:lineRule="auto"/>
              <w:ind w:left="363"/>
              <w:jc w:val="both"/>
              <w:rPr>
                <w:rFonts w:ascii="Tahoma" w:hAnsi="Tahoma" w:cs="Tahoma"/>
              </w:rPr>
            </w:pPr>
            <w:r w:rsidRPr="2848D7CF">
              <w:rPr>
                <w:rFonts w:ascii="Tahoma" w:hAnsi="Tahoma" w:cs="Tahoma"/>
              </w:rPr>
              <w:t>Rozwiązanie musi umożliwiać ręczną instalację agenta na stacjach końcowych, bez konieczności korzystania z zewnętrznych systemów dystrybucji oprogramowania. Instalacja musi być możliwa bezpośrednio na każdym urządzeniu końcowym, zapewniając pełną funkcjonalność rozwiązania.</w:t>
            </w:r>
          </w:p>
          <w:p w14:paraId="742824C8" w14:textId="77777777" w:rsidR="000A0DB9" w:rsidRPr="00127629" w:rsidRDefault="000A0DB9" w:rsidP="2848D7CF">
            <w:pPr>
              <w:pStyle w:val="Akapitzlist"/>
              <w:numPr>
                <w:ilvl w:val="0"/>
                <w:numId w:val="28"/>
              </w:numPr>
              <w:spacing w:before="0" w:after="0" w:line="276" w:lineRule="auto"/>
              <w:ind w:left="363"/>
              <w:jc w:val="both"/>
              <w:rPr>
                <w:rFonts w:ascii="Tahoma" w:hAnsi="Tahoma" w:cs="Tahoma"/>
              </w:rPr>
            </w:pPr>
            <w:r w:rsidRPr="2848D7CF">
              <w:rPr>
                <w:rFonts w:ascii="Tahoma" w:hAnsi="Tahoma" w:cs="Tahoma"/>
              </w:rPr>
              <w:t>Rozwiązanie musi umożliwiać ciągłe przesyłanie danych zebranych przez agenta zainstalowanego na stacjach końcowych w sposób bezpieczny, przy użyciu szyfrowanego protokołu, zapewniającego ochronę poufności informacji.</w:t>
            </w:r>
          </w:p>
          <w:p w14:paraId="4317F1A9" w14:textId="77777777" w:rsidR="000A0DB9" w:rsidRPr="00127629" w:rsidRDefault="000A0DB9" w:rsidP="2848D7CF">
            <w:pPr>
              <w:pStyle w:val="Akapitzlist"/>
              <w:numPr>
                <w:ilvl w:val="0"/>
                <w:numId w:val="28"/>
              </w:numPr>
              <w:spacing w:before="0" w:after="0" w:line="276" w:lineRule="auto"/>
              <w:ind w:left="363"/>
              <w:jc w:val="both"/>
              <w:rPr>
                <w:rFonts w:ascii="Tahoma" w:hAnsi="Tahoma" w:cs="Tahoma"/>
              </w:rPr>
            </w:pPr>
            <w:r w:rsidRPr="2848D7CF">
              <w:rPr>
                <w:rFonts w:ascii="Tahoma" w:hAnsi="Tahoma" w:cs="Tahoma"/>
              </w:rPr>
              <w:t>Przesłane dane muszą być analizowane w celu wykrywania niebezpiecznych zdarzeń. Zamawiający dopuszcza, aby dane były przetwarzane w centrum przetwarzania danych producenta.</w:t>
            </w:r>
          </w:p>
          <w:p w14:paraId="089EB48B" w14:textId="77777777" w:rsidR="000A0DB9" w:rsidRPr="00127629" w:rsidRDefault="000A0DB9" w:rsidP="2848D7CF">
            <w:pPr>
              <w:pStyle w:val="Akapitzlist"/>
              <w:numPr>
                <w:ilvl w:val="0"/>
                <w:numId w:val="28"/>
              </w:numPr>
              <w:spacing w:before="0" w:after="0" w:line="276" w:lineRule="auto"/>
              <w:ind w:left="363"/>
              <w:jc w:val="both"/>
              <w:rPr>
                <w:rFonts w:ascii="Tahoma" w:hAnsi="Tahoma" w:cs="Tahoma"/>
              </w:rPr>
            </w:pPr>
            <w:r w:rsidRPr="2848D7CF">
              <w:rPr>
                <w:rFonts w:ascii="Tahoma" w:hAnsi="Tahoma" w:cs="Tahoma"/>
              </w:rPr>
              <w:t>Agent zainstalowany na stacji końcowej musi:</w:t>
            </w:r>
          </w:p>
          <w:p w14:paraId="4B80EB4C" w14:textId="77777777" w:rsidR="000A0DB9" w:rsidRPr="00127629" w:rsidRDefault="000A0DB9" w:rsidP="2848D7CF">
            <w:pPr>
              <w:pStyle w:val="Akapitzlist"/>
              <w:numPr>
                <w:ilvl w:val="0"/>
                <w:numId w:val="27"/>
              </w:numPr>
              <w:spacing w:before="240" w:after="240" w:line="276" w:lineRule="auto"/>
              <w:rPr>
                <w:rFonts w:ascii="Tahoma" w:hAnsi="Tahoma" w:cs="Tahoma"/>
              </w:rPr>
            </w:pPr>
            <w:r w:rsidRPr="2848D7CF">
              <w:rPr>
                <w:rFonts w:ascii="Tahoma" w:hAnsi="Tahoma" w:cs="Tahoma"/>
              </w:rPr>
              <w:t>monitorować i rejestrować dostęp do plików na stacjach końcowych.</w:t>
            </w:r>
          </w:p>
          <w:p w14:paraId="2BCFA24B" w14:textId="77777777" w:rsidR="000A0DB9" w:rsidRPr="00127629" w:rsidRDefault="000A0DB9" w:rsidP="2848D7CF">
            <w:pPr>
              <w:pStyle w:val="Akapitzlist"/>
              <w:numPr>
                <w:ilvl w:val="0"/>
                <w:numId w:val="26"/>
              </w:numPr>
              <w:spacing w:before="240" w:after="240" w:line="276" w:lineRule="auto"/>
              <w:rPr>
                <w:rFonts w:ascii="Tahoma" w:hAnsi="Tahoma" w:cs="Tahoma"/>
              </w:rPr>
            </w:pPr>
            <w:r w:rsidRPr="2848D7CF">
              <w:rPr>
                <w:rFonts w:ascii="Tahoma" w:hAnsi="Tahoma" w:cs="Tahoma"/>
              </w:rPr>
              <w:t>rejestrować tworzenie nowych procesów systemowych.</w:t>
            </w:r>
          </w:p>
          <w:p w14:paraId="5791EF5C" w14:textId="77777777" w:rsidR="000A0DB9" w:rsidRPr="00127629" w:rsidRDefault="000A0DB9" w:rsidP="2848D7CF">
            <w:pPr>
              <w:pStyle w:val="Akapitzlist"/>
              <w:numPr>
                <w:ilvl w:val="0"/>
                <w:numId w:val="25"/>
              </w:numPr>
              <w:spacing w:before="240" w:after="240" w:line="276" w:lineRule="auto"/>
              <w:rPr>
                <w:rFonts w:ascii="Tahoma" w:hAnsi="Tahoma" w:cs="Tahoma"/>
              </w:rPr>
            </w:pPr>
            <w:r w:rsidRPr="2848D7CF">
              <w:rPr>
                <w:rFonts w:ascii="Tahoma" w:hAnsi="Tahoma" w:cs="Tahoma"/>
              </w:rPr>
              <w:t>monitorować nawiązane połączenia sieciowe.</w:t>
            </w:r>
          </w:p>
          <w:p w14:paraId="14988DA4" w14:textId="77777777" w:rsidR="000A0DB9" w:rsidRPr="00127629" w:rsidRDefault="000A0DB9" w:rsidP="2848D7CF">
            <w:pPr>
              <w:pStyle w:val="Akapitzlist"/>
              <w:numPr>
                <w:ilvl w:val="0"/>
                <w:numId w:val="24"/>
              </w:numPr>
              <w:spacing w:before="240" w:after="240" w:line="276" w:lineRule="auto"/>
              <w:rPr>
                <w:rFonts w:ascii="Tahoma" w:hAnsi="Tahoma" w:cs="Tahoma"/>
              </w:rPr>
            </w:pPr>
            <w:r w:rsidRPr="2848D7CF">
              <w:rPr>
                <w:rFonts w:ascii="Tahoma" w:hAnsi="Tahoma" w:cs="Tahoma"/>
              </w:rPr>
              <w:lastRenderedPageBreak/>
              <w:t>zbierać wpisy dziennika systemowego, które są niezbędne do wykrywania potencjalnych naruszeń bezpieczeństwa.</w:t>
            </w:r>
          </w:p>
          <w:p w14:paraId="3B7E91AA" w14:textId="77777777" w:rsidR="000A0DB9" w:rsidRDefault="000A0DB9" w:rsidP="2848D7CF">
            <w:pPr>
              <w:pStyle w:val="Akapitzlist"/>
              <w:numPr>
                <w:ilvl w:val="0"/>
                <w:numId w:val="23"/>
              </w:numPr>
              <w:spacing w:before="0" w:after="0" w:line="276" w:lineRule="auto"/>
              <w:rPr>
                <w:rFonts w:ascii="Tahoma" w:hAnsi="Tahoma" w:cs="Tahoma"/>
              </w:rPr>
            </w:pPr>
            <w:r w:rsidRPr="2848D7CF">
              <w:rPr>
                <w:rFonts w:ascii="Tahoma" w:hAnsi="Tahoma" w:cs="Tahoma"/>
              </w:rPr>
              <w:t>monitorować zawartość skryptów uruchamianych na monitorowanej stacji.</w:t>
            </w:r>
          </w:p>
          <w:p w14:paraId="01A6EC5F" w14:textId="77777777" w:rsidR="000A0DB9" w:rsidRPr="00127629" w:rsidRDefault="000A0DB9" w:rsidP="2848D7CF">
            <w:pPr>
              <w:pStyle w:val="Akapitzlist"/>
              <w:spacing w:before="0" w:after="0" w:line="276" w:lineRule="auto"/>
              <w:ind w:left="1080"/>
              <w:rPr>
                <w:rFonts w:ascii="Tahoma" w:hAnsi="Tahoma" w:cs="Tahoma"/>
              </w:rPr>
            </w:pPr>
          </w:p>
          <w:p w14:paraId="7BC6A22B" w14:textId="77777777" w:rsidR="000A0DB9" w:rsidRPr="00127629" w:rsidRDefault="000A0DB9" w:rsidP="2848D7CF">
            <w:pPr>
              <w:pStyle w:val="Akapitzlist"/>
              <w:numPr>
                <w:ilvl w:val="0"/>
                <w:numId w:val="28"/>
              </w:numPr>
              <w:spacing w:before="240" w:after="240" w:line="276" w:lineRule="auto"/>
              <w:ind w:left="363"/>
              <w:jc w:val="both"/>
              <w:rPr>
                <w:rFonts w:ascii="Tahoma" w:hAnsi="Tahoma" w:cs="Tahoma"/>
              </w:rPr>
            </w:pPr>
            <w:r w:rsidRPr="2848D7CF">
              <w:rPr>
                <w:rFonts w:ascii="Tahoma" w:hAnsi="Tahoma" w:cs="Tahoma"/>
              </w:rPr>
              <w:t>Agent musi zbierać dane z monitorowanych stacji końcowych i przesyłać je do centrum przetwarzania danych, gdzie przeprowadzana będzie analiza i wykrywanie potencjalnych zagrożeń.</w:t>
            </w:r>
          </w:p>
          <w:p w14:paraId="0E484B87" w14:textId="77777777" w:rsidR="000A0DB9" w:rsidRPr="00127629" w:rsidRDefault="000A0DB9" w:rsidP="2848D7CF">
            <w:pPr>
              <w:pStyle w:val="Akapitzlist"/>
              <w:numPr>
                <w:ilvl w:val="0"/>
                <w:numId w:val="28"/>
              </w:numPr>
              <w:spacing w:before="240" w:after="240" w:line="276" w:lineRule="auto"/>
              <w:ind w:left="363"/>
              <w:jc w:val="both"/>
              <w:rPr>
                <w:rFonts w:ascii="Tahoma" w:hAnsi="Tahoma" w:cs="Tahoma"/>
              </w:rPr>
            </w:pPr>
            <w:r w:rsidRPr="2848D7CF">
              <w:rPr>
                <w:rFonts w:ascii="Tahoma" w:hAnsi="Tahoma" w:cs="Tahoma"/>
              </w:rPr>
              <w:t xml:space="preserve">Zamawiający dopuszcza możliwość, aby wykrywanie podejrzanych zdarzeń odbywało się w centrum przetwarzania danych producenta. </w:t>
            </w:r>
          </w:p>
          <w:p w14:paraId="06863B76" w14:textId="77777777" w:rsidR="000A0DB9" w:rsidRPr="00127629" w:rsidRDefault="000A0DB9" w:rsidP="2848D7CF">
            <w:pPr>
              <w:pStyle w:val="Akapitzlist"/>
              <w:numPr>
                <w:ilvl w:val="0"/>
                <w:numId w:val="28"/>
              </w:numPr>
              <w:spacing w:before="240" w:after="240" w:line="276" w:lineRule="auto"/>
              <w:ind w:left="363"/>
              <w:jc w:val="both"/>
              <w:rPr>
                <w:rFonts w:ascii="Tahoma" w:hAnsi="Tahoma" w:cs="Tahoma"/>
              </w:rPr>
            </w:pPr>
            <w:r w:rsidRPr="2848D7CF">
              <w:rPr>
                <w:rFonts w:ascii="Tahoma" w:hAnsi="Tahoma" w:cs="Tahoma"/>
              </w:rPr>
              <w:t xml:space="preserve">Rozwiązanie musi zapewniać bezpieczną komunikację między agentami instalowanymi na stacjach roboczych a centrum przetwarzania danych. </w:t>
            </w:r>
          </w:p>
          <w:p w14:paraId="66A3C0EE" w14:textId="77777777" w:rsidR="000A0DB9" w:rsidRPr="00127629" w:rsidRDefault="000A0DB9" w:rsidP="2848D7CF">
            <w:pPr>
              <w:pStyle w:val="Akapitzlist"/>
              <w:spacing w:before="240" w:after="240" w:line="276" w:lineRule="auto"/>
              <w:ind w:left="79"/>
              <w:jc w:val="both"/>
              <w:rPr>
                <w:rFonts w:ascii="Tahoma" w:hAnsi="Tahoma" w:cs="Tahoma"/>
              </w:rPr>
            </w:pPr>
            <w:r w:rsidRPr="2848D7CF">
              <w:rPr>
                <w:rFonts w:ascii="Tahoma" w:hAnsi="Tahoma" w:cs="Tahoma"/>
              </w:rPr>
              <w:t>Agent musi komunikować się z centrum przetwarzania danych z wykorzystaniem protokołów zapewniających bezpieczne przesyłanie informacji.</w:t>
            </w:r>
          </w:p>
          <w:p w14:paraId="332D6AF7" w14:textId="77777777" w:rsidR="000A0DB9" w:rsidRPr="00E16791" w:rsidRDefault="000A0DB9" w:rsidP="2848D7CF">
            <w:pPr>
              <w:pStyle w:val="Akapitzlist"/>
              <w:numPr>
                <w:ilvl w:val="0"/>
                <w:numId w:val="28"/>
              </w:numPr>
              <w:spacing w:before="240" w:after="240" w:line="276" w:lineRule="auto"/>
              <w:ind w:left="221"/>
              <w:jc w:val="both"/>
              <w:rPr>
                <w:rFonts w:ascii="Tahoma" w:hAnsi="Tahoma" w:cs="Tahoma"/>
              </w:rPr>
            </w:pPr>
            <w:r w:rsidRPr="2848D7CF">
              <w:rPr>
                <w:rFonts w:ascii="Tahoma" w:hAnsi="Tahoma" w:cs="Tahoma"/>
              </w:rPr>
              <w:t>W przypadku rozwiązania chmurowego wykonawca musi zapewnić możliwość przechowywania danych telemetrycznych w centrach danych zlokalizowanych w Europejskim Obszarze Gospodarczym lub zapewnić zgodność z RODO poprzez mechanizmy transferu danych.</w:t>
            </w:r>
          </w:p>
        </w:tc>
      </w:tr>
      <w:tr w:rsidR="000A0DB9" w:rsidRPr="00127629" w14:paraId="522801E7" w14:textId="77777777" w:rsidTr="27CD0593">
        <w:trPr>
          <w:trHeight w:val="300"/>
        </w:trPr>
        <w:tc>
          <w:tcPr>
            <w:tcW w:w="720" w:type="dxa"/>
            <w:vAlign w:val="center"/>
          </w:tcPr>
          <w:p w14:paraId="2C2C75EA" w14:textId="07E18D1E" w:rsidR="000A0DB9" w:rsidRPr="00127629" w:rsidRDefault="6166EFEB" w:rsidP="2848D7CF">
            <w:pPr>
              <w:jc w:val="center"/>
            </w:pPr>
            <w:r w:rsidRPr="2848D7CF">
              <w:rPr>
                <w:rFonts w:ascii="Tahoma" w:eastAsia="Aptos" w:hAnsi="Tahoma" w:cs="Tahoma"/>
                <w:b/>
                <w:bCs/>
              </w:rPr>
              <w:lastRenderedPageBreak/>
              <w:t>5</w:t>
            </w:r>
          </w:p>
        </w:tc>
        <w:tc>
          <w:tcPr>
            <w:tcW w:w="2745" w:type="dxa"/>
            <w:vAlign w:val="center"/>
          </w:tcPr>
          <w:p w14:paraId="40B461CF" w14:textId="77777777" w:rsidR="000A0DB9" w:rsidRPr="00127629" w:rsidRDefault="000A0DB9" w:rsidP="00621BB1">
            <w:pPr>
              <w:rPr>
                <w:rFonts w:ascii="Tahoma" w:eastAsia="Aptos" w:hAnsi="Tahoma" w:cs="Tahoma"/>
                <w:b/>
                <w:bCs/>
              </w:rPr>
            </w:pPr>
            <w:r w:rsidRPr="00127629">
              <w:rPr>
                <w:rFonts w:ascii="Tahoma" w:eastAsia="Aptos" w:hAnsi="Tahoma" w:cs="Tahoma"/>
                <w:b/>
                <w:bCs/>
              </w:rPr>
              <w:t>Wspierane systemy operacyjne</w:t>
            </w:r>
          </w:p>
        </w:tc>
        <w:tc>
          <w:tcPr>
            <w:tcW w:w="5550" w:type="dxa"/>
          </w:tcPr>
          <w:p w14:paraId="631906D5" w14:textId="77777777" w:rsidR="000A0DB9" w:rsidRPr="00127629" w:rsidRDefault="000A0DB9" w:rsidP="2848D7CF">
            <w:pPr>
              <w:spacing w:line="276" w:lineRule="auto"/>
              <w:jc w:val="both"/>
              <w:rPr>
                <w:rFonts w:ascii="Tahoma" w:eastAsia="Aptos" w:hAnsi="Tahoma" w:cs="Tahoma"/>
              </w:rPr>
            </w:pPr>
            <w:r w:rsidRPr="2848D7CF">
              <w:rPr>
                <w:rFonts w:ascii="Tahoma" w:eastAsia="Aptos" w:hAnsi="Tahoma" w:cs="Tahoma"/>
              </w:rPr>
              <w:t xml:space="preserve">Wymagane jest wsparcie dla systemów Windows 10 i Windows 11 w wersjach wspieranych przez producenta systemu operacyjnego. Zamawiający nie wymaga obsługi wersji niewspieranych, </w:t>
            </w:r>
            <w:r w:rsidRPr="2848D7CF">
              <w:rPr>
                <w:rFonts w:ascii="Tahoma" w:eastAsia="Aptos" w:hAnsi="Tahoma" w:cs="Tahoma"/>
              </w:rPr>
              <w:lastRenderedPageBreak/>
              <w:t>wycofanych lub takich, dla których zakończono wsparcie producenta.</w:t>
            </w:r>
          </w:p>
        </w:tc>
      </w:tr>
      <w:tr w:rsidR="000A0DB9" w:rsidRPr="00127629" w14:paraId="75D160AA" w14:textId="77777777" w:rsidTr="27CD0593">
        <w:trPr>
          <w:trHeight w:val="300"/>
        </w:trPr>
        <w:tc>
          <w:tcPr>
            <w:tcW w:w="720" w:type="dxa"/>
            <w:vAlign w:val="center"/>
          </w:tcPr>
          <w:p w14:paraId="63DDE3AA" w14:textId="6A16805F" w:rsidR="000A0DB9" w:rsidRPr="00127629" w:rsidRDefault="68CB8A8C" w:rsidP="2848D7CF">
            <w:pPr>
              <w:jc w:val="center"/>
            </w:pPr>
            <w:r w:rsidRPr="2848D7CF">
              <w:rPr>
                <w:rFonts w:ascii="Tahoma" w:eastAsia="Aptos" w:hAnsi="Tahoma" w:cs="Tahoma"/>
                <w:b/>
                <w:bCs/>
              </w:rPr>
              <w:lastRenderedPageBreak/>
              <w:t>6</w:t>
            </w:r>
          </w:p>
        </w:tc>
        <w:tc>
          <w:tcPr>
            <w:tcW w:w="2745" w:type="dxa"/>
            <w:vAlign w:val="center"/>
          </w:tcPr>
          <w:p w14:paraId="5273EE69" w14:textId="77777777" w:rsidR="000A0DB9" w:rsidRPr="00127629" w:rsidRDefault="000A0DB9" w:rsidP="00621BB1">
            <w:pPr>
              <w:rPr>
                <w:rFonts w:ascii="Tahoma" w:eastAsia="Aptos" w:hAnsi="Tahoma" w:cs="Tahoma"/>
                <w:b/>
                <w:bCs/>
              </w:rPr>
            </w:pPr>
            <w:r w:rsidRPr="00127629">
              <w:rPr>
                <w:rFonts w:ascii="Tahoma" w:eastAsia="Aptos" w:hAnsi="Tahoma" w:cs="Tahoma"/>
                <w:b/>
                <w:bCs/>
              </w:rPr>
              <w:t>Konsola zarządzająca</w:t>
            </w:r>
          </w:p>
        </w:tc>
        <w:tc>
          <w:tcPr>
            <w:tcW w:w="5550" w:type="dxa"/>
          </w:tcPr>
          <w:p w14:paraId="448E2370" w14:textId="77777777" w:rsidR="000A0DB9" w:rsidRPr="00127629" w:rsidRDefault="000A0DB9" w:rsidP="2848D7CF">
            <w:pPr>
              <w:pStyle w:val="Akapitzlist"/>
              <w:spacing w:line="276" w:lineRule="auto"/>
              <w:ind w:left="0"/>
              <w:jc w:val="both"/>
              <w:rPr>
                <w:rFonts w:ascii="Tahoma" w:hAnsi="Tahoma" w:cs="Tahoma"/>
              </w:rPr>
            </w:pPr>
            <w:r w:rsidRPr="2848D7CF">
              <w:rPr>
                <w:rFonts w:ascii="Tahoma" w:hAnsi="Tahoma" w:cs="Tahoma"/>
              </w:rPr>
              <w:t>Rozwiązanie musi:</w:t>
            </w:r>
          </w:p>
          <w:p w14:paraId="1BF24BBE" w14:textId="77777777" w:rsidR="000A0DB9" w:rsidRPr="00127629" w:rsidRDefault="000A0DB9" w:rsidP="2848D7CF">
            <w:pPr>
              <w:pStyle w:val="Akapitzlist"/>
              <w:numPr>
                <w:ilvl w:val="0"/>
                <w:numId w:val="21"/>
              </w:numPr>
              <w:spacing w:before="0" w:after="0" w:line="276" w:lineRule="auto"/>
              <w:ind w:left="363"/>
              <w:jc w:val="both"/>
              <w:rPr>
                <w:rFonts w:ascii="Tahoma" w:hAnsi="Tahoma" w:cs="Tahoma"/>
              </w:rPr>
            </w:pPr>
            <w:r w:rsidRPr="2848D7CF">
              <w:rPr>
                <w:rFonts w:ascii="Tahoma" w:hAnsi="Tahoma" w:cs="Tahoma"/>
              </w:rPr>
              <w:t>Posiadać konsolę zarządzającą kompatybilną z przeglądarkami:  Microsoft Edge, Mozilla Firefox, Google Chrome.</w:t>
            </w:r>
          </w:p>
          <w:p w14:paraId="39507983" w14:textId="77777777" w:rsidR="000A0DB9" w:rsidRPr="00127629" w:rsidRDefault="000A0DB9" w:rsidP="2848D7CF">
            <w:pPr>
              <w:pStyle w:val="Akapitzlist"/>
              <w:numPr>
                <w:ilvl w:val="0"/>
                <w:numId w:val="21"/>
              </w:numPr>
              <w:spacing w:before="0" w:after="0" w:line="276" w:lineRule="auto"/>
              <w:ind w:left="363"/>
              <w:jc w:val="both"/>
              <w:rPr>
                <w:rFonts w:ascii="Tahoma" w:hAnsi="Tahoma" w:cs="Tahoma"/>
              </w:rPr>
            </w:pPr>
            <w:r w:rsidRPr="2848D7CF">
              <w:rPr>
                <w:rFonts w:ascii="Tahoma" w:hAnsi="Tahoma" w:cs="Tahoma"/>
              </w:rPr>
              <w:t>Być wyposażone w panel kontrolny (dashboard), który umożliwia administratorowi weryfikację stanu bezpieczeństwa. Dashboard musi umożliwiać monitorowanie bieżącego stanu zabezpieczeń.</w:t>
            </w:r>
          </w:p>
          <w:p w14:paraId="5F5266FC" w14:textId="77777777" w:rsidR="000A0DB9" w:rsidRDefault="000A0DB9" w:rsidP="2848D7CF">
            <w:pPr>
              <w:pStyle w:val="Akapitzlist"/>
              <w:numPr>
                <w:ilvl w:val="0"/>
                <w:numId w:val="21"/>
              </w:numPr>
              <w:spacing w:before="0" w:after="0" w:line="276" w:lineRule="auto"/>
              <w:ind w:left="363"/>
              <w:jc w:val="both"/>
              <w:rPr>
                <w:rFonts w:ascii="Tahoma" w:hAnsi="Tahoma" w:cs="Tahoma"/>
              </w:rPr>
            </w:pPr>
            <w:r w:rsidRPr="2848D7CF">
              <w:rPr>
                <w:rFonts w:ascii="Tahoma" w:hAnsi="Tahoma" w:cs="Tahoma"/>
              </w:rPr>
              <w:t xml:space="preserve">Zawierać dedykowaną zakładkę wyświetlającą listę urządzeń, na których zainstalowany jest agent. </w:t>
            </w:r>
          </w:p>
          <w:p w14:paraId="7745CDED" w14:textId="77777777" w:rsidR="000A0DB9" w:rsidRPr="00127629" w:rsidRDefault="000A0DB9" w:rsidP="2848D7CF">
            <w:pPr>
              <w:pStyle w:val="Akapitzlist"/>
              <w:spacing w:before="0" w:after="0" w:line="276" w:lineRule="auto"/>
              <w:ind w:left="363"/>
              <w:jc w:val="both"/>
              <w:rPr>
                <w:rFonts w:ascii="Tahoma" w:hAnsi="Tahoma" w:cs="Tahoma"/>
              </w:rPr>
            </w:pPr>
          </w:p>
          <w:p w14:paraId="4BF9EB04" w14:textId="77777777" w:rsidR="000A0DB9" w:rsidRPr="00127629" w:rsidRDefault="000A0DB9" w:rsidP="2848D7CF">
            <w:pPr>
              <w:pStyle w:val="Akapitzlist"/>
              <w:numPr>
                <w:ilvl w:val="0"/>
                <w:numId w:val="21"/>
              </w:numPr>
              <w:spacing w:before="0" w:after="0" w:line="276" w:lineRule="auto"/>
              <w:ind w:left="363"/>
              <w:jc w:val="both"/>
              <w:rPr>
                <w:rFonts w:ascii="Tahoma" w:hAnsi="Tahoma" w:cs="Tahoma"/>
              </w:rPr>
            </w:pPr>
            <w:r w:rsidRPr="2848D7CF">
              <w:rPr>
                <w:rFonts w:ascii="Tahoma" w:hAnsi="Tahoma" w:cs="Tahoma"/>
              </w:rPr>
              <w:t xml:space="preserve">Nie wymagać instalacji dodatkowych elementów takich jak: baza danych, serwer HTTP, serwery proxy w środowisku, poza instalacją agenta na wspieranych końcówkach, które łączą się z centralną konsolą zarządzającą. </w:t>
            </w:r>
          </w:p>
          <w:p w14:paraId="4DB9E446" w14:textId="77777777" w:rsidR="000A0DB9" w:rsidRPr="00127629" w:rsidRDefault="000A0DB9" w:rsidP="2848D7CF">
            <w:pPr>
              <w:pStyle w:val="Akapitzlist"/>
              <w:numPr>
                <w:ilvl w:val="0"/>
                <w:numId w:val="21"/>
              </w:numPr>
              <w:spacing w:before="240" w:after="240" w:line="276" w:lineRule="auto"/>
              <w:ind w:left="363"/>
              <w:jc w:val="both"/>
              <w:rPr>
                <w:rFonts w:ascii="Tahoma" w:hAnsi="Tahoma" w:cs="Tahoma"/>
              </w:rPr>
            </w:pPr>
            <w:r w:rsidRPr="2848D7CF">
              <w:rPr>
                <w:rFonts w:ascii="Tahoma" w:hAnsi="Tahoma" w:cs="Tahoma"/>
              </w:rPr>
              <w:t>Posiadać interfejs zarządzania, który wyświetla monity o zbliżającym się zakończeniu licencji oraz powiadomienia o zakończeniu licencji. Funkcja ta musi zapewniać, że administratorzy są informowani o konieczności odnowienia licencji, co minimalizuje ryzyko przerw w działaniu ochrony systemu.</w:t>
            </w:r>
          </w:p>
          <w:p w14:paraId="6F7739E1" w14:textId="77777777" w:rsidR="000A0DB9" w:rsidRPr="00127629" w:rsidRDefault="000A0DB9" w:rsidP="2848D7CF">
            <w:pPr>
              <w:pStyle w:val="Akapitzlist"/>
              <w:numPr>
                <w:ilvl w:val="0"/>
                <w:numId w:val="21"/>
              </w:numPr>
              <w:spacing w:before="240" w:after="240" w:line="276" w:lineRule="auto"/>
              <w:ind w:left="363"/>
              <w:jc w:val="both"/>
              <w:rPr>
                <w:rFonts w:ascii="Tahoma" w:hAnsi="Tahoma" w:cs="Tahoma"/>
              </w:rPr>
            </w:pPr>
            <w:r w:rsidRPr="2848D7CF">
              <w:rPr>
                <w:rFonts w:ascii="Tahoma" w:hAnsi="Tahoma" w:cs="Tahoma"/>
              </w:rPr>
              <w:t>Być wyposażone w panel kontrolny, który zawiera podsumowanie stanu bezpieczeństwa organizacji. Graficzne przedstawienie informacji o stanie bezpieczeństwa ma ułatwiać monitorowanie i analizę ryzyk.</w:t>
            </w:r>
          </w:p>
          <w:p w14:paraId="4BF44E85" w14:textId="77777777" w:rsidR="000A0DB9" w:rsidRPr="00127629" w:rsidRDefault="000A0DB9" w:rsidP="2848D7CF">
            <w:pPr>
              <w:pStyle w:val="Akapitzlist"/>
              <w:numPr>
                <w:ilvl w:val="0"/>
                <w:numId w:val="21"/>
              </w:numPr>
              <w:spacing w:before="240" w:after="240" w:line="276" w:lineRule="auto"/>
              <w:ind w:left="363"/>
              <w:jc w:val="both"/>
              <w:rPr>
                <w:rFonts w:ascii="Tahoma" w:hAnsi="Tahoma" w:cs="Tahoma"/>
              </w:rPr>
            </w:pPr>
            <w:r w:rsidRPr="2848D7CF">
              <w:rPr>
                <w:rFonts w:ascii="Tahoma" w:hAnsi="Tahoma" w:cs="Tahoma"/>
              </w:rPr>
              <w:t xml:space="preserve">Posiadać dedykowaną zakładkę zawierającą informacje o wszystkich hostach posiadających zainstalowane oprogramowanie ochronne, w tym: nazwę hosta, status ochrony oraz </w:t>
            </w:r>
            <w:r w:rsidRPr="2848D7CF">
              <w:rPr>
                <w:rFonts w:ascii="Tahoma" w:hAnsi="Tahoma" w:cs="Tahoma"/>
              </w:rPr>
              <w:lastRenderedPageBreak/>
              <w:t>przypisany profil bezpieczeństwa. Funkcja ta musi umożliwiać administratorowi pełny przegląd zarządzanych urządzeń i ich stanu ochrony, co ułatwia centralne zarządzanie bezpieczeństwem.</w:t>
            </w:r>
          </w:p>
          <w:p w14:paraId="76751FCD" w14:textId="77777777" w:rsidR="000A0DB9" w:rsidRPr="002C7768" w:rsidRDefault="000A0DB9" w:rsidP="2848D7CF">
            <w:pPr>
              <w:pStyle w:val="Akapitzlist"/>
              <w:numPr>
                <w:ilvl w:val="0"/>
                <w:numId w:val="21"/>
              </w:numPr>
              <w:spacing w:before="240" w:after="240" w:line="276" w:lineRule="auto"/>
              <w:ind w:left="363"/>
              <w:jc w:val="both"/>
              <w:rPr>
                <w:rFonts w:ascii="Tahoma" w:hAnsi="Tahoma" w:cs="Tahoma"/>
              </w:rPr>
            </w:pPr>
            <w:r w:rsidRPr="2848D7CF">
              <w:rPr>
                <w:rFonts w:ascii="Tahoma" w:hAnsi="Tahoma" w:cs="Tahoma"/>
              </w:rPr>
              <w:t>Zapewniać administratorowi możliwość wglądu w szczegóły zgłaszającego się hosta, w tym informacje dotyczące co najmniej: ostatniego podłączenia do konsoli zarządzającej, systemu operacyjnego, stanu ochrony, akcji związanych z wykrytymi zagrożeniami i przeprowadzonymi skanowaniami. Pełen dostęp do szczegółów każdego hosta musi umożliwiać skuteczne monitorowanie stanu ochrony oraz podjęcie odpowiednich działań w przypadku wykrycia zagrożeń.</w:t>
            </w:r>
          </w:p>
          <w:p w14:paraId="0651F35D" w14:textId="6A8FFB47" w:rsidR="000A0DB9" w:rsidRPr="00127629" w:rsidRDefault="000A0DB9" w:rsidP="2848D7CF">
            <w:pPr>
              <w:pStyle w:val="Akapitzlist"/>
              <w:numPr>
                <w:ilvl w:val="0"/>
                <w:numId w:val="21"/>
              </w:numPr>
              <w:spacing w:before="240" w:after="240" w:line="276" w:lineRule="auto"/>
              <w:ind w:left="363"/>
              <w:jc w:val="both"/>
              <w:rPr>
                <w:rFonts w:ascii="Tahoma" w:hAnsi="Tahoma" w:cs="Tahoma"/>
              </w:rPr>
            </w:pPr>
            <w:r w:rsidRPr="2848D7CF">
              <w:rPr>
                <w:rFonts w:ascii="Tahoma" w:hAnsi="Tahoma" w:cs="Tahoma"/>
              </w:rPr>
              <w:t xml:space="preserve"> Umożliwiać administratorowi, z poziomu szczegółów klienta, uruchomienie skanowania antywirusowego, instalację aktualizacji dla aplikacji i systemu operacyjnego, przypisanie profilu, usunięcie urządzenia,</w:t>
            </w:r>
            <w:r w:rsidRPr="2848D7CF">
              <w:rPr>
                <w:rFonts w:ascii="Tahoma" w:eastAsia="Tahoma" w:hAnsi="Tahoma" w:cs="Tahoma"/>
              </w:rPr>
              <w:t xml:space="preserve"> </w:t>
            </w:r>
            <w:r w:rsidR="1F68C673" w:rsidRPr="2848D7CF">
              <w:rPr>
                <w:rFonts w:ascii="Tahoma" w:eastAsia="Tahoma" w:hAnsi="Tahoma" w:cs="Tahoma"/>
              </w:rPr>
              <w:t xml:space="preserve">zmianę lub przypisanie klucza/licencji, </w:t>
            </w:r>
            <w:r w:rsidRPr="2848D7CF">
              <w:rPr>
                <w:rFonts w:ascii="Tahoma" w:hAnsi="Tahoma" w:cs="Tahoma"/>
              </w:rPr>
              <w:t xml:space="preserve">odizolowanie hosta od sieci oraz pobranie pliku diagnostycznego. Ta funkcja musi zapewniać elastyczne zarządzanie bezpieczeństwem hostów i umożliwiać podejmowanie szybkich działań naprawczych.  </w:t>
            </w:r>
          </w:p>
          <w:p w14:paraId="10F1DBE1" w14:textId="77777777" w:rsidR="000A0DB9" w:rsidRPr="00127629" w:rsidRDefault="000A0DB9" w:rsidP="2848D7CF">
            <w:pPr>
              <w:pStyle w:val="Akapitzlist"/>
              <w:numPr>
                <w:ilvl w:val="0"/>
                <w:numId w:val="21"/>
              </w:numPr>
              <w:spacing w:before="240" w:after="240" w:line="276" w:lineRule="auto"/>
              <w:ind w:left="363"/>
              <w:jc w:val="both"/>
              <w:rPr>
                <w:rFonts w:ascii="Tahoma" w:hAnsi="Tahoma" w:cs="Tahoma"/>
              </w:rPr>
            </w:pPr>
            <w:r w:rsidRPr="2848D7CF">
              <w:rPr>
                <w:rFonts w:ascii="Tahoma" w:hAnsi="Tahoma" w:cs="Tahoma"/>
              </w:rPr>
              <w:t>Posiadać dedykowaną zakładkę zawierającą informacje o brakujących aktualizacjach dla zainstalowanych aplikacji oraz systemu operacyjnego. Funkcja ta musi umożliwiać administratorowi centralne monitorowanie stanu aktualizacji i identyfikowanie potencjalnych zagrożeń wynikających z braku poprawek.</w:t>
            </w:r>
          </w:p>
          <w:p w14:paraId="298CF6D8" w14:textId="77777777" w:rsidR="000A0DB9" w:rsidRPr="00127629" w:rsidRDefault="000A0DB9" w:rsidP="2848D7CF">
            <w:pPr>
              <w:pStyle w:val="Akapitzlist"/>
              <w:numPr>
                <w:ilvl w:val="0"/>
                <w:numId w:val="21"/>
              </w:numPr>
              <w:spacing w:before="240" w:after="240" w:line="276" w:lineRule="auto"/>
              <w:ind w:left="363"/>
              <w:jc w:val="both"/>
              <w:rPr>
                <w:rFonts w:ascii="Tahoma" w:hAnsi="Tahoma" w:cs="Tahoma"/>
              </w:rPr>
            </w:pPr>
            <w:r w:rsidRPr="2848D7CF">
              <w:rPr>
                <w:rFonts w:ascii="Tahoma" w:hAnsi="Tahoma" w:cs="Tahoma"/>
              </w:rPr>
              <w:t xml:space="preserve"> Zawierać informacje o liczbie i typie hostów, na których wykryto brak danej poprawki dla aplikacji lub systemu operacyjnego. Szczegółowe dane o hostach wymagających </w:t>
            </w:r>
            <w:r w:rsidRPr="2848D7CF">
              <w:rPr>
                <w:rFonts w:ascii="Tahoma" w:hAnsi="Tahoma" w:cs="Tahoma"/>
              </w:rPr>
              <w:lastRenderedPageBreak/>
              <w:t>aktualizacji mają umożliwiać precyzyjne zarządzanie procesem aktualizacji w organizacji.</w:t>
            </w:r>
          </w:p>
          <w:p w14:paraId="1FE68779" w14:textId="75E5CCE9" w:rsidR="000A0DB9" w:rsidRPr="00127629" w:rsidRDefault="000A0DB9" w:rsidP="2848D7CF">
            <w:pPr>
              <w:pStyle w:val="Akapitzlist"/>
              <w:numPr>
                <w:ilvl w:val="0"/>
                <w:numId w:val="21"/>
              </w:numPr>
              <w:spacing w:before="240" w:after="240" w:line="276" w:lineRule="auto"/>
              <w:ind w:left="363"/>
              <w:jc w:val="both"/>
              <w:rPr>
                <w:rFonts w:ascii="Tahoma" w:hAnsi="Tahoma" w:cs="Tahoma"/>
              </w:rPr>
            </w:pPr>
            <w:r w:rsidRPr="2848D7CF">
              <w:rPr>
                <w:rFonts w:ascii="Tahoma" w:hAnsi="Tahoma" w:cs="Tahoma"/>
              </w:rPr>
              <w:t xml:space="preserve"> Umożliwiać administratorowi instalację brakujących poprawek na wskazanych </w:t>
            </w:r>
            <w:r w:rsidR="2D18CBA8" w:rsidRPr="2848D7CF">
              <w:rPr>
                <w:rFonts w:ascii="Tahoma" w:hAnsi="Tahoma" w:cs="Tahoma"/>
              </w:rPr>
              <w:t>stacjach roboczych</w:t>
            </w:r>
            <w:r w:rsidRPr="2848D7CF">
              <w:rPr>
                <w:rFonts w:ascii="Tahoma" w:hAnsi="Tahoma" w:cs="Tahoma"/>
              </w:rPr>
              <w:t>, na których poprawka jest wymagana. Ta funkcja musi zapewniać elastyczne zarządzanie aktualizacjami i umożliwiać administratorowi szybkie wdrażanie poprawek na wybranych hostach.</w:t>
            </w:r>
          </w:p>
          <w:p w14:paraId="69E7FFFA" w14:textId="77777777" w:rsidR="000A0DB9" w:rsidRDefault="000A0DB9" w:rsidP="2848D7CF">
            <w:pPr>
              <w:pStyle w:val="Akapitzlist"/>
              <w:numPr>
                <w:ilvl w:val="0"/>
                <w:numId w:val="21"/>
              </w:numPr>
              <w:spacing w:before="240" w:after="240" w:line="276" w:lineRule="auto"/>
              <w:ind w:left="363"/>
              <w:jc w:val="both"/>
              <w:rPr>
                <w:rFonts w:ascii="Tahoma" w:hAnsi="Tahoma" w:cs="Tahoma"/>
              </w:rPr>
            </w:pPr>
            <w:r w:rsidRPr="2848D7CF">
              <w:rPr>
                <w:rFonts w:ascii="Tahoma" w:hAnsi="Tahoma" w:cs="Tahoma"/>
              </w:rPr>
              <w:t>Umożliwiać tworzenie raportów zgodnie z harmonogramem.</w:t>
            </w:r>
          </w:p>
          <w:p w14:paraId="0453FD8E" w14:textId="77777777" w:rsidR="000A0DB9" w:rsidRPr="00A54611" w:rsidRDefault="000A0DB9" w:rsidP="2848D7CF">
            <w:pPr>
              <w:pStyle w:val="Akapitzlist"/>
              <w:numPr>
                <w:ilvl w:val="0"/>
                <w:numId w:val="21"/>
              </w:numPr>
              <w:spacing w:before="240" w:after="240" w:line="276" w:lineRule="auto"/>
              <w:ind w:left="363"/>
              <w:jc w:val="both"/>
              <w:rPr>
                <w:rFonts w:ascii="Tahoma" w:hAnsi="Tahoma" w:cs="Tahoma"/>
              </w:rPr>
            </w:pPr>
            <w:r w:rsidRPr="2848D7CF">
              <w:rPr>
                <w:rFonts w:ascii="Tahoma" w:hAnsi="Tahoma" w:cs="Tahoma"/>
              </w:rPr>
              <w:t>Posiadać wbudowany mechanizm zarządzania subskrypcjami, umożliwiający dodawanie nowych kluczy licencyjnych. Mechanizm ten ma pozwalać na łatwe zarządzanie licencjami, co ma zapewniać elastyczne dostosowanie zakresu funkcjonalności oprogramowania do potrzeb organizacji.</w:t>
            </w:r>
          </w:p>
          <w:p w14:paraId="2532DAFF" w14:textId="77777777" w:rsidR="000A0DB9" w:rsidRPr="00127629" w:rsidRDefault="000A0DB9" w:rsidP="2848D7CF">
            <w:pPr>
              <w:pStyle w:val="Akapitzlist"/>
              <w:numPr>
                <w:ilvl w:val="0"/>
                <w:numId w:val="21"/>
              </w:numPr>
              <w:spacing w:before="240" w:after="240" w:line="276" w:lineRule="auto"/>
              <w:ind w:left="363"/>
              <w:jc w:val="both"/>
              <w:rPr>
                <w:rFonts w:ascii="Tahoma" w:hAnsi="Tahoma" w:cs="Tahoma"/>
              </w:rPr>
            </w:pPr>
            <w:r w:rsidRPr="2848D7CF">
              <w:rPr>
                <w:rFonts w:ascii="Tahoma" w:hAnsi="Tahoma" w:cs="Tahoma"/>
              </w:rPr>
              <w:t xml:space="preserve"> Wyświetlać w konsoli informacje dotyczące licencji, w tym np.: nazwę produktu, klucz licencyjny, typ licencji, liczbę wykorzystanych licencji oraz daty ich wygaśnięcia.  Ta funkcja musi umożliwiać administratorowi pełną kontrolę nad stanem licencji, co ma zapewniać utrzymanie ciągłości działania ochrony.</w:t>
            </w:r>
          </w:p>
          <w:p w14:paraId="2B083B22" w14:textId="77777777" w:rsidR="000A0DB9" w:rsidRPr="00370D97" w:rsidRDefault="000A0DB9" w:rsidP="2848D7CF">
            <w:pPr>
              <w:pStyle w:val="Akapitzlist"/>
              <w:numPr>
                <w:ilvl w:val="0"/>
                <w:numId w:val="21"/>
              </w:numPr>
              <w:spacing w:before="240" w:after="240" w:line="276" w:lineRule="auto"/>
              <w:ind w:left="363"/>
              <w:jc w:val="both"/>
              <w:rPr>
                <w:rFonts w:ascii="Tahoma" w:hAnsi="Tahoma" w:cs="Tahoma"/>
              </w:rPr>
            </w:pPr>
            <w:r w:rsidRPr="2848D7CF">
              <w:rPr>
                <w:rFonts w:ascii="Tahoma" w:hAnsi="Tahoma" w:cs="Tahoma"/>
              </w:rPr>
              <w:t>Posiadać możliwość definiowania wielu kont administratorów o różnych poziomach dostępu. Funkcja ta musi zapewniać elastyczne zarządzanie uprawnieniami administratorów, umożliwiając przypisanie odpowiednich poziomów dostępu w zależności od roli i obowiązków, co wspiera zgodność z polityką bezpieczeństwa organizacji.</w:t>
            </w:r>
          </w:p>
        </w:tc>
      </w:tr>
      <w:tr w:rsidR="000A0DB9" w:rsidRPr="00127629" w14:paraId="24E2C4E2" w14:textId="77777777" w:rsidTr="27CD0593">
        <w:trPr>
          <w:trHeight w:val="300"/>
        </w:trPr>
        <w:tc>
          <w:tcPr>
            <w:tcW w:w="720" w:type="dxa"/>
            <w:vAlign w:val="center"/>
          </w:tcPr>
          <w:p w14:paraId="7C764760" w14:textId="05496C44" w:rsidR="000A0DB9" w:rsidRPr="00127629" w:rsidRDefault="15D68576" w:rsidP="2848D7CF">
            <w:pPr>
              <w:jc w:val="center"/>
            </w:pPr>
            <w:r w:rsidRPr="2848D7CF">
              <w:rPr>
                <w:rFonts w:ascii="Tahoma" w:eastAsia="Aptos" w:hAnsi="Tahoma" w:cs="Tahoma"/>
                <w:b/>
                <w:bCs/>
              </w:rPr>
              <w:lastRenderedPageBreak/>
              <w:t>7</w:t>
            </w:r>
          </w:p>
        </w:tc>
        <w:tc>
          <w:tcPr>
            <w:tcW w:w="2745" w:type="dxa"/>
            <w:vAlign w:val="center"/>
          </w:tcPr>
          <w:p w14:paraId="609D242F" w14:textId="77777777" w:rsidR="000A0DB9" w:rsidRPr="00127629" w:rsidRDefault="000A0DB9" w:rsidP="00621BB1">
            <w:pPr>
              <w:rPr>
                <w:rFonts w:ascii="Tahoma" w:eastAsia="Aptos" w:hAnsi="Tahoma" w:cs="Tahoma"/>
                <w:b/>
                <w:bCs/>
              </w:rPr>
            </w:pPr>
            <w:r w:rsidRPr="00127629">
              <w:rPr>
                <w:rFonts w:ascii="Tahoma" w:eastAsia="Aptos" w:hAnsi="Tahoma" w:cs="Tahoma"/>
                <w:b/>
                <w:bCs/>
              </w:rPr>
              <w:t>Interfejs użytkownika</w:t>
            </w:r>
          </w:p>
        </w:tc>
        <w:tc>
          <w:tcPr>
            <w:tcW w:w="5550" w:type="dxa"/>
          </w:tcPr>
          <w:p w14:paraId="07821816" w14:textId="79E3660F" w:rsidR="00443C9A" w:rsidRPr="00127629" w:rsidRDefault="005E77AE" w:rsidP="2848D7CF">
            <w:pPr>
              <w:spacing w:line="276" w:lineRule="auto"/>
              <w:jc w:val="both"/>
              <w:rPr>
                <w:rFonts w:ascii="Tahoma" w:eastAsia="Aptos" w:hAnsi="Tahoma" w:cs="Tahoma"/>
              </w:rPr>
            </w:pPr>
            <w:r w:rsidRPr="005E77AE">
              <w:rPr>
                <w:rFonts w:ascii="Tahoma" w:eastAsia="Aptos" w:hAnsi="Tahoma" w:cs="Tahoma"/>
              </w:rPr>
              <w:t xml:space="preserve">Zamawiający dopuszcza rozwiązanie, w którym interfejs oprogramowania przeznaczony dla użytkowników końcowych dostępny jest w języku polskim, natomiast interfejs administracyjny, w </w:t>
            </w:r>
            <w:r w:rsidRPr="005E77AE">
              <w:rPr>
                <w:rFonts w:ascii="Tahoma" w:eastAsia="Aptos" w:hAnsi="Tahoma" w:cs="Tahoma"/>
              </w:rPr>
              <w:lastRenderedPageBreak/>
              <w:t>tym konsola zarządzająca oraz moduły analityczne, dostępne są w języku angielskim.</w:t>
            </w:r>
          </w:p>
        </w:tc>
      </w:tr>
      <w:tr w:rsidR="000A0DB9" w:rsidRPr="00127629" w14:paraId="79658B6B" w14:textId="77777777" w:rsidTr="27CD0593">
        <w:trPr>
          <w:trHeight w:val="300"/>
        </w:trPr>
        <w:tc>
          <w:tcPr>
            <w:tcW w:w="720" w:type="dxa"/>
            <w:vAlign w:val="center"/>
          </w:tcPr>
          <w:p w14:paraId="2AA7D11E" w14:textId="3F78181D" w:rsidR="000A0DB9" w:rsidRPr="00127629" w:rsidRDefault="3D2670A8" w:rsidP="2848D7CF">
            <w:pPr>
              <w:jc w:val="center"/>
            </w:pPr>
            <w:r w:rsidRPr="2848D7CF">
              <w:rPr>
                <w:rFonts w:ascii="Tahoma" w:eastAsia="Aptos" w:hAnsi="Tahoma" w:cs="Tahoma"/>
                <w:b/>
                <w:bCs/>
              </w:rPr>
              <w:lastRenderedPageBreak/>
              <w:t>8</w:t>
            </w:r>
          </w:p>
        </w:tc>
        <w:tc>
          <w:tcPr>
            <w:tcW w:w="2745" w:type="dxa"/>
            <w:vAlign w:val="center"/>
          </w:tcPr>
          <w:p w14:paraId="030E3C86" w14:textId="77777777" w:rsidR="000A0DB9" w:rsidRPr="00127629" w:rsidRDefault="000A0DB9" w:rsidP="00621BB1">
            <w:pPr>
              <w:rPr>
                <w:rFonts w:ascii="Tahoma" w:eastAsia="Aptos" w:hAnsi="Tahoma" w:cs="Tahoma"/>
                <w:b/>
                <w:bCs/>
              </w:rPr>
            </w:pPr>
            <w:r w:rsidRPr="00127629">
              <w:rPr>
                <w:rFonts w:ascii="Tahoma" w:eastAsia="Aptos" w:hAnsi="Tahoma" w:cs="Tahoma"/>
                <w:b/>
                <w:bCs/>
              </w:rPr>
              <w:t>Detekcja</w:t>
            </w:r>
          </w:p>
        </w:tc>
        <w:tc>
          <w:tcPr>
            <w:tcW w:w="5550" w:type="dxa"/>
          </w:tcPr>
          <w:p w14:paraId="5434A53D" w14:textId="77777777" w:rsidR="000A0DB9" w:rsidRPr="00127629" w:rsidRDefault="000A0DB9" w:rsidP="2848D7CF">
            <w:pPr>
              <w:spacing w:line="276" w:lineRule="auto"/>
              <w:jc w:val="both"/>
              <w:rPr>
                <w:rFonts w:ascii="Tahoma" w:eastAsia="Aptos" w:hAnsi="Tahoma" w:cs="Tahoma"/>
              </w:rPr>
            </w:pPr>
            <w:r w:rsidRPr="2848D7CF">
              <w:rPr>
                <w:rFonts w:ascii="Tahoma" w:eastAsia="Aptos" w:hAnsi="Tahoma" w:cs="Tahoma"/>
              </w:rPr>
              <w:t>Rozwiązanie musi:</w:t>
            </w:r>
          </w:p>
          <w:p w14:paraId="02B3F6B9" w14:textId="77777777" w:rsidR="000A0DB9" w:rsidRPr="00127629" w:rsidRDefault="000A0DB9" w:rsidP="2848D7CF">
            <w:pPr>
              <w:pStyle w:val="Akapitzlist"/>
              <w:numPr>
                <w:ilvl w:val="0"/>
                <w:numId w:val="22"/>
              </w:numPr>
              <w:spacing w:before="0" w:after="0" w:line="276" w:lineRule="auto"/>
              <w:ind w:left="363"/>
              <w:jc w:val="both"/>
              <w:rPr>
                <w:rFonts w:ascii="Tahoma" w:hAnsi="Tahoma" w:cs="Tahoma"/>
              </w:rPr>
            </w:pPr>
            <w:r w:rsidRPr="2848D7CF">
              <w:rPr>
                <w:rFonts w:ascii="Tahoma" w:hAnsi="Tahoma" w:cs="Tahoma"/>
              </w:rPr>
              <w:t xml:space="preserve">Generować detekcje na bazie zebranych danych, które składają się z powiązanych podejrzanych zdarzeń, zebranych przez agentów ze stacji roboczych. Zbieranie i powiązywanie zdarzeń ma pomagać w szybkiej identyfikacji potencjalnych zagrożeń oraz naruszeń bezpieczeństwa. </w:t>
            </w:r>
          </w:p>
          <w:p w14:paraId="4D0CCE5B" w14:textId="77777777" w:rsidR="000A0DB9" w:rsidRPr="00127629" w:rsidRDefault="000A0DB9" w:rsidP="2848D7CF">
            <w:pPr>
              <w:pStyle w:val="Akapitzlist"/>
              <w:numPr>
                <w:ilvl w:val="0"/>
                <w:numId w:val="22"/>
              </w:numPr>
              <w:spacing w:before="0" w:after="0" w:line="276" w:lineRule="auto"/>
              <w:ind w:left="360"/>
              <w:jc w:val="both"/>
              <w:rPr>
                <w:rFonts w:ascii="Tahoma" w:hAnsi="Tahoma" w:cs="Tahoma"/>
              </w:rPr>
            </w:pPr>
            <w:r w:rsidRPr="2848D7CF">
              <w:rPr>
                <w:rFonts w:ascii="Tahoma" w:hAnsi="Tahoma" w:cs="Tahoma"/>
              </w:rPr>
              <w:t xml:space="preserve">Generować detekcje za pomocą statycznych reguł przygotowanych przez dostawcę lub innych mechanizmów np. uczenia maszynowego, które uwzględniają specyfikę środowiska informatycznego zamawiającego. </w:t>
            </w:r>
          </w:p>
          <w:p w14:paraId="7F5546E8" w14:textId="77777777" w:rsidR="000A0DB9" w:rsidRPr="00127629" w:rsidRDefault="000A0DB9" w:rsidP="2848D7CF">
            <w:pPr>
              <w:pStyle w:val="Akapitzlist"/>
              <w:numPr>
                <w:ilvl w:val="0"/>
                <w:numId w:val="22"/>
              </w:numPr>
              <w:spacing w:before="0" w:after="0" w:line="276" w:lineRule="auto"/>
              <w:ind w:left="363"/>
              <w:jc w:val="both"/>
              <w:rPr>
                <w:rFonts w:ascii="Tahoma" w:hAnsi="Tahoma" w:cs="Tahoma"/>
              </w:rPr>
            </w:pPr>
            <w:r w:rsidRPr="2848D7CF">
              <w:rPr>
                <w:rFonts w:ascii="Tahoma" w:hAnsi="Tahoma" w:cs="Tahoma"/>
              </w:rPr>
              <w:t>Zapewniać generowanie detekcji w czasie rzeczywistym na podstawie danych przesyłanych przez agentów działających na stacjach końcowych. Detekcje w czasie rzeczywistym muszą umożliwiać natychmiastowe wykrywanie zagrożeń i szybką reakcję, co ma minimalizować wpływ ewentualnych incydentów.</w:t>
            </w:r>
          </w:p>
          <w:p w14:paraId="058E3EED" w14:textId="77777777" w:rsidR="000A0DB9" w:rsidRPr="00127629" w:rsidRDefault="000A0DB9" w:rsidP="2848D7CF">
            <w:pPr>
              <w:pStyle w:val="Akapitzlist"/>
              <w:numPr>
                <w:ilvl w:val="0"/>
                <w:numId w:val="22"/>
              </w:numPr>
              <w:spacing w:before="0" w:after="0" w:line="276" w:lineRule="auto"/>
              <w:ind w:left="363"/>
              <w:jc w:val="both"/>
              <w:rPr>
                <w:rFonts w:ascii="Tahoma" w:hAnsi="Tahoma" w:cs="Tahoma"/>
              </w:rPr>
            </w:pPr>
            <w:r w:rsidRPr="2848D7CF">
              <w:rPr>
                <w:rFonts w:ascii="Tahoma" w:hAnsi="Tahoma" w:cs="Tahoma"/>
              </w:rPr>
              <w:t xml:space="preserve">Umożliwiać wyświetlanie detekcji w konsoli zarządzającej. </w:t>
            </w:r>
          </w:p>
          <w:p w14:paraId="3D10BB53" w14:textId="77777777" w:rsidR="000A0DB9" w:rsidRPr="00127629" w:rsidRDefault="000A0DB9" w:rsidP="2848D7CF">
            <w:pPr>
              <w:pStyle w:val="Akapitzlist"/>
              <w:numPr>
                <w:ilvl w:val="0"/>
                <w:numId w:val="22"/>
              </w:numPr>
              <w:spacing w:before="0" w:after="0" w:line="276" w:lineRule="auto"/>
              <w:ind w:left="363"/>
              <w:jc w:val="both"/>
              <w:rPr>
                <w:rFonts w:ascii="Tahoma" w:hAnsi="Tahoma" w:cs="Tahoma"/>
              </w:rPr>
            </w:pPr>
            <w:r w:rsidRPr="2848D7CF">
              <w:rPr>
                <w:rFonts w:ascii="Tahoma" w:hAnsi="Tahoma" w:cs="Tahoma"/>
              </w:rPr>
              <w:t>Przedstawiać szczegółowe informacje dotyczące wykrytych anomalii, w tym informacje o poszczególnych elementach biorących udział w detekcji. Prezentacja wykrytych zdarzeń musi pozwalać na szczegółową analizę incydentu, w celu identyfikacji źródła zagrożenia i jego eliminacji.</w:t>
            </w:r>
          </w:p>
          <w:p w14:paraId="45EF45F4" w14:textId="77777777" w:rsidR="000A0DB9" w:rsidRPr="00127629" w:rsidRDefault="000A0DB9" w:rsidP="2848D7CF">
            <w:pPr>
              <w:pStyle w:val="Akapitzlist"/>
              <w:numPr>
                <w:ilvl w:val="0"/>
                <w:numId w:val="22"/>
              </w:numPr>
              <w:spacing w:before="0" w:after="0" w:line="276" w:lineRule="auto"/>
              <w:ind w:left="363"/>
              <w:jc w:val="both"/>
              <w:rPr>
                <w:rFonts w:ascii="Tahoma" w:hAnsi="Tahoma" w:cs="Tahoma"/>
              </w:rPr>
            </w:pPr>
            <w:r w:rsidRPr="2848D7CF">
              <w:rPr>
                <w:rFonts w:ascii="Tahoma" w:hAnsi="Tahoma" w:cs="Tahoma"/>
              </w:rPr>
              <w:t xml:space="preserve">Posiadać możliwość filtrowania zdarzeń biorących udział w detekcji w zależności od poziomu ryzyka – od poziomu informacyjnego do zdarzeń o charakterze krytycznym. </w:t>
            </w:r>
            <w:r w:rsidRPr="2848D7CF">
              <w:rPr>
                <w:rFonts w:ascii="Tahoma" w:hAnsi="Tahoma" w:cs="Tahoma"/>
              </w:rPr>
              <w:lastRenderedPageBreak/>
              <w:t xml:space="preserve">Filtrowanie według poziomu ryzyka musi umożliwiać szybką identyfikację najpoważniejszych zagrożeń oraz skupienie działań na zdarzeniach o najwyższym priorytecie.  </w:t>
            </w:r>
          </w:p>
          <w:p w14:paraId="075B8393" w14:textId="77777777" w:rsidR="000A0DB9" w:rsidRPr="00127629" w:rsidRDefault="000A0DB9" w:rsidP="2848D7CF">
            <w:pPr>
              <w:pStyle w:val="Akapitzlist"/>
              <w:numPr>
                <w:ilvl w:val="0"/>
                <w:numId w:val="22"/>
              </w:numPr>
              <w:spacing w:before="240" w:after="240" w:line="276" w:lineRule="auto"/>
              <w:ind w:left="363"/>
              <w:jc w:val="both"/>
              <w:rPr>
                <w:rFonts w:ascii="Tahoma" w:hAnsi="Tahoma" w:cs="Tahoma"/>
              </w:rPr>
            </w:pPr>
            <w:r w:rsidRPr="2848D7CF">
              <w:rPr>
                <w:rFonts w:ascii="Tahoma" w:hAnsi="Tahoma" w:cs="Tahoma"/>
              </w:rPr>
              <w:t>Dla każdej detekcji udostępniać co najmniej następujące informacje:</w:t>
            </w:r>
          </w:p>
          <w:p w14:paraId="5CD36163" w14:textId="77777777" w:rsidR="000A0DB9" w:rsidRPr="00127629" w:rsidRDefault="000A0DB9" w:rsidP="2848D7CF">
            <w:pPr>
              <w:pStyle w:val="Akapitzlist"/>
              <w:numPr>
                <w:ilvl w:val="0"/>
                <w:numId w:val="19"/>
              </w:numPr>
              <w:spacing w:before="240" w:after="240" w:line="276" w:lineRule="auto"/>
              <w:jc w:val="both"/>
              <w:rPr>
                <w:rFonts w:ascii="Tahoma" w:hAnsi="Tahoma" w:cs="Tahoma"/>
              </w:rPr>
            </w:pPr>
            <w:r w:rsidRPr="2848D7CF">
              <w:rPr>
                <w:rFonts w:ascii="Tahoma" w:hAnsi="Tahoma" w:cs="Tahoma"/>
              </w:rPr>
              <w:t>Lista urządzeń, na których rozwiązanie zarejestrowało podejrzane zdarzenia.</w:t>
            </w:r>
          </w:p>
          <w:p w14:paraId="344BFBA4" w14:textId="77777777" w:rsidR="000A0DB9" w:rsidRPr="00127629" w:rsidRDefault="000A0DB9" w:rsidP="2848D7CF">
            <w:pPr>
              <w:pStyle w:val="Akapitzlist"/>
              <w:numPr>
                <w:ilvl w:val="0"/>
                <w:numId w:val="19"/>
              </w:numPr>
              <w:spacing w:before="240" w:after="240" w:line="276" w:lineRule="auto"/>
              <w:jc w:val="both"/>
              <w:rPr>
                <w:rFonts w:ascii="Tahoma" w:hAnsi="Tahoma" w:cs="Tahoma"/>
              </w:rPr>
            </w:pPr>
            <w:r w:rsidRPr="2848D7CF">
              <w:rPr>
                <w:rFonts w:ascii="Tahoma" w:hAnsi="Tahoma" w:cs="Tahoma"/>
              </w:rPr>
              <w:t>Data i czas wystąpienia podejrzanych zdarzeń.</w:t>
            </w:r>
          </w:p>
          <w:p w14:paraId="620192E6" w14:textId="77777777" w:rsidR="000A0DB9" w:rsidRPr="00127629" w:rsidRDefault="000A0DB9" w:rsidP="2848D7CF">
            <w:pPr>
              <w:pStyle w:val="Akapitzlist"/>
              <w:numPr>
                <w:ilvl w:val="0"/>
                <w:numId w:val="19"/>
              </w:numPr>
              <w:spacing w:before="240" w:after="240" w:line="276" w:lineRule="auto"/>
              <w:jc w:val="both"/>
              <w:rPr>
                <w:rFonts w:ascii="Tahoma" w:hAnsi="Tahoma" w:cs="Tahoma"/>
              </w:rPr>
            </w:pPr>
            <w:r w:rsidRPr="2848D7CF">
              <w:rPr>
                <w:rFonts w:ascii="Tahoma" w:hAnsi="Tahoma" w:cs="Tahoma"/>
              </w:rPr>
              <w:t>Lista podejrzanych zdarzeń zidentyfikowanych przez rozwiązanie.</w:t>
            </w:r>
          </w:p>
          <w:p w14:paraId="716D76F7" w14:textId="77777777" w:rsidR="000A0DB9" w:rsidRPr="00127629" w:rsidRDefault="000A0DB9" w:rsidP="2848D7CF">
            <w:pPr>
              <w:pStyle w:val="Akapitzlist"/>
              <w:numPr>
                <w:ilvl w:val="0"/>
                <w:numId w:val="19"/>
              </w:numPr>
              <w:spacing w:before="240" w:after="240" w:line="276" w:lineRule="auto"/>
              <w:jc w:val="both"/>
              <w:rPr>
                <w:rFonts w:ascii="Tahoma" w:hAnsi="Tahoma" w:cs="Tahoma"/>
              </w:rPr>
            </w:pPr>
            <w:r w:rsidRPr="2848D7CF">
              <w:rPr>
                <w:rFonts w:ascii="Tahoma" w:hAnsi="Tahoma" w:cs="Tahoma"/>
              </w:rPr>
              <w:t>Opis każdego z podejrzanych zdarzeń, wyjaśniający, dlaczego zostało ono uznane za podejrzane.</w:t>
            </w:r>
          </w:p>
          <w:p w14:paraId="0F79D3C6" w14:textId="77777777" w:rsidR="000A0DB9" w:rsidRPr="00127629" w:rsidRDefault="000A0DB9" w:rsidP="2848D7CF">
            <w:pPr>
              <w:pStyle w:val="Akapitzlist"/>
              <w:numPr>
                <w:ilvl w:val="0"/>
                <w:numId w:val="19"/>
              </w:numPr>
              <w:spacing w:before="240" w:after="240" w:line="276" w:lineRule="auto"/>
              <w:jc w:val="both"/>
              <w:rPr>
                <w:rFonts w:ascii="Tahoma" w:hAnsi="Tahoma" w:cs="Tahoma"/>
              </w:rPr>
            </w:pPr>
            <w:r w:rsidRPr="2848D7CF">
              <w:rPr>
                <w:rFonts w:ascii="Tahoma" w:hAnsi="Tahoma" w:cs="Tahoma"/>
              </w:rPr>
              <w:t>Sumę kontrolną (co najmniej SHA1 lub SHA256) plików, które zostały uznane za podejrzane.</w:t>
            </w:r>
          </w:p>
          <w:p w14:paraId="4FBE1816" w14:textId="77777777" w:rsidR="000A0DB9" w:rsidRPr="00127629" w:rsidRDefault="000A0DB9" w:rsidP="2848D7CF">
            <w:pPr>
              <w:pStyle w:val="Akapitzlist"/>
              <w:numPr>
                <w:ilvl w:val="0"/>
                <w:numId w:val="19"/>
              </w:numPr>
              <w:spacing w:before="240" w:after="240" w:line="276" w:lineRule="auto"/>
              <w:jc w:val="both"/>
              <w:rPr>
                <w:rFonts w:ascii="Tahoma" w:hAnsi="Tahoma" w:cs="Tahoma"/>
              </w:rPr>
            </w:pPr>
            <w:r w:rsidRPr="2848D7CF">
              <w:rPr>
                <w:rFonts w:ascii="Tahoma" w:hAnsi="Tahoma" w:cs="Tahoma"/>
              </w:rPr>
              <w:t>Poziom ryzyka, określający istotność danej detekcji.</w:t>
            </w:r>
          </w:p>
          <w:p w14:paraId="4AAEF6EF" w14:textId="77777777" w:rsidR="000A0DB9" w:rsidRPr="00032F8C" w:rsidRDefault="000A0DB9" w:rsidP="2848D7CF">
            <w:pPr>
              <w:pStyle w:val="Akapitzlist"/>
              <w:numPr>
                <w:ilvl w:val="0"/>
                <w:numId w:val="19"/>
              </w:numPr>
              <w:spacing w:before="0" w:after="0" w:line="276" w:lineRule="auto"/>
              <w:jc w:val="both"/>
              <w:rPr>
                <w:rFonts w:ascii="Tahoma" w:eastAsia="Aptos" w:hAnsi="Tahoma" w:cs="Tahoma"/>
              </w:rPr>
            </w:pPr>
            <w:r w:rsidRPr="2848D7CF">
              <w:rPr>
                <w:rFonts w:ascii="Tahoma" w:hAnsi="Tahoma" w:cs="Tahoma"/>
              </w:rPr>
              <w:t xml:space="preserve">Typ detekcji, wskazujący techniki ataku wykryte podczas tworzenia detekcji. </w:t>
            </w:r>
          </w:p>
          <w:p w14:paraId="3543FABA" w14:textId="77777777" w:rsidR="000A0DB9" w:rsidRPr="00127629" w:rsidRDefault="000A0DB9" w:rsidP="2848D7CF">
            <w:pPr>
              <w:pStyle w:val="Akapitzlist"/>
              <w:numPr>
                <w:ilvl w:val="0"/>
                <w:numId w:val="22"/>
              </w:numPr>
              <w:spacing w:before="0" w:after="0" w:line="276" w:lineRule="auto"/>
              <w:ind w:left="363"/>
              <w:jc w:val="both"/>
              <w:rPr>
                <w:rFonts w:ascii="Tahoma" w:hAnsi="Tahoma" w:cs="Tahoma"/>
              </w:rPr>
            </w:pPr>
            <w:r w:rsidRPr="2848D7CF">
              <w:rPr>
                <w:rFonts w:ascii="Tahoma" w:hAnsi="Tahoma" w:cs="Tahoma"/>
              </w:rPr>
              <w:t>W przypadku zdarzeń wykrywających znane techniki ataku na systemy informatyczne, zawierać odnośniki do ogólnodostępnych materiałów opisujących te techniki (np. matryca MITRE ATT&amp;CK). Odnośniki do takich materiałów mają umożliwiać zrozumienie kontekstu ataku i skuteczniejsze planowanie reakcji na incydenty bezpieczeństwa.</w:t>
            </w:r>
          </w:p>
          <w:p w14:paraId="0BF68B7D" w14:textId="77777777" w:rsidR="000A0DB9" w:rsidRDefault="000A0DB9" w:rsidP="2848D7CF">
            <w:pPr>
              <w:pStyle w:val="Akapitzlist"/>
              <w:numPr>
                <w:ilvl w:val="0"/>
                <w:numId w:val="22"/>
              </w:numPr>
              <w:spacing w:before="0" w:after="0" w:line="276" w:lineRule="auto"/>
              <w:ind w:left="0" w:firstLine="0"/>
              <w:jc w:val="both"/>
              <w:rPr>
                <w:rFonts w:ascii="Tahoma" w:hAnsi="Tahoma" w:cs="Tahoma"/>
              </w:rPr>
            </w:pPr>
            <w:r w:rsidRPr="2848D7CF">
              <w:rPr>
                <w:rFonts w:ascii="Tahoma" w:hAnsi="Tahoma" w:cs="Tahoma"/>
              </w:rPr>
              <w:t xml:space="preserve">Umożliwiać oznaczanie wygenerowanych detekcji jako błędnych. </w:t>
            </w:r>
          </w:p>
          <w:p w14:paraId="0C51ECB1" w14:textId="77777777" w:rsidR="000A0DB9" w:rsidRDefault="000A0DB9" w:rsidP="2848D7CF">
            <w:pPr>
              <w:pStyle w:val="Akapitzlist"/>
              <w:numPr>
                <w:ilvl w:val="0"/>
                <w:numId w:val="22"/>
              </w:numPr>
              <w:spacing w:before="0" w:after="0" w:line="276" w:lineRule="auto"/>
              <w:ind w:left="0" w:firstLine="0"/>
              <w:jc w:val="both"/>
              <w:rPr>
                <w:rFonts w:ascii="Tahoma" w:hAnsi="Tahoma" w:cs="Tahoma"/>
              </w:rPr>
            </w:pPr>
            <w:r w:rsidRPr="2848D7CF">
              <w:rPr>
                <w:rFonts w:ascii="Tahoma" w:hAnsi="Tahoma" w:cs="Tahoma"/>
              </w:rPr>
              <w:t xml:space="preserve">Pozwalać na przesłanie wiadomości np. e-mail informującej o wygenerowaniu nowej detekcji w systemie. Funkcja automatycznego powiadamiania ma umożliwiać szybką reakcję na nowe incydenty, zapewniając, że odpowiednie </w:t>
            </w:r>
            <w:r w:rsidRPr="2848D7CF">
              <w:rPr>
                <w:rFonts w:ascii="Tahoma" w:hAnsi="Tahoma" w:cs="Tahoma"/>
              </w:rPr>
              <w:lastRenderedPageBreak/>
              <w:t>osoby zostaną natychmiast poinformowane o potencjalnym zagrożeniu.</w:t>
            </w:r>
          </w:p>
          <w:p w14:paraId="3DF1F135" w14:textId="5AD1B334" w:rsidR="000A0DB9" w:rsidRDefault="000A0DB9" w:rsidP="2848D7CF">
            <w:pPr>
              <w:pStyle w:val="Akapitzlist"/>
              <w:numPr>
                <w:ilvl w:val="0"/>
                <w:numId w:val="22"/>
              </w:numPr>
              <w:spacing w:before="0" w:after="0" w:line="276" w:lineRule="auto"/>
              <w:ind w:left="0" w:firstLine="0"/>
              <w:jc w:val="both"/>
              <w:rPr>
                <w:rFonts w:ascii="Tahoma" w:hAnsi="Tahoma" w:cs="Tahoma"/>
              </w:rPr>
            </w:pPr>
            <w:r w:rsidRPr="2848D7CF">
              <w:rPr>
                <w:rFonts w:ascii="Tahoma" w:hAnsi="Tahoma" w:cs="Tahoma"/>
              </w:rPr>
              <w:t xml:space="preserve">Pozwalać administratorowi na zdalną izolację sieciową </w:t>
            </w:r>
            <w:r w:rsidR="2D18CBA8" w:rsidRPr="2848D7CF">
              <w:rPr>
                <w:rFonts w:ascii="Tahoma" w:hAnsi="Tahoma" w:cs="Tahoma"/>
              </w:rPr>
              <w:t>stacji roboczych</w:t>
            </w:r>
            <w:r w:rsidRPr="2848D7CF">
              <w:rPr>
                <w:rFonts w:ascii="Tahoma" w:hAnsi="Tahoma" w:cs="Tahoma"/>
              </w:rPr>
              <w:t>. Izolacja sieciowa musi umożliwiać natychmiastową reakcję na zagrożenia, minimalizując ich wpływ na resztę infrastruktury i pozwalając na szybkie ograniczenie rozprzestrzeniania się zagrożenia.</w:t>
            </w:r>
          </w:p>
          <w:p w14:paraId="05BF4CDC" w14:textId="77777777" w:rsidR="000A0DB9" w:rsidRPr="00032F8C" w:rsidRDefault="000A0DB9" w:rsidP="2848D7CF">
            <w:pPr>
              <w:pStyle w:val="Akapitzlist"/>
              <w:numPr>
                <w:ilvl w:val="0"/>
                <w:numId w:val="22"/>
              </w:numPr>
              <w:spacing w:before="0" w:after="0" w:line="276" w:lineRule="auto"/>
              <w:ind w:left="0" w:firstLine="0"/>
              <w:jc w:val="both"/>
              <w:rPr>
                <w:rFonts w:ascii="Tahoma" w:hAnsi="Tahoma" w:cs="Tahoma"/>
              </w:rPr>
            </w:pPr>
            <w:r w:rsidRPr="2848D7CF">
              <w:rPr>
                <w:rFonts w:ascii="Tahoma" w:hAnsi="Tahoma" w:cs="Tahoma"/>
              </w:rPr>
              <w:t>Umożliwiać zdalne przeprowadzenie reakcji na chronionym hoście.</w:t>
            </w:r>
          </w:p>
          <w:p w14:paraId="16F435CB" w14:textId="77777777" w:rsidR="000A0DB9" w:rsidRPr="00127629" w:rsidRDefault="000A0DB9" w:rsidP="2848D7CF">
            <w:pPr>
              <w:pStyle w:val="Akapitzlist"/>
              <w:numPr>
                <w:ilvl w:val="0"/>
                <w:numId w:val="22"/>
              </w:numPr>
              <w:spacing w:before="240" w:after="240" w:line="276" w:lineRule="auto"/>
              <w:ind w:left="0" w:firstLine="79"/>
              <w:jc w:val="both"/>
              <w:rPr>
                <w:rFonts w:ascii="Tahoma" w:hAnsi="Tahoma" w:cs="Tahoma"/>
              </w:rPr>
            </w:pPr>
            <w:r w:rsidRPr="2848D7CF">
              <w:rPr>
                <w:rFonts w:ascii="Tahoma" w:hAnsi="Tahoma" w:cs="Tahoma"/>
              </w:rPr>
              <w:t>Te funkcje zdalnego zarządzania muszą pozwalać na przeprowadzenie szczegółowej analizy incydentu i podjęcie natychmiastowych działań naprawczych.</w:t>
            </w:r>
          </w:p>
          <w:p w14:paraId="31C0641F" w14:textId="77777777" w:rsidR="000A0DB9" w:rsidRDefault="000A0DB9" w:rsidP="2848D7CF">
            <w:pPr>
              <w:pStyle w:val="Akapitzlist"/>
              <w:numPr>
                <w:ilvl w:val="0"/>
                <w:numId w:val="22"/>
              </w:numPr>
              <w:spacing w:before="0" w:after="0" w:line="276" w:lineRule="auto"/>
              <w:ind w:left="363"/>
              <w:jc w:val="both"/>
              <w:rPr>
                <w:rFonts w:ascii="Tahoma" w:hAnsi="Tahoma" w:cs="Tahoma"/>
              </w:rPr>
            </w:pPr>
            <w:r w:rsidRPr="2848D7CF">
              <w:rPr>
                <w:rFonts w:ascii="Tahoma" w:hAnsi="Tahoma" w:cs="Tahoma"/>
              </w:rPr>
              <w:t>Umożliwiać tworzenie raportów zawierających</w:t>
            </w:r>
          </w:p>
          <w:p w14:paraId="3CCDB5A8" w14:textId="77777777" w:rsidR="000A0DB9" w:rsidRDefault="000A0DB9" w:rsidP="2848D7CF">
            <w:pPr>
              <w:pStyle w:val="Akapitzlist"/>
              <w:spacing w:before="0" w:after="0" w:line="276" w:lineRule="auto"/>
              <w:ind w:left="3"/>
              <w:jc w:val="both"/>
              <w:rPr>
                <w:rFonts w:ascii="Tahoma" w:hAnsi="Tahoma" w:cs="Tahoma"/>
              </w:rPr>
            </w:pPr>
            <w:r w:rsidRPr="2848D7CF">
              <w:rPr>
                <w:rFonts w:ascii="Tahoma" w:hAnsi="Tahoma" w:cs="Tahoma"/>
              </w:rPr>
              <w:t>co najmniej listę wygenerowanych detekcji, wraz z ich opisem, za zadany okres. Generowanie raportów musi umożliwiać pełną dokumentację wykrytych zagrożeń oraz monitorowanie działań podejmowanych w celu ich usunięcia, co wspiera zgodność z wymogami bezpieczeństwa.</w:t>
            </w:r>
          </w:p>
          <w:p w14:paraId="3ABEB0F1" w14:textId="77777777" w:rsidR="000A0DB9" w:rsidRPr="00A05B7D" w:rsidRDefault="000A0DB9" w:rsidP="2848D7CF">
            <w:pPr>
              <w:pStyle w:val="Akapitzlist"/>
              <w:numPr>
                <w:ilvl w:val="0"/>
                <w:numId w:val="22"/>
              </w:numPr>
              <w:spacing w:before="240" w:after="240" w:line="276" w:lineRule="auto"/>
              <w:ind w:left="0" w:firstLine="3"/>
              <w:jc w:val="both"/>
              <w:rPr>
                <w:rFonts w:ascii="Tahoma" w:hAnsi="Tahoma" w:cs="Tahoma"/>
              </w:rPr>
            </w:pPr>
            <w:r w:rsidRPr="2848D7CF">
              <w:rPr>
                <w:rFonts w:ascii="Tahoma" w:hAnsi="Tahoma" w:cs="Tahoma"/>
              </w:rPr>
              <w:t>Pozwalać na eksport raportów w postaci plików PDF. Eksport raportów w formacie PDF musi umożliwiać ich łatwe przechowywanie, udostępnianie oraz archiwizację, co jest istotne w kontekście audytów i zgodności z normami.</w:t>
            </w:r>
          </w:p>
          <w:p w14:paraId="183126B5" w14:textId="3736ED84" w:rsidR="000A0DB9" w:rsidRDefault="000A0DB9" w:rsidP="2848D7CF">
            <w:pPr>
              <w:pStyle w:val="Akapitzlist"/>
              <w:numPr>
                <w:ilvl w:val="0"/>
                <w:numId w:val="22"/>
              </w:numPr>
              <w:spacing w:before="240" w:after="240" w:line="276" w:lineRule="auto"/>
              <w:ind w:left="0" w:hanging="3"/>
              <w:jc w:val="both"/>
              <w:rPr>
                <w:rFonts w:ascii="Tahoma" w:hAnsi="Tahoma" w:cs="Tahoma"/>
              </w:rPr>
            </w:pPr>
            <w:r w:rsidRPr="2848D7CF">
              <w:rPr>
                <w:rFonts w:ascii="Tahoma" w:hAnsi="Tahoma" w:cs="Tahoma"/>
              </w:rPr>
              <w:t xml:space="preserve">Wspierać dostęp do danych na temat utworzonych detekcji za pomocą interfejsu np. REST API, na potrzeby integracji z innymi systemami zabezpieczającymi </w:t>
            </w:r>
            <w:r w:rsidR="15C58DC2" w:rsidRPr="2848D7CF">
              <w:rPr>
                <w:rFonts w:ascii="Tahoma" w:hAnsi="Tahoma" w:cs="Tahoma"/>
              </w:rPr>
              <w:t>dostarczonymi w</w:t>
            </w:r>
            <w:r w:rsidR="362E6FC8" w:rsidRPr="2848D7CF">
              <w:rPr>
                <w:rFonts w:ascii="Tahoma" w:hAnsi="Tahoma" w:cs="Tahoma"/>
              </w:rPr>
              <w:t xml:space="preserve"> ramach</w:t>
            </w:r>
            <w:r w:rsidR="15C58DC2" w:rsidRPr="2848D7CF">
              <w:rPr>
                <w:rFonts w:ascii="Tahoma" w:hAnsi="Tahoma" w:cs="Tahoma"/>
              </w:rPr>
              <w:t xml:space="preserve"> niniejszego zamówienia</w:t>
            </w:r>
            <w:r w:rsidRPr="2848D7CF">
              <w:rPr>
                <w:rFonts w:ascii="Tahoma" w:hAnsi="Tahoma" w:cs="Tahoma"/>
              </w:rPr>
              <w:t>. Dostawca musi dostarczyć niezbędną dokumentację interfejsu. Integracja z innymi systemami zabezpieczającymi za pomocą interfejsu REST API musi pozwalać centralne monitorowanie i zarządzanie zagrożeniami.</w:t>
            </w:r>
          </w:p>
          <w:p w14:paraId="5F5A9A67" w14:textId="77777777" w:rsidR="009C4F2E" w:rsidRDefault="0BF8CC9D" w:rsidP="2848D7CF">
            <w:pPr>
              <w:pStyle w:val="Akapitzlist"/>
              <w:numPr>
                <w:ilvl w:val="0"/>
                <w:numId w:val="22"/>
              </w:numPr>
              <w:spacing w:before="240" w:after="240" w:line="276" w:lineRule="auto"/>
              <w:ind w:left="0" w:hanging="3"/>
              <w:jc w:val="both"/>
              <w:rPr>
                <w:rFonts w:ascii="Tahoma" w:hAnsi="Tahoma" w:cs="Tahoma"/>
              </w:rPr>
            </w:pPr>
            <w:r w:rsidRPr="2848D7CF">
              <w:rPr>
                <w:rFonts w:ascii="Tahoma" w:hAnsi="Tahoma" w:cs="Tahoma"/>
              </w:rPr>
              <w:t xml:space="preserve">Umożliwiać przekazywanie do zewnętrznych systemów bezpieczeństwa, w szczególności systemu typu XDR wdrażanego w ramach tego </w:t>
            </w:r>
            <w:r w:rsidRPr="2848D7CF">
              <w:rPr>
                <w:rFonts w:ascii="Tahoma" w:hAnsi="Tahoma" w:cs="Tahoma"/>
              </w:rPr>
              <w:lastRenderedPageBreak/>
              <w:t>samego zamówienia, danych dotyczących np.: detekcji, alertów, incydentów, poziomu ryzyka, identyfikacji hosta, czasu zdarzenia, opisu zdarzenia, podjętych działań reakcyjnych oraz statusu ochrony stacji.</w:t>
            </w:r>
          </w:p>
          <w:p w14:paraId="5E24C363" w14:textId="4724DEBC" w:rsidR="009C4F2E" w:rsidRPr="00A05B7D" w:rsidRDefault="0BF8CC9D" w:rsidP="2848D7CF">
            <w:pPr>
              <w:pStyle w:val="Akapitzlist"/>
              <w:numPr>
                <w:ilvl w:val="0"/>
                <w:numId w:val="22"/>
              </w:numPr>
              <w:spacing w:before="240" w:after="240" w:line="276" w:lineRule="auto"/>
              <w:ind w:left="0" w:hanging="3"/>
              <w:jc w:val="both"/>
              <w:rPr>
                <w:rFonts w:ascii="Tahoma" w:hAnsi="Tahoma" w:cs="Tahoma"/>
              </w:rPr>
            </w:pPr>
            <w:r w:rsidRPr="2848D7CF">
              <w:rPr>
                <w:rFonts w:ascii="Tahoma" w:hAnsi="Tahoma" w:cs="Tahoma"/>
              </w:rPr>
              <w:t xml:space="preserve">Integracja z systemem typu XDR oraz systemem typu menedżer logów może być realizowana za pomocą np.: interfejsu API, eksportu zdarzeń, webhooków </w:t>
            </w:r>
            <w:r w:rsidR="334D95A3" w:rsidRPr="2848D7CF">
              <w:rPr>
                <w:rFonts w:ascii="Tahoma" w:hAnsi="Tahoma" w:cs="Tahoma"/>
              </w:rPr>
              <w:t>zapewnianiających</w:t>
            </w:r>
            <w:r w:rsidRPr="2848D7CF">
              <w:rPr>
                <w:rFonts w:ascii="Tahoma" w:hAnsi="Tahoma" w:cs="Tahoma"/>
              </w:rPr>
              <w:t xml:space="preserve"> skuteczne przekazywanie danych do centralnej analizy, korelacji i obsługi incydentów.</w:t>
            </w:r>
          </w:p>
          <w:p w14:paraId="4096EF42" w14:textId="695C45CC" w:rsidR="009C4F2E" w:rsidRPr="00A05B7D" w:rsidRDefault="1AA950C9" w:rsidP="2848D7CF">
            <w:pPr>
              <w:spacing w:before="240" w:after="240" w:line="276" w:lineRule="auto"/>
              <w:jc w:val="both"/>
            </w:pPr>
            <w:r w:rsidRPr="2848D7CF">
              <w:rPr>
                <w:rFonts w:ascii="Tahoma" w:eastAsia="Tahoma" w:hAnsi="Tahoma" w:cs="Tahoma"/>
              </w:rPr>
              <w:t>Wymagana integracja z systemem typu XDR oraz systemem typu menedżer logów wdrażanymi w ramach tego samego zamówienia ma mieć charakter funkcjonalny. Zamawiający dopuszcza realizację integracji przy użyciu standardowo dostępnych mechanizmów producenta, w szczególności API, webhooków, eksportu zdarzeń lub innych równoważnych metod.</w:t>
            </w:r>
          </w:p>
        </w:tc>
      </w:tr>
      <w:tr w:rsidR="000A0DB9" w:rsidRPr="00127629" w14:paraId="4881BF9F" w14:textId="77777777" w:rsidTr="27CD0593">
        <w:trPr>
          <w:trHeight w:val="300"/>
        </w:trPr>
        <w:tc>
          <w:tcPr>
            <w:tcW w:w="720" w:type="dxa"/>
            <w:vAlign w:val="center"/>
          </w:tcPr>
          <w:p w14:paraId="47A27CE9" w14:textId="3F997AD6" w:rsidR="000A0DB9" w:rsidRPr="00127629" w:rsidRDefault="2C6203C5" w:rsidP="00621BB1">
            <w:pPr>
              <w:jc w:val="both"/>
              <w:rPr>
                <w:rFonts w:ascii="Tahoma" w:eastAsia="Aptos" w:hAnsi="Tahoma" w:cs="Tahoma"/>
                <w:b/>
                <w:bCs/>
              </w:rPr>
            </w:pPr>
            <w:r w:rsidRPr="2848D7CF">
              <w:rPr>
                <w:rFonts w:ascii="Tahoma" w:eastAsia="Aptos" w:hAnsi="Tahoma" w:cs="Tahoma"/>
                <w:b/>
                <w:bCs/>
              </w:rPr>
              <w:lastRenderedPageBreak/>
              <w:t>9</w:t>
            </w:r>
          </w:p>
        </w:tc>
        <w:tc>
          <w:tcPr>
            <w:tcW w:w="2745" w:type="dxa"/>
            <w:vAlign w:val="center"/>
          </w:tcPr>
          <w:p w14:paraId="3F9EC5FE" w14:textId="77777777" w:rsidR="000A0DB9" w:rsidRPr="00127629" w:rsidRDefault="000A0DB9" w:rsidP="00621BB1">
            <w:pPr>
              <w:rPr>
                <w:rFonts w:ascii="Tahoma" w:eastAsia="Aptos" w:hAnsi="Tahoma" w:cs="Tahoma"/>
                <w:b/>
                <w:bCs/>
              </w:rPr>
            </w:pPr>
            <w:r w:rsidRPr="55658CA3">
              <w:rPr>
                <w:rFonts w:ascii="Tahoma" w:eastAsia="Aptos" w:hAnsi="Tahoma" w:cs="Tahoma"/>
                <w:b/>
                <w:bCs/>
              </w:rPr>
              <w:t>Kompleksowe zarządzanie bezpieczeństwem systemów i urządzeń w infrastrukturze teleinformatycznej.</w:t>
            </w:r>
          </w:p>
        </w:tc>
        <w:tc>
          <w:tcPr>
            <w:tcW w:w="5550" w:type="dxa"/>
          </w:tcPr>
          <w:p w14:paraId="491E88D3" w14:textId="77777777" w:rsidR="000A0DB9" w:rsidRPr="00127629" w:rsidRDefault="000A0DB9" w:rsidP="2848D7CF">
            <w:pPr>
              <w:spacing w:line="276" w:lineRule="auto"/>
              <w:jc w:val="both"/>
              <w:rPr>
                <w:rFonts w:ascii="Tahoma" w:eastAsia="Aptos" w:hAnsi="Tahoma" w:cs="Tahoma"/>
              </w:rPr>
            </w:pPr>
            <w:r w:rsidRPr="2848D7CF">
              <w:rPr>
                <w:rFonts w:ascii="Tahoma" w:eastAsia="Aptos" w:hAnsi="Tahoma" w:cs="Tahoma"/>
              </w:rPr>
              <w:t>Rozwiązanie musi:</w:t>
            </w:r>
          </w:p>
          <w:p w14:paraId="3373E18B" w14:textId="1DA1CB97" w:rsidR="000A0DB9" w:rsidRDefault="00DB5B71" w:rsidP="2848D7CF">
            <w:pPr>
              <w:pStyle w:val="Akapitzlist"/>
              <w:numPr>
                <w:ilvl w:val="0"/>
                <w:numId w:val="20"/>
              </w:numPr>
              <w:spacing w:before="0" w:after="0" w:line="276" w:lineRule="auto"/>
              <w:ind w:left="363"/>
              <w:jc w:val="both"/>
              <w:rPr>
                <w:rFonts w:ascii="Tahoma" w:hAnsi="Tahoma" w:cs="Tahoma"/>
              </w:rPr>
            </w:pPr>
            <w:r w:rsidRPr="00DB5B71">
              <w:rPr>
                <w:rFonts w:ascii="Tahoma" w:hAnsi="Tahoma" w:cs="Tahoma"/>
              </w:rPr>
              <w:t>Zawierać listę urządzeń posiadających zainstalowanego agenta oprogramowania antywirusowego z EDR</w:t>
            </w:r>
            <w:r w:rsidR="000A0DB9" w:rsidRPr="2848D7CF">
              <w:rPr>
                <w:rFonts w:ascii="Tahoma" w:hAnsi="Tahoma" w:cs="Tahoma"/>
              </w:rPr>
              <w:t>, która zawiera informacje dotyczące: nazwy hosta, adresu IP, przypisanego profilu, systemu operacyjnego, informacji o ostatnim podłączeniu oraz aktualnym statusie.  Dzięki temu administrator ma mieć pełną widoczność urządzeń, co ma pozwalać na skuteczniejsze zarządzanie i monitorowanie bezpieczeństwa infrastruktury.</w:t>
            </w:r>
          </w:p>
          <w:p w14:paraId="7FA051A2" w14:textId="77777777" w:rsidR="000A0DB9" w:rsidRDefault="000A0DB9" w:rsidP="2848D7CF">
            <w:pPr>
              <w:pStyle w:val="Akapitzlist"/>
              <w:spacing w:before="0" w:after="0" w:line="276" w:lineRule="auto"/>
              <w:ind w:left="363"/>
              <w:jc w:val="both"/>
              <w:rPr>
                <w:rFonts w:ascii="Tahoma" w:hAnsi="Tahoma" w:cs="Tahoma"/>
              </w:rPr>
            </w:pPr>
          </w:p>
          <w:p w14:paraId="4468A046" w14:textId="77777777" w:rsidR="000A0DB9" w:rsidRPr="00A05B7D" w:rsidRDefault="000A0DB9" w:rsidP="2848D7CF">
            <w:pPr>
              <w:pStyle w:val="Akapitzlist"/>
              <w:numPr>
                <w:ilvl w:val="0"/>
                <w:numId w:val="20"/>
              </w:numPr>
              <w:spacing w:before="0" w:after="0" w:line="276" w:lineRule="auto"/>
              <w:ind w:left="363"/>
              <w:jc w:val="both"/>
              <w:rPr>
                <w:rFonts w:ascii="Tahoma" w:hAnsi="Tahoma" w:cs="Tahoma"/>
              </w:rPr>
            </w:pPr>
            <w:r w:rsidRPr="2848D7CF">
              <w:rPr>
                <w:rFonts w:ascii="Tahoma" w:hAnsi="Tahoma" w:cs="Tahoma"/>
              </w:rPr>
              <w:t>Realizować ochronę antywirusową na wielu poziomach, w tym:</w:t>
            </w:r>
          </w:p>
          <w:p w14:paraId="7CD970F9" w14:textId="77777777" w:rsidR="000A0DB9" w:rsidRPr="00127629" w:rsidRDefault="000A0DB9" w:rsidP="2848D7CF">
            <w:pPr>
              <w:pStyle w:val="Akapitzlist"/>
              <w:spacing w:line="276" w:lineRule="auto"/>
              <w:jc w:val="both"/>
              <w:rPr>
                <w:rFonts w:ascii="Tahoma" w:hAnsi="Tahoma" w:cs="Tahoma"/>
              </w:rPr>
            </w:pPr>
            <w:r w:rsidRPr="2848D7CF">
              <w:rPr>
                <w:rFonts w:ascii="Tahoma" w:hAnsi="Tahoma" w:cs="Tahoma"/>
              </w:rPr>
              <w:t>- Monitor kontrolujący system w tle,</w:t>
            </w:r>
          </w:p>
          <w:p w14:paraId="3CCFEE9A" w14:textId="77777777" w:rsidR="000A0DB9" w:rsidRPr="00127629" w:rsidRDefault="000A0DB9" w:rsidP="2848D7CF">
            <w:pPr>
              <w:pStyle w:val="Akapitzlist"/>
              <w:spacing w:line="276" w:lineRule="auto"/>
              <w:jc w:val="both"/>
              <w:rPr>
                <w:rFonts w:ascii="Tahoma" w:hAnsi="Tahoma" w:cs="Tahoma"/>
              </w:rPr>
            </w:pPr>
            <w:r w:rsidRPr="2848D7CF">
              <w:rPr>
                <w:rFonts w:ascii="Tahoma" w:hAnsi="Tahoma" w:cs="Tahoma"/>
              </w:rPr>
              <w:t>- Moduł skanowania heurystycznego,</w:t>
            </w:r>
          </w:p>
          <w:p w14:paraId="10016463" w14:textId="77777777" w:rsidR="000A0DB9" w:rsidRPr="00127629" w:rsidRDefault="000A0DB9" w:rsidP="2848D7CF">
            <w:pPr>
              <w:pStyle w:val="Akapitzlist"/>
              <w:spacing w:line="276" w:lineRule="auto"/>
              <w:jc w:val="both"/>
              <w:rPr>
                <w:rFonts w:ascii="Tahoma" w:hAnsi="Tahoma" w:cs="Tahoma"/>
              </w:rPr>
            </w:pPr>
            <w:r w:rsidRPr="2848D7CF">
              <w:rPr>
                <w:rFonts w:ascii="Tahoma" w:hAnsi="Tahoma" w:cs="Tahoma"/>
              </w:rPr>
              <w:t>- Moduł skanujący nośniki wymienne,</w:t>
            </w:r>
          </w:p>
          <w:p w14:paraId="2074E6A9" w14:textId="77777777" w:rsidR="000A0DB9" w:rsidRPr="00127629" w:rsidRDefault="000A0DB9" w:rsidP="2848D7CF">
            <w:pPr>
              <w:pStyle w:val="Akapitzlist"/>
              <w:spacing w:line="276" w:lineRule="auto"/>
              <w:jc w:val="both"/>
              <w:rPr>
                <w:rFonts w:ascii="Tahoma" w:hAnsi="Tahoma" w:cs="Tahoma"/>
              </w:rPr>
            </w:pPr>
            <w:r w:rsidRPr="2848D7CF">
              <w:rPr>
                <w:rFonts w:ascii="Tahoma" w:hAnsi="Tahoma" w:cs="Tahoma"/>
              </w:rPr>
              <w:lastRenderedPageBreak/>
              <w:t>- Monitor ruchu HTTP,</w:t>
            </w:r>
          </w:p>
          <w:p w14:paraId="3FC199D1" w14:textId="77777777" w:rsidR="000A0DB9" w:rsidRPr="00127629" w:rsidRDefault="000A0DB9" w:rsidP="2848D7CF">
            <w:pPr>
              <w:pStyle w:val="Akapitzlist"/>
              <w:spacing w:line="276" w:lineRule="auto"/>
              <w:jc w:val="both"/>
              <w:rPr>
                <w:rFonts w:ascii="Tahoma" w:hAnsi="Tahoma" w:cs="Tahoma"/>
              </w:rPr>
            </w:pPr>
            <w:r w:rsidRPr="2848D7CF">
              <w:rPr>
                <w:rFonts w:ascii="Tahoma" w:hAnsi="Tahoma" w:cs="Tahoma"/>
              </w:rPr>
              <w:t>- Moduł wykrywający rootkity,</w:t>
            </w:r>
          </w:p>
          <w:p w14:paraId="0136B827" w14:textId="77777777" w:rsidR="000A0DB9" w:rsidRPr="00127629" w:rsidRDefault="000A0DB9" w:rsidP="2848D7CF">
            <w:pPr>
              <w:pStyle w:val="Akapitzlist"/>
              <w:spacing w:line="276" w:lineRule="auto"/>
              <w:jc w:val="both"/>
              <w:rPr>
                <w:rFonts w:ascii="Tahoma" w:hAnsi="Tahoma" w:cs="Tahoma"/>
              </w:rPr>
            </w:pPr>
            <w:r w:rsidRPr="2848D7CF">
              <w:rPr>
                <w:rFonts w:ascii="Tahoma" w:hAnsi="Tahoma" w:cs="Tahoma"/>
              </w:rPr>
              <w:t xml:space="preserve">- Wbudowany mechanizm ochrony przed zagrożeniami typu ransomware.  </w:t>
            </w:r>
          </w:p>
          <w:p w14:paraId="2B435FC0" w14:textId="77777777" w:rsidR="000A0DB9" w:rsidRPr="00127629" w:rsidRDefault="000A0DB9" w:rsidP="2848D7CF">
            <w:pPr>
              <w:pStyle w:val="Akapitzlist"/>
              <w:spacing w:line="276" w:lineRule="auto"/>
              <w:ind w:left="0"/>
              <w:jc w:val="both"/>
              <w:rPr>
                <w:rFonts w:ascii="Tahoma" w:hAnsi="Tahoma" w:cs="Tahoma"/>
              </w:rPr>
            </w:pPr>
            <w:r w:rsidRPr="2848D7CF">
              <w:rPr>
                <w:rFonts w:ascii="Tahoma" w:hAnsi="Tahoma" w:cs="Tahoma"/>
              </w:rPr>
              <w:t>Wielopoziomowa ochrona musi zapewniać kompleksowe zabezpieczenie przed różnymi formami zagrożeń, zwiększając bezpieczeństwo systemu informatycznego.</w:t>
            </w:r>
          </w:p>
          <w:p w14:paraId="52BD0957"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Umożliwiać wybór plików do skanowania, oferując opcje skanowania wszystkich plików lub tylko plików o określonych rozszerzeniach. Elastyczność w wyborze plików do skanowania ma pozwalać dostosować poziom ochrony do specyficznych wymagań organizacji, zwiększając efektywność zarządzania bezpieczeństwem.</w:t>
            </w:r>
          </w:p>
          <w:p w14:paraId="391C239D"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W momencie wykrycia infekcji automatycznie próbować wyleczyć zainfekowany plik, a w przypadku braku możliwości leczenia przenieść go do bezpiecznego folderu kwarantanny.</w:t>
            </w:r>
          </w:p>
          <w:p w14:paraId="078F0778"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 xml:space="preserve">Umożliwiać ręczną reakcję administratora na wykryte zagrożenie, oferując co najmniej takie opcje jak: wyleczenie pliku, usunięcie, przeniesienie do kwarantanny, zmiana nazwy pliku lub jego zablokowanie. </w:t>
            </w:r>
          </w:p>
          <w:p w14:paraId="151E3A5F"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 xml:space="preserve">Posiadać mechanizmy skanujące dyski sieciowe. Skanowanie zasobów sieciowych ma zapewniać ochronę zarówno lokalnych, jak i zdalnych danych. </w:t>
            </w:r>
          </w:p>
          <w:p w14:paraId="43B215B2"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 xml:space="preserve">Umożliwiać skanowanie dysków sieciowych podczas dowolnych operacji na takich zasobach lub tylko przy wykonywaniu plików. </w:t>
            </w:r>
          </w:p>
          <w:p w14:paraId="21F71692"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 xml:space="preserve">Posiadać możliwość tworzenia wykluczeń z mechanizmów ochrony w czasie rzeczywistym, obejmujących co najmniej pliki, foldery oraz procesy. Tworzenie wykluczeń ma pozwalać na dostosowanie ochrony w czasie rzeczywistym, co jest ważne w przypadku specyficznych aplikacji </w:t>
            </w:r>
            <w:r w:rsidRPr="2848D7CF">
              <w:rPr>
                <w:rFonts w:ascii="Tahoma" w:hAnsi="Tahoma" w:cs="Tahoma"/>
              </w:rPr>
              <w:lastRenderedPageBreak/>
              <w:t>lub procesów, które mogą być błędnie uznane za zagrożenia.</w:t>
            </w:r>
          </w:p>
          <w:p w14:paraId="1F29AEC4"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Posiadać mechanizm ochrony ruchu HTTP, który chroni użytkowników przed zagrożeniami typu malware oraz phishing. Ochrona ruchu HTTP ma zapewniać bezpieczeństwo użytkowników podczas przeglądania sieci, minimalizując ryzyko infekcji złośliwym oprogramowaniem i atakami phishingowymi.</w:t>
            </w:r>
          </w:p>
          <w:p w14:paraId="1D2252DF"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 xml:space="preserve">Umożliwiać tworzenie wykluczeń dla wskazanych aplikacji, aby nie skanowały one ruchu HTTP. Elastyczność w tworzeniu wykluczeń ma pozwalać administratorowi na dostosowanie poziomu ochrony do specyficznych potrzeb organizacji. </w:t>
            </w:r>
          </w:p>
          <w:p w14:paraId="48D1FB4B"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Zapewniać dostęp do aktualizacji baz definicji wirusów za pośrednictwem serwera internetowego producenta, z możliwością automatycznej aktualizacji oraz aktualizacji na żądanie.</w:t>
            </w:r>
          </w:p>
          <w:p w14:paraId="3AA2549F"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 xml:space="preserve">Posiadać mechanizm cyfrowego podpisywania aktualizacji definicji wirusów, który gwarantuje integralność plików i ich nienaruszalność. </w:t>
            </w:r>
          </w:p>
          <w:p w14:paraId="00953294"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 xml:space="preserve">Zapewniać automatyczną aktualizację oprogramowania zainstalowanego na stacjach końcowych do nowej wersji w sposób niewidoczny dla użytkownika końcowego. </w:t>
            </w:r>
          </w:p>
          <w:p w14:paraId="76C210EF"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Nie wymagać dodatkowych czynności konfiguracyjnych od administratora systemu przy aktualizacji oprogramowania klienta zainstalowanego na stacji końcowej.</w:t>
            </w:r>
          </w:p>
          <w:p w14:paraId="0E10915F"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 xml:space="preserve">Umożliwiać administratorom wywołanie procesu aktualizacji oprogramowania klienta zainstalowanego na stacjach końcowych według ustalonego harmonogramu dla określonych grup klientów za pomocą centralnej konsoli zarządzania. Harmonogram aktualizacji ma umożliwiać dostosowanie procesu do </w:t>
            </w:r>
            <w:r w:rsidRPr="2848D7CF">
              <w:rPr>
                <w:rFonts w:ascii="Tahoma" w:hAnsi="Tahoma" w:cs="Tahoma"/>
              </w:rPr>
              <w:lastRenderedPageBreak/>
              <w:t>specyficznych potrzeb organizacji, zapewniając elastyczne i kontrolowane zarządzanie aktualizacjami.</w:t>
            </w:r>
          </w:p>
          <w:p w14:paraId="2CA5A1C9"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Posiadać możliwość wywołania procesu aktualizacji oprogramowania klienta w określone dni i godziny tygodnia oraz miesiąca. Dzięki tej funkcji administratorzy mają mieć możliwość precyzyjnie zaplanować czas aktualizacji, co jest szczególnie ważne w przypadku systemów, które muszą pozostać w pełni operacyjne w określonych godzinach.</w:t>
            </w:r>
          </w:p>
          <w:p w14:paraId="693C5F4E"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Umożliwiać wywołanie skanowania na żądanie lub według harmonogramu, ustalonego przez administratorów dla określonych grup klientów, za pomocą centralnej konsoli zarządzania lub lokalnie przez użytkownika. Harmonogramowane i na żądanie skanowanie ma zapewniać elastyczność i pełną kontrolę nad procesami bezpieczeństwa, umożliwiając przeprowadzanie skanowania w optymalnym czasie, bez wpływu na wydajność systemu.</w:t>
            </w:r>
          </w:p>
          <w:p w14:paraId="4C211185" w14:textId="4529113D"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 xml:space="preserve">Umożliwiać wywołanie skanowania w określone dni i godziny tygodnia oraz miesiąca, a także po określonym czasie bezczynności </w:t>
            </w:r>
            <w:r w:rsidR="2D18CBA8" w:rsidRPr="2848D7CF">
              <w:rPr>
                <w:rFonts w:ascii="Tahoma" w:hAnsi="Tahoma" w:cs="Tahoma"/>
              </w:rPr>
              <w:t>stacji roboczej</w:t>
            </w:r>
            <w:r w:rsidRPr="2848D7CF">
              <w:rPr>
                <w:rFonts w:ascii="Tahoma" w:hAnsi="Tahoma" w:cs="Tahoma"/>
              </w:rPr>
              <w:t xml:space="preserve">. </w:t>
            </w:r>
          </w:p>
          <w:p w14:paraId="2BAA0185"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 xml:space="preserve">Umożliwiać skanowanie określonych rozszerzeń plików oraz ich wykluczanie. </w:t>
            </w:r>
          </w:p>
          <w:p w14:paraId="34091BDE" w14:textId="77777777" w:rsidR="000A0DB9"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Posiadać możliwość skanowania urządzeń przenośnych, takich jak pendrive'y, dyski zewnętrzne itp. Skanowanie urządzeń przenośnych ma zapewniać ochronę przed zagrożeniami przenoszonymi na przenośnych nośnikach danych, co jest kluczowe w zapobieganiu infekcjom.</w:t>
            </w:r>
          </w:p>
          <w:p w14:paraId="5C7ED13D" w14:textId="77777777" w:rsidR="000A0DB9" w:rsidRPr="00FE0C0A" w:rsidRDefault="000A0DB9" w:rsidP="2848D7CF">
            <w:pPr>
              <w:pStyle w:val="Akapitzlist"/>
              <w:numPr>
                <w:ilvl w:val="0"/>
                <w:numId w:val="20"/>
              </w:numPr>
              <w:spacing w:before="0" w:after="0" w:line="276" w:lineRule="auto"/>
              <w:ind w:left="79" w:firstLine="0"/>
              <w:jc w:val="both"/>
              <w:rPr>
                <w:rFonts w:ascii="Tahoma" w:hAnsi="Tahoma" w:cs="Tahoma"/>
              </w:rPr>
            </w:pPr>
            <w:r w:rsidRPr="2848D7CF">
              <w:rPr>
                <w:rFonts w:ascii="Tahoma" w:hAnsi="Tahoma" w:cs="Tahoma"/>
              </w:rPr>
              <w:t>Umożliwiać automatyczne skanowanie dysków przenośnych z opcją:</w:t>
            </w:r>
          </w:p>
          <w:p w14:paraId="082DF6D7" w14:textId="77777777" w:rsidR="000A0DB9" w:rsidRPr="00127629" w:rsidRDefault="000A0DB9" w:rsidP="2848D7CF">
            <w:pPr>
              <w:pStyle w:val="Akapitzlist"/>
              <w:numPr>
                <w:ilvl w:val="0"/>
                <w:numId w:val="18"/>
              </w:numPr>
              <w:spacing w:line="276" w:lineRule="auto"/>
              <w:rPr>
                <w:rFonts w:ascii="Tahoma" w:eastAsia="Tahoma" w:hAnsi="Tahoma" w:cs="Tahoma"/>
              </w:rPr>
            </w:pPr>
            <w:r w:rsidRPr="2848D7CF">
              <w:rPr>
                <w:rFonts w:ascii="Tahoma" w:eastAsia="Tahoma" w:hAnsi="Tahoma" w:cs="Tahoma"/>
              </w:rPr>
              <w:t>Przeprowadzania skanowania bez wiedzy użytkownika,</w:t>
            </w:r>
          </w:p>
          <w:p w14:paraId="66635C3D" w14:textId="77777777" w:rsidR="000A0DB9" w:rsidRPr="00127629" w:rsidRDefault="000A0DB9" w:rsidP="2848D7CF">
            <w:pPr>
              <w:pStyle w:val="Akapitzlist"/>
              <w:numPr>
                <w:ilvl w:val="0"/>
                <w:numId w:val="18"/>
              </w:numPr>
              <w:spacing w:line="276" w:lineRule="auto"/>
              <w:rPr>
                <w:rFonts w:ascii="Tahoma" w:eastAsia="Tahoma" w:hAnsi="Tahoma" w:cs="Tahoma"/>
              </w:rPr>
            </w:pPr>
            <w:r w:rsidRPr="2848D7CF">
              <w:rPr>
                <w:rFonts w:ascii="Tahoma" w:eastAsia="Tahoma" w:hAnsi="Tahoma" w:cs="Tahoma"/>
              </w:rPr>
              <w:lastRenderedPageBreak/>
              <w:t>Automatycznego wyświetlania podsumowania skanowania użytkownikowi,</w:t>
            </w:r>
          </w:p>
          <w:p w14:paraId="0CD66A9A" w14:textId="77777777" w:rsidR="000A0DB9" w:rsidRPr="00127629" w:rsidRDefault="000A0DB9" w:rsidP="2848D7CF">
            <w:pPr>
              <w:pStyle w:val="Akapitzlist"/>
              <w:numPr>
                <w:ilvl w:val="0"/>
                <w:numId w:val="18"/>
              </w:numPr>
              <w:spacing w:line="276" w:lineRule="auto"/>
              <w:rPr>
                <w:rFonts w:ascii="Tahoma" w:eastAsia="Tahoma" w:hAnsi="Tahoma" w:cs="Tahoma"/>
              </w:rPr>
            </w:pPr>
            <w:r w:rsidRPr="2848D7CF">
              <w:rPr>
                <w:rFonts w:ascii="Tahoma" w:eastAsia="Tahoma" w:hAnsi="Tahoma" w:cs="Tahoma"/>
              </w:rPr>
              <w:t xml:space="preserve">Zablokowania możliwości przerwania skanowania przez użytkownika końcowego.  Te funkcje muszą zapewniać pełną kontrolę nad skanowaniem urządzeń przenośnych, minimalizując ryzyko infekcji. </w:t>
            </w:r>
          </w:p>
          <w:p w14:paraId="18C452A4" w14:textId="77777777" w:rsidR="000A0DB9" w:rsidRPr="00127629" w:rsidRDefault="000A0DB9" w:rsidP="2848D7CF">
            <w:pPr>
              <w:pStyle w:val="Akapitzlist"/>
              <w:numPr>
                <w:ilvl w:val="0"/>
                <w:numId w:val="20"/>
              </w:numPr>
              <w:spacing w:before="240" w:after="240" w:line="276" w:lineRule="auto"/>
              <w:ind w:left="363"/>
              <w:jc w:val="both"/>
              <w:rPr>
                <w:rFonts w:ascii="Tahoma" w:hAnsi="Tahoma" w:cs="Tahoma"/>
              </w:rPr>
            </w:pPr>
            <w:r w:rsidRPr="2848D7CF">
              <w:rPr>
                <w:rFonts w:ascii="Tahoma" w:hAnsi="Tahoma" w:cs="Tahoma"/>
              </w:rPr>
              <w:t>Posiadać heurystyczną technologię do wykrywania nowych, nieznanych wirusów. Technologia musi umożliwiać identyfikację nowych i potencjalnie złośliwych zagrożeń, które nie zostały jeszcze uwzględnione w tradycyjnych bazach definicji wirusów.</w:t>
            </w:r>
          </w:p>
          <w:p w14:paraId="3EA31600" w14:textId="77777777" w:rsidR="000A0DB9" w:rsidRPr="00127629" w:rsidRDefault="000A0DB9" w:rsidP="2848D7CF">
            <w:pPr>
              <w:pStyle w:val="Akapitzlist"/>
              <w:numPr>
                <w:ilvl w:val="0"/>
                <w:numId w:val="20"/>
              </w:numPr>
              <w:spacing w:before="240" w:after="240" w:line="276" w:lineRule="auto"/>
              <w:ind w:left="363"/>
              <w:jc w:val="both"/>
              <w:rPr>
                <w:rFonts w:ascii="Tahoma" w:hAnsi="Tahoma" w:cs="Tahoma"/>
              </w:rPr>
            </w:pPr>
            <w:r w:rsidRPr="2848D7CF">
              <w:rPr>
                <w:rFonts w:ascii="Tahoma" w:hAnsi="Tahoma" w:cs="Tahoma"/>
              </w:rPr>
              <w:t>Umożliwiać wykrywanie niepożądanych aplikacji, takich jak oprogramowanie typu „spyware", „adware", „keylogger”, „dialer”, „trojan”, „rootkit”. Rozwiązanie musi skutecznie identyfikować i blokować szeroką gamę niepożądanych aplikacji, które mogą stanowić zagrożenie dla bezpieczeństwa systemu.</w:t>
            </w:r>
          </w:p>
          <w:p w14:paraId="118FCF3A" w14:textId="77777777" w:rsidR="000A0DB9" w:rsidRPr="00127629" w:rsidRDefault="000A0DB9" w:rsidP="2848D7CF">
            <w:pPr>
              <w:pStyle w:val="Akapitzlist"/>
              <w:numPr>
                <w:ilvl w:val="0"/>
                <w:numId w:val="20"/>
              </w:numPr>
              <w:spacing w:before="240" w:after="240" w:line="276" w:lineRule="auto"/>
              <w:ind w:left="363"/>
              <w:jc w:val="both"/>
              <w:rPr>
                <w:rFonts w:ascii="Tahoma" w:hAnsi="Tahoma" w:cs="Tahoma"/>
              </w:rPr>
            </w:pPr>
            <w:r w:rsidRPr="2848D7CF">
              <w:rPr>
                <w:rFonts w:ascii="Tahoma" w:hAnsi="Tahoma" w:cs="Tahoma"/>
              </w:rPr>
              <w:t xml:space="preserve">Posiadać mechanizm wykrywania nowych i nieznanych zagrożeń (0-day). </w:t>
            </w:r>
          </w:p>
          <w:p w14:paraId="550D93A6" w14:textId="77777777" w:rsidR="000A0DB9" w:rsidRDefault="000A0DB9" w:rsidP="2848D7CF">
            <w:pPr>
              <w:pStyle w:val="Akapitzlist"/>
              <w:numPr>
                <w:ilvl w:val="0"/>
                <w:numId w:val="20"/>
              </w:numPr>
              <w:spacing w:before="240" w:after="240" w:line="276" w:lineRule="auto"/>
              <w:ind w:left="363"/>
              <w:jc w:val="both"/>
              <w:rPr>
                <w:rFonts w:ascii="Tahoma" w:hAnsi="Tahoma" w:cs="Tahoma"/>
              </w:rPr>
            </w:pPr>
            <w:r w:rsidRPr="2848D7CF">
              <w:rPr>
                <w:rFonts w:ascii="Tahoma" w:hAnsi="Tahoma" w:cs="Tahoma"/>
              </w:rPr>
              <w:t xml:space="preserve">Posiadać mechanizm wykrywania nowych i nieznanych zagrożeń, który bazuje głównie na analizie metadanych podejrzanych plików, z wykluczeniem plików sklasyfikowanych jako bezpieczne z wysyłania do analizy. </w:t>
            </w:r>
          </w:p>
          <w:p w14:paraId="04E62E43" w14:textId="77777777" w:rsidR="000A0DB9" w:rsidRDefault="000A0DB9" w:rsidP="2848D7CF">
            <w:pPr>
              <w:pStyle w:val="Akapitzlist"/>
              <w:spacing w:before="240" w:after="240" w:line="276" w:lineRule="auto"/>
              <w:jc w:val="both"/>
              <w:rPr>
                <w:rFonts w:ascii="Tahoma" w:hAnsi="Tahoma" w:cs="Tahoma"/>
              </w:rPr>
            </w:pPr>
          </w:p>
          <w:p w14:paraId="0D89637C"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Umożliwiać wyłączenie mechanizmu automatycznego przesyłania podejrzanych plików do dodatkowej analizy przez producenta.</w:t>
            </w:r>
          </w:p>
          <w:p w14:paraId="6ABA46CA"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 xml:space="preserve">Posiadać możliwość umieszczenia w kwarantannie oprogramowania typu „spyware", „adware", „keylogger”, „dialer”, „trojan”.  Umieszczenie złośliwego oprogramowania w kwarantannie musi umożliwiać odizolowanie zagrożeń bez natychmiastowego ich usuwania, co </w:t>
            </w:r>
            <w:r w:rsidRPr="2848D7CF">
              <w:rPr>
                <w:rFonts w:ascii="Tahoma" w:hAnsi="Tahoma" w:cs="Tahoma"/>
              </w:rPr>
              <w:lastRenderedPageBreak/>
              <w:t>ma pozwalać na dalszą analizę i zapobieganie infekcjom systemu.</w:t>
            </w:r>
          </w:p>
          <w:p w14:paraId="073A9CD0"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Rozwiązanie musi obsługiwać analizę najczęściej stosowanych formatów archiwów i plików skompresowanych, w szczególności ZIP, RAR, 7Z, CAB, TAR/GZ.</w:t>
            </w:r>
          </w:p>
          <w:p w14:paraId="6E9E7A7A"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 xml:space="preserve">Automatycznie powiadamiać użytkowników oraz administratora o pojawiających się zagrożeniach, wraz z określeniem, czy stacja robocza jest odpowiednio zabezpieczona.  Automatyczne powiadomienia mają umożliwiać szybkie reagowanie na potencjalne zagrożenia. </w:t>
            </w:r>
          </w:p>
          <w:p w14:paraId="50CD8CE3"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 xml:space="preserve">Umożliwiać wyłączenie powiadomień dla użytkowników stacji końcowej o wykrytych zagrożeniach. </w:t>
            </w:r>
          </w:p>
          <w:p w14:paraId="78A2AFF6"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Umożliwiać blokowanie przez program określonego rodzaju zawartości oraz nazw lub rozszerzeń poszczególnych plików pobieranych przy pomocy protokołu HTTP, według ustawień zdefiniowanych przez administratora. Blokowanie określonych treści i plików z protokołu HTTP ma zapewniać dodatkowy poziom ochrony przed niechcianymi lub złośliwymi plikami, zwiększając bezpieczeństwo systemu.</w:t>
            </w:r>
          </w:p>
          <w:p w14:paraId="144565DC" w14:textId="77D9F9A9" w:rsidR="000A0DB9" w:rsidRDefault="00884B1F" w:rsidP="2848D7CF">
            <w:pPr>
              <w:pStyle w:val="Akapitzlist"/>
              <w:numPr>
                <w:ilvl w:val="0"/>
                <w:numId w:val="20"/>
              </w:numPr>
              <w:spacing w:before="240" w:after="240" w:line="276" w:lineRule="auto"/>
              <w:ind w:left="0" w:firstLine="3"/>
              <w:jc w:val="both"/>
              <w:rPr>
                <w:rFonts w:ascii="Tahoma" w:hAnsi="Tahoma" w:cs="Tahoma"/>
              </w:rPr>
            </w:pPr>
            <w:r w:rsidRPr="00884B1F">
              <w:rPr>
                <w:rFonts w:ascii="Tahoma" w:hAnsi="Tahoma" w:cs="Tahoma"/>
              </w:rPr>
              <w:t xml:space="preserve">Rozwiązanie musi zapewniać ochronę użytkowników podczas korzystania ze stron WWW, w szczególności poprzez mechanizmy reputacyjnej ochrony witryn, blokowania stron szkodliwych, phishingowych, ryzykownych lub niepożądanych oraz możliwość definiowania wyjątków lub list zaufanych zasobów, aplikacji, plików, procesów lub witryn, w szczególności z wykorzystaniem sum kontrolnych SHA256 lub mechanizmu równoważnego. Zamawiający dopuszcza rozwiązanie, które nie posiada funkcji automatycznej dezaktywacji skanowania HTTP oraz blokowania zawartości dla witryn określonych jako zaufane przez system reputacyjny, pod warunkiem że rozwiązanie zapewnia równoważny </w:t>
            </w:r>
            <w:r w:rsidRPr="00884B1F">
              <w:rPr>
                <w:rFonts w:ascii="Tahoma" w:hAnsi="Tahoma" w:cs="Tahoma"/>
              </w:rPr>
              <w:lastRenderedPageBreak/>
              <w:t>poziom ochrony i zarządzania bezpieczeństwem w obszarze ochrony WWW oraz spełnia pozostałe wymagania OPZ.</w:t>
            </w:r>
          </w:p>
          <w:p w14:paraId="45615534" w14:textId="57CA0A1B" w:rsidR="000A0DB9" w:rsidRPr="00120866" w:rsidRDefault="00B81E7B" w:rsidP="2848D7CF">
            <w:pPr>
              <w:pStyle w:val="Akapitzlist"/>
              <w:numPr>
                <w:ilvl w:val="0"/>
                <w:numId w:val="20"/>
              </w:numPr>
              <w:spacing w:before="240" w:after="240" w:line="276" w:lineRule="auto"/>
              <w:ind w:left="0" w:firstLine="3"/>
              <w:jc w:val="both"/>
              <w:rPr>
                <w:rFonts w:ascii="Tahoma" w:hAnsi="Tahoma" w:cs="Tahoma"/>
              </w:rPr>
            </w:pPr>
            <w:r w:rsidRPr="00B81E7B">
              <w:rPr>
                <w:rFonts w:ascii="Tahoma" w:hAnsi="Tahoma" w:cs="Tahoma"/>
              </w:rPr>
              <w:t>Rozwiązanie musi zapewniać ochronę stacji roboczych przed zagrożeniami związanymi z korzystaniem z przeglądarki internetowej, stron WWW, pobieranych plików oraz uruchamianych treści. Zamawiający dopuszcza rozwiązanie, które nie posiada odrębnej funkcji analizy skryptów uruchamianych bezpośrednio w przeglądarce internetowej, pod warunkiem że zapewnia równoważny poziom ochrony poprzez reputacyjną ochronę stron WWW, blokowanie stron szkodliwych, phishingowych lub o niskiej reputacji, kontrolę i skanowanie pobieranych plików, ochronę behawioralną oraz mechanizmy EPP/EDR lub mechanizmy równoważne. Zamawiający nie wymaga, aby analiza skryptów była realizowana jako odrębny, nazwany moduł ochrony przeglądarki internetowej, o ile rozwiązanie umożliwia wykrywanie, blokowanie lub rejestrowanie podejrzanych działań skryptów, procesów, aplikacji, plików lub następstw ich uruchomienia.</w:t>
            </w:r>
          </w:p>
          <w:p w14:paraId="420E9324"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Umożliwiać ochronę podczas przeglądania sieci Internet na podstawie badania reputacji witryn. Ochrona oparta na reputacji stron internetowych ma umożliwiać blokowanie dostępu do stron o niskiej reputacji, co zmniejsza ryzyko infekcji złośliwym oprogramowaniem.</w:t>
            </w:r>
          </w:p>
          <w:p w14:paraId="442FB175"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 xml:space="preserve">Umożliwiać blokowanie dostępu do kategorii witryn WWW, które są skatalogowane przez systemy producenta.  </w:t>
            </w:r>
          </w:p>
          <w:p w14:paraId="74B7A620"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Powiadamiać użytkownika za pomocą komunikatu w przeglądarce internetowej, w przypadku próby przejścia na witrynę znajdującą się w zablokowanej przez administratora kategorii.</w:t>
            </w:r>
          </w:p>
          <w:p w14:paraId="446D048C"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 xml:space="preserve">Umożliwiać blokowanie witryn na podstawie kategorii zarówno dla protokołu HTTP, jak i HTTPS.   </w:t>
            </w:r>
          </w:p>
          <w:p w14:paraId="2554507E"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lastRenderedPageBreak/>
              <w:t>Być wyposażone w mechanizm aktualizacji aplikacji, umożliwiający instalację dostępnych poprawek dla systemu operacyjnego oraz aplikacji zainstalowanych na stacjach roboczych. Mechanizm ten musi zapewniać aktualizację systemów i aplikacji, co minimalizuje ryzyko wykorzystania znanych luk w zabezpieczeniach.</w:t>
            </w:r>
          </w:p>
          <w:p w14:paraId="2EA0BF40"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Posiadać moduł, który okresowo skanuje aplikacje zainstalowane na stacjach roboczych i umożliwia ich aktualizację do najnowszych wersji. Automatyczne skanowanie i aktualizowanie aplikacji musi zapewniać, że wszystkie zainstalowane programy są na bieżąco z najnowszymi poprawkami.</w:t>
            </w:r>
          </w:p>
          <w:p w14:paraId="67D5CD0B"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Umożliwiać administratorowi określenie, kiedy i jakie aktualizacje mają zostać zainstalowane automatycznie. Elastyczność w zarządzaniu harmonogramem aktualizacji musi pozwalać administratorowi na kontrolowanie procesu aktualizacji i dostosowanie go do potrzeb organizacji, minimalizując zakłócenia w pracy systemu.</w:t>
            </w:r>
          </w:p>
          <w:p w14:paraId="10281430"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 xml:space="preserve">Umożliwiać administratorowi uruchomienie aktualizacji dla systemu operacyjnego oraz aplikacji znajdujących się na hostach na żądanie, zarówno dla wybranych hostów, jak i wszystkich hostów w infrastrukturze. Funkcja ta musi pozwalać na natychmiastową reakcję na krytyczne zagrożenia poprzez szybkie wdrożenie aktualizacji na wszystkich lub wybranych urządzeniach. </w:t>
            </w:r>
          </w:p>
          <w:p w14:paraId="6C9B2C35"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 xml:space="preserve">Umożliwiać administratorowi wymuszenie automatycznego restartu hosta, wymuszenie restartu po określonym czasie lub wyświetlenie komunikatu użytkownikowi o konieczności restartu, jeśli aktualizacja systemu operacyjnego lub aplikacji wymaga ponownego uruchomienia hosta. Opcje zarządzania restartem hostów po aktualizacji mają zapewniać elastyczność w planowaniu działań naprawczych, umożliwiając </w:t>
            </w:r>
            <w:r w:rsidRPr="2848D7CF">
              <w:rPr>
                <w:rFonts w:ascii="Tahoma" w:hAnsi="Tahoma" w:cs="Tahoma"/>
              </w:rPr>
              <w:lastRenderedPageBreak/>
              <w:t>zarówno automatyczne, jak i ręczne decyzje o ponownym uruchomieniu systemu.</w:t>
            </w:r>
          </w:p>
          <w:p w14:paraId="17FBE4FE"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Realizować mechanizm aktualizacji aplikacji (patch management) jako dedykowany proces, który nie wymaga uprawnień administratora lokalnego do instalacji poprawek. Dedykowany proces instalacji poprawek musi zwiększać bezpieczeństwo i efektywność zarządzania aktualizacjami, eliminując konieczność nadawania podwyższonych uprawnień użytkownikom końcowym.</w:t>
            </w:r>
          </w:p>
          <w:p w14:paraId="358CA1F1"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 xml:space="preserve"> Umożliwiać administratorowi definiowanie aplikacji, które nie podlegają aktualizacji, poprzez dodanie ich do listy wykluczeń w konsoli zarządzającej. </w:t>
            </w:r>
          </w:p>
          <w:p w14:paraId="6F2D60D5"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 xml:space="preserve">Prezentować w systemie centralnego zarządzania listę niezaktualizowanych aplikacji na wszystkich chronionych hostach lub listę nieaktualizowanego oprogramowania dla pojedynczej stacji końcowej. </w:t>
            </w:r>
          </w:p>
          <w:p w14:paraId="3AE8B3C1"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Umożliwiać blokowanie wybranych przez administratora urządzeń zewnętrznych podłączanych do stacji końcowych. Funkcja ta musi zapewniać kontrolę nad podłączaniem urządzeń zewnętrznych, co minimalizuje ryzyko nieautoryzowanego dostępu lub złośliwego oprogramowania.</w:t>
            </w:r>
          </w:p>
          <w:p w14:paraId="0C44CE01"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Wspierać kontrolę nad urządzeniami zewnętrznymi, w tym m.in. pamięci masowe,  czytniki kart pamięci. Dzięki temu musi być zapewniona kompleksowa ochrona przed zagrożeniami związanymi z szeroką gamą urządzeń zewnętrznych, które mogą być podłączane do stacji roboczych.</w:t>
            </w:r>
          </w:p>
          <w:p w14:paraId="469FBC80"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 xml:space="preserve">Umożliwiać zdefiniowanie listy zaufanych urządzeń, które będą automatycznie akceptowane podczas podłączania do stacji końcowych i nie będą blokowane. </w:t>
            </w:r>
          </w:p>
          <w:p w14:paraId="790F66EB"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lastRenderedPageBreak/>
              <w:t>Tworzyć listę zaufanych urządzeń co najmniej na podstawie nazwy urządzenia oraz identyfikatora sprzętowego. To rozwiązanie musi umożliwiać precyzyjne definiowanie urządzeń, które mogą być używane bez ograniczeń, zwiększając bezpieczeństwo i kontrolę nad zewnętrznymi nośnikami danych.</w:t>
            </w:r>
          </w:p>
          <w:p w14:paraId="5EEC3F34"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Posiadać możliwość blokady zapisywania plików na zewnętrznych dyskach USB, umożliwiając jedynie tryb odczytu. Blokowanie zapisu na zewnętrznych nośnikach danych musi minimalizować ryzyko nieautoryzowanego wycieku danych, jednocześnie umożliwiając bezpieczny dostęp do plików zapisanych na tych urządzeniach.</w:t>
            </w:r>
          </w:p>
          <w:p w14:paraId="28419538"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Umożliwiać blokadę uruchamiania plików wykonywalnych z nośników pamięci, jednocześnie pozwalając na korzystanie z pozostałych danych zapisanych na tych nośnikach. Funkcja ta musi zapewniać ochronę przed złośliwym oprogramowaniem uruchamianym z nośników pamięci, jednocześnie umożliwiając bezpieczny dostęp do innych plików.</w:t>
            </w:r>
          </w:p>
          <w:p w14:paraId="77064B53"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W przypadku wykrycia szkodliwego działania ransomware, blokować aktywność szkodliwego procesu oraz przywracać pliki zaszyfrowane przez ransomware do ich oryginalnej formy i lokalizacji. Ta funkcja musi zapewniać natychmiastową reakcję na zagrożenie i minimalizować ryzyko utraty danych w wyniku działania złośliwego oprogramowania.</w:t>
            </w:r>
          </w:p>
          <w:p w14:paraId="4784A204"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Posiadać możliwość pracy modułu w trybie monitorowania (bez blokowania), przekazując administratorowi informacje o próbach modyfikacji plików w chronionych folderach. Tryb monitorowania musi pozwalać administratorowi na monitorowanie aktywności wrażliwych folderów bez automatycznej interwencji, co wspiera analizę działań i potencjalnych zagrożeń.</w:t>
            </w:r>
          </w:p>
          <w:p w14:paraId="46485ED3" w14:textId="77777777" w:rsidR="000A0DB9" w:rsidRPr="00844D15"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lastRenderedPageBreak/>
              <w:t>Umożliwiać administratorowi dowolne zdefiniowanie dodatkowych folderów zawierających wrażliwe dane użytkownika, które będą objęte ochroną antyransomware. Elastyczność w definiowaniu chronionych folderów musi zapewniać skuteczną ochronę najważniejszych danych w organizacji, zgodnie z polityką bezpieczeństwa.</w:t>
            </w:r>
          </w:p>
          <w:p w14:paraId="616AA9A7"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Umożliwiać zdefiniowanie zaufanych folderów, z których uruchamiane aplikacje będą miały możliwość modyfikowania plików w folderach chronionych. Ta funkcja musi umożliwiać precyzyjne zarządzanie dostępem do chronionych danych, zapewniając, że tylko aplikacje uruchamiane z określonych, zaufanych miejsc mogą modyfikować pliki objęte ochroną.</w:t>
            </w:r>
          </w:p>
          <w:p w14:paraId="53FB662D"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Automatycznie wykrywać zaufane aplikacje, które będą miały dostęp do plików w chronionych folderach, oraz umożliwiać administratorowi ręczne wskazanie zaufanych aplikacji. Automatyczne wykrywanie oraz możliwość ręcznego definiowania zaufanych aplikacji musi pozwalać na precyzyjne kontrolowanie, które programy mogą modyfikować chronione pliki.</w:t>
            </w:r>
          </w:p>
          <w:p w14:paraId="6E8BA583" w14:textId="77777777" w:rsidR="000A0DB9" w:rsidRDefault="000A0DB9" w:rsidP="2848D7CF">
            <w:pPr>
              <w:pStyle w:val="Akapitzlist"/>
              <w:numPr>
                <w:ilvl w:val="0"/>
                <w:numId w:val="20"/>
              </w:numPr>
              <w:spacing w:before="240" w:after="240" w:line="276" w:lineRule="auto"/>
              <w:ind w:left="0" w:firstLine="3"/>
              <w:jc w:val="both"/>
              <w:rPr>
                <w:rFonts w:ascii="Tahoma" w:hAnsi="Tahoma" w:cs="Tahoma"/>
              </w:rPr>
            </w:pPr>
            <w:r w:rsidRPr="2848D7CF">
              <w:rPr>
                <w:rFonts w:ascii="Tahoma" w:hAnsi="Tahoma" w:cs="Tahoma"/>
              </w:rPr>
              <w:t>Pozwalać na tworzenie reguł dotyczących czynności, takich jak uruchamianie aplikacji, ładowanie modułów, uruchamianie instalatorów oraz dostęp do plików. Możliwość definiowania reguł dla różnych działań aplikacji musi pozwalać na pełną kontrolę nad działaniami wykonywanymi na stacjach roboczych, zwiększając ochronę przed nieautoryzowanymi działaniami.</w:t>
            </w:r>
          </w:p>
          <w:p w14:paraId="7E597245" w14:textId="77777777" w:rsidR="000A0DB9" w:rsidRPr="00F850AA" w:rsidRDefault="000A0DB9" w:rsidP="2848D7CF">
            <w:pPr>
              <w:spacing w:before="240" w:after="240" w:line="276" w:lineRule="auto"/>
              <w:jc w:val="both"/>
              <w:rPr>
                <w:rFonts w:ascii="Tahoma" w:hAnsi="Tahoma" w:cs="Tahoma"/>
              </w:rPr>
            </w:pPr>
            <w:r w:rsidRPr="2848D7CF">
              <w:rPr>
                <w:rFonts w:ascii="Tahoma" w:hAnsi="Tahoma" w:cs="Tahoma"/>
              </w:rPr>
              <w:t>Zamawiający dopuszcza rozwiązania równoważne funkcjonalnie, także wtedy, gdy część wyżej wymienionych wymaganych funkcji realizowana jest odmiennym mechanizmem technicznym, o ile zapewniony zostanie ten sam lub wyższy poziom bezpieczeństwa</w:t>
            </w:r>
          </w:p>
        </w:tc>
      </w:tr>
      <w:tr w:rsidR="000A0DB9" w14:paraId="3B9FA91E" w14:textId="77777777" w:rsidTr="27CD0593">
        <w:trPr>
          <w:trHeight w:val="300"/>
        </w:trPr>
        <w:tc>
          <w:tcPr>
            <w:tcW w:w="720" w:type="dxa"/>
            <w:vAlign w:val="center"/>
          </w:tcPr>
          <w:p w14:paraId="34A108A9" w14:textId="0710508C" w:rsidR="000A0DB9" w:rsidRDefault="000A0DB9" w:rsidP="00621BB1">
            <w:pPr>
              <w:jc w:val="both"/>
              <w:rPr>
                <w:rFonts w:ascii="Tahoma" w:eastAsia="Aptos" w:hAnsi="Tahoma" w:cs="Tahoma"/>
                <w:b/>
                <w:bCs/>
              </w:rPr>
            </w:pPr>
            <w:r w:rsidRPr="2848D7CF">
              <w:rPr>
                <w:rFonts w:ascii="Tahoma" w:eastAsia="Aptos" w:hAnsi="Tahoma" w:cs="Tahoma"/>
                <w:b/>
                <w:bCs/>
              </w:rPr>
              <w:lastRenderedPageBreak/>
              <w:t>1</w:t>
            </w:r>
            <w:r w:rsidR="0AF9AC3A" w:rsidRPr="2848D7CF">
              <w:rPr>
                <w:rFonts w:ascii="Tahoma" w:eastAsia="Aptos" w:hAnsi="Tahoma" w:cs="Tahoma"/>
                <w:b/>
                <w:bCs/>
              </w:rPr>
              <w:t>0</w:t>
            </w:r>
          </w:p>
        </w:tc>
        <w:tc>
          <w:tcPr>
            <w:tcW w:w="2745" w:type="dxa"/>
            <w:vAlign w:val="center"/>
          </w:tcPr>
          <w:p w14:paraId="20D60354" w14:textId="77777777" w:rsidR="000A0DB9" w:rsidRDefault="000A0DB9" w:rsidP="00621BB1">
            <w:pPr>
              <w:rPr>
                <w:rFonts w:ascii="Tahoma" w:eastAsia="Aptos" w:hAnsi="Tahoma" w:cs="Tahoma"/>
                <w:b/>
                <w:bCs/>
              </w:rPr>
            </w:pPr>
            <w:r w:rsidRPr="55658CA3">
              <w:rPr>
                <w:rFonts w:ascii="Tahoma" w:eastAsia="Aptos" w:hAnsi="Tahoma" w:cs="Tahoma"/>
                <w:b/>
                <w:bCs/>
              </w:rPr>
              <w:t>Dokumentacja</w:t>
            </w:r>
          </w:p>
        </w:tc>
        <w:tc>
          <w:tcPr>
            <w:tcW w:w="5550" w:type="dxa"/>
          </w:tcPr>
          <w:p w14:paraId="4D4A6F61" w14:textId="77777777" w:rsidR="000A0DB9" w:rsidRDefault="000A0DB9" w:rsidP="2848D7CF">
            <w:pPr>
              <w:spacing w:line="276" w:lineRule="auto"/>
              <w:jc w:val="both"/>
              <w:rPr>
                <w:rFonts w:ascii="Tahoma" w:eastAsia="Aptos" w:hAnsi="Tahoma" w:cs="Tahoma"/>
              </w:rPr>
            </w:pPr>
            <w:r w:rsidRPr="2848D7CF">
              <w:rPr>
                <w:rFonts w:ascii="Tahoma" w:eastAsia="Aptos" w:hAnsi="Tahoma" w:cs="Tahoma"/>
              </w:rPr>
              <w:t>Wykonawca musi udostępnić pełną dokumentację techniczną rozwiązania EDR np. w postaci pliku PDF, linku do strony internetowej. Dokumentacja powinna zawierać informacje dotyczące instalacji, konfiguracji, zarządzania, a także wszystkich funkcjonalności oferowanego rozwiązania. Dokumentacja musi być dostępna w języku polskim lub angielskim.</w:t>
            </w:r>
          </w:p>
        </w:tc>
      </w:tr>
    </w:tbl>
    <w:p w14:paraId="6D099571" w14:textId="17257223" w:rsidR="000A73E2" w:rsidRPr="000A73E2" w:rsidRDefault="000A73E2" w:rsidP="000A73E2"/>
    <w:sectPr w:rsidR="000A73E2" w:rsidRPr="000A73E2"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81849" w14:textId="77777777" w:rsidR="008D5C64" w:rsidRDefault="008D5C64">
      <w:r>
        <w:separator/>
      </w:r>
    </w:p>
  </w:endnote>
  <w:endnote w:type="continuationSeparator" w:id="0">
    <w:p w14:paraId="58A69BF7" w14:textId="77777777" w:rsidR="008D5C64" w:rsidRDefault="008D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AC3144B"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A0DB9">
      <w:rPr>
        <w:rFonts w:asciiTheme="minorHAnsi" w:hAnsiTheme="minorHAnsi" w:cstheme="minorHAnsi"/>
        <w:noProof/>
        <w:sz w:val="10"/>
        <w:szCs w:val="10"/>
      </w:rPr>
      <w:drawing>
        <wp:anchor distT="0" distB="0" distL="114300" distR="114300" simplePos="0" relativeHeight="251658752" behindDoc="1" locked="0" layoutInCell="0" allowOverlap="1" wp14:anchorId="323B3CE1" wp14:editId="40D65D38">
          <wp:simplePos x="0" y="0"/>
          <wp:positionH relativeFrom="margin">
            <wp:posOffset>-768350</wp:posOffset>
          </wp:positionH>
          <wp:positionV relativeFrom="margin">
            <wp:posOffset>6109335</wp:posOffset>
          </wp:positionV>
          <wp:extent cx="6120130" cy="2679065"/>
          <wp:effectExtent l="0" t="0" r="0" b="6985"/>
          <wp:wrapNone/>
          <wp:docPr id="41292576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C31A6" w14:textId="77777777" w:rsidR="008D5C64" w:rsidRDefault="008D5C64">
      <w:r>
        <w:separator/>
      </w:r>
    </w:p>
  </w:footnote>
  <w:footnote w:type="continuationSeparator" w:id="0">
    <w:p w14:paraId="09B7861F" w14:textId="77777777" w:rsidR="008D5C64" w:rsidRDefault="008D5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F882"/>
    <w:multiLevelType w:val="hybridMultilevel"/>
    <w:tmpl w:val="72103A98"/>
    <w:lvl w:ilvl="0" w:tplc="4950D886">
      <w:start w:val="1"/>
      <w:numFmt w:val="decimal"/>
      <w:lvlText w:val="%1."/>
      <w:lvlJc w:val="left"/>
      <w:pPr>
        <w:ind w:left="720" w:hanging="360"/>
      </w:pPr>
    </w:lvl>
    <w:lvl w:ilvl="1" w:tplc="0B68D6E2">
      <w:start w:val="1"/>
      <w:numFmt w:val="lowerLetter"/>
      <w:lvlText w:val="%2."/>
      <w:lvlJc w:val="left"/>
      <w:pPr>
        <w:ind w:left="1440" w:hanging="360"/>
      </w:pPr>
    </w:lvl>
    <w:lvl w:ilvl="2" w:tplc="3AF2E286">
      <w:start w:val="1"/>
      <w:numFmt w:val="lowerRoman"/>
      <w:lvlText w:val="%3."/>
      <w:lvlJc w:val="right"/>
      <w:pPr>
        <w:ind w:left="2160" w:hanging="180"/>
      </w:pPr>
    </w:lvl>
    <w:lvl w:ilvl="3" w:tplc="F4786A16">
      <w:start w:val="1"/>
      <w:numFmt w:val="decimal"/>
      <w:lvlText w:val="%4."/>
      <w:lvlJc w:val="left"/>
      <w:pPr>
        <w:ind w:left="2880" w:hanging="360"/>
      </w:pPr>
    </w:lvl>
    <w:lvl w:ilvl="4" w:tplc="48B6CBB0">
      <w:start w:val="1"/>
      <w:numFmt w:val="lowerLetter"/>
      <w:lvlText w:val="%5."/>
      <w:lvlJc w:val="left"/>
      <w:pPr>
        <w:ind w:left="3600" w:hanging="360"/>
      </w:pPr>
    </w:lvl>
    <w:lvl w:ilvl="5" w:tplc="9308FF2E">
      <w:start w:val="1"/>
      <w:numFmt w:val="lowerRoman"/>
      <w:lvlText w:val="%6."/>
      <w:lvlJc w:val="right"/>
      <w:pPr>
        <w:ind w:left="4320" w:hanging="180"/>
      </w:pPr>
    </w:lvl>
    <w:lvl w:ilvl="6" w:tplc="0CBE16D4">
      <w:start w:val="1"/>
      <w:numFmt w:val="decimal"/>
      <w:lvlText w:val="%7."/>
      <w:lvlJc w:val="left"/>
      <w:pPr>
        <w:ind w:left="5040" w:hanging="360"/>
      </w:pPr>
    </w:lvl>
    <w:lvl w:ilvl="7" w:tplc="289E921C">
      <w:start w:val="1"/>
      <w:numFmt w:val="lowerLetter"/>
      <w:lvlText w:val="%8."/>
      <w:lvlJc w:val="left"/>
      <w:pPr>
        <w:ind w:left="5760" w:hanging="360"/>
      </w:pPr>
    </w:lvl>
    <w:lvl w:ilvl="8" w:tplc="B100FC86">
      <w:start w:val="1"/>
      <w:numFmt w:val="lowerRoman"/>
      <w:lvlText w:val="%9."/>
      <w:lvlJc w:val="right"/>
      <w:pPr>
        <w:ind w:left="6480" w:hanging="180"/>
      </w:pPr>
    </w:lvl>
  </w:abstractNum>
  <w:abstractNum w:abstractNumId="1"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CAA97A"/>
    <w:multiLevelType w:val="hybridMultilevel"/>
    <w:tmpl w:val="FF8C5652"/>
    <w:lvl w:ilvl="0" w:tplc="22AECAAE">
      <w:start w:val="1"/>
      <w:numFmt w:val="bullet"/>
      <w:lvlText w:val="-"/>
      <w:lvlJc w:val="left"/>
      <w:pPr>
        <w:ind w:left="1080" w:hanging="360"/>
      </w:pPr>
      <w:rPr>
        <w:rFonts w:ascii="Aptos" w:hAnsi="Aptos" w:hint="default"/>
      </w:rPr>
    </w:lvl>
    <w:lvl w:ilvl="1" w:tplc="2AC8C39A">
      <w:start w:val="1"/>
      <w:numFmt w:val="bullet"/>
      <w:lvlText w:val="o"/>
      <w:lvlJc w:val="left"/>
      <w:pPr>
        <w:ind w:left="1800" w:hanging="360"/>
      </w:pPr>
      <w:rPr>
        <w:rFonts w:ascii="Courier New" w:hAnsi="Courier New" w:hint="default"/>
      </w:rPr>
    </w:lvl>
    <w:lvl w:ilvl="2" w:tplc="7A02FDA8">
      <w:start w:val="1"/>
      <w:numFmt w:val="bullet"/>
      <w:lvlText w:val=""/>
      <w:lvlJc w:val="left"/>
      <w:pPr>
        <w:ind w:left="2520" w:hanging="360"/>
      </w:pPr>
      <w:rPr>
        <w:rFonts w:ascii="Wingdings" w:hAnsi="Wingdings" w:hint="default"/>
      </w:rPr>
    </w:lvl>
    <w:lvl w:ilvl="3" w:tplc="AEC2EF2A">
      <w:start w:val="1"/>
      <w:numFmt w:val="bullet"/>
      <w:lvlText w:val=""/>
      <w:lvlJc w:val="left"/>
      <w:pPr>
        <w:ind w:left="3240" w:hanging="360"/>
      </w:pPr>
      <w:rPr>
        <w:rFonts w:ascii="Symbol" w:hAnsi="Symbol" w:hint="default"/>
      </w:rPr>
    </w:lvl>
    <w:lvl w:ilvl="4" w:tplc="BD1C92C2">
      <w:start w:val="1"/>
      <w:numFmt w:val="bullet"/>
      <w:lvlText w:val="o"/>
      <w:lvlJc w:val="left"/>
      <w:pPr>
        <w:ind w:left="3960" w:hanging="360"/>
      </w:pPr>
      <w:rPr>
        <w:rFonts w:ascii="Courier New" w:hAnsi="Courier New" w:hint="default"/>
      </w:rPr>
    </w:lvl>
    <w:lvl w:ilvl="5" w:tplc="99E8D180">
      <w:start w:val="1"/>
      <w:numFmt w:val="bullet"/>
      <w:lvlText w:val=""/>
      <w:lvlJc w:val="left"/>
      <w:pPr>
        <w:ind w:left="4680" w:hanging="360"/>
      </w:pPr>
      <w:rPr>
        <w:rFonts w:ascii="Wingdings" w:hAnsi="Wingdings" w:hint="default"/>
      </w:rPr>
    </w:lvl>
    <w:lvl w:ilvl="6" w:tplc="97A8994E">
      <w:start w:val="1"/>
      <w:numFmt w:val="bullet"/>
      <w:lvlText w:val=""/>
      <w:lvlJc w:val="left"/>
      <w:pPr>
        <w:ind w:left="5400" w:hanging="360"/>
      </w:pPr>
      <w:rPr>
        <w:rFonts w:ascii="Symbol" w:hAnsi="Symbol" w:hint="default"/>
      </w:rPr>
    </w:lvl>
    <w:lvl w:ilvl="7" w:tplc="E9A88FC4">
      <w:start w:val="1"/>
      <w:numFmt w:val="bullet"/>
      <w:lvlText w:val="o"/>
      <w:lvlJc w:val="left"/>
      <w:pPr>
        <w:ind w:left="6120" w:hanging="360"/>
      </w:pPr>
      <w:rPr>
        <w:rFonts w:ascii="Courier New" w:hAnsi="Courier New" w:hint="default"/>
      </w:rPr>
    </w:lvl>
    <w:lvl w:ilvl="8" w:tplc="C91CB25C">
      <w:start w:val="1"/>
      <w:numFmt w:val="bullet"/>
      <w:lvlText w:val=""/>
      <w:lvlJc w:val="left"/>
      <w:pPr>
        <w:ind w:left="6840" w:hanging="360"/>
      </w:pPr>
      <w:rPr>
        <w:rFonts w:ascii="Wingdings" w:hAnsi="Wingdings" w:hint="default"/>
      </w:rPr>
    </w:lvl>
  </w:abstractNum>
  <w:abstractNum w:abstractNumId="3"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70DCA5"/>
    <w:multiLevelType w:val="hybridMultilevel"/>
    <w:tmpl w:val="66C2A7E2"/>
    <w:lvl w:ilvl="0" w:tplc="0D1AE222">
      <w:start w:val="1"/>
      <w:numFmt w:val="bullet"/>
      <w:lvlText w:val=""/>
      <w:lvlJc w:val="left"/>
      <w:pPr>
        <w:ind w:left="1080" w:hanging="360"/>
      </w:pPr>
      <w:rPr>
        <w:rFonts w:ascii="Symbol" w:hAnsi="Symbol" w:hint="default"/>
      </w:rPr>
    </w:lvl>
    <w:lvl w:ilvl="1" w:tplc="F1389CD8">
      <w:start w:val="1"/>
      <w:numFmt w:val="bullet"/>
      <w:lvlText w:val="o"/>
      <w:lvlJc w:val="left"/>
      <w:pPr>
        <w:ind w:left="1800" w:hanging="360"/>
      </w:pPr>
      <w:rPr>
        <w:rFonts w:ascii="Courier New" w:hAnsi="Courier New" w:hint="default"/>
      </w:rPr>
    </w:lvl>
    <w:lvl w:ilvl="2" w:tplc="7FBE04CA">
      <w:start w:val="1"/>
      <w:numFmt w:val="bullet"/>
      <w:lvlText w:val=""/>
      <w:lvlJc w:val="left"/>
      <w:pPr>
        <w:ind w:left="2520" w:hanging="360"/>
      </w:pPr>
      <w:rPr>
        <w:rFonts w:ascii="Wingdings" w:hAnsi="Wingdings" w:hint="default"/>
      </w:rPr>
    </w:lvl>
    <w:lvl w:ilvl="3" w:tplc="1B98FF66">
      <w:start w:val="1"/>
      <w:numFmt w:val="bullet"/>
      <w:lvlText w:val=""/>
      <w:lvlJc w:val="left"/>
      <w:pPr>
        <w:ind w:left="3240" w:hanging="360"/>
      </w:pPr>
      <w:rPr>
        <w:rFonts w:ascii="Symbol" w:hAnsi="Symbol" w:hint="default"/>
      </w:rPr>
    </w:lvl>
    <w:lvl w:ilvl="4" w:tplc="A7F60BFA">
      <w:start w:val="1"/>
      <w:numFmt w:val="bullet"/>
      <w:lvlText w:val="o"/>
      <w:lvlJc w:val="left"/>
      <w:pPr>
        <w:ind w:left="3960" w:hanging="360"/>
      </w:pPr>
      <w:rPr>
        <w:rFonts w:ascii="Courier New" w:hAnsi="Courier New" w:hint="default"/>
      </w:rPr>
    </w:lvl>
    <w:lvl w:ilvl="5" w:tplc="C88ACEF0">
      <w:start w:val="1"/>
      <w:numFmt w:val="bullet"/>
      <w:lvlText w:val=""/>
      <w:lvlJc w:val="left"/>
      <w:pPr>
        <w:ind w:left="4680" w:hanging="360"/>
      </w:pPr>
      <w:rPr>
        <w:rFonts w:ascii="Wingdings" w:hAnsi="Wingdings" w:hint="default"/>
      </w:rPr>
    </w:lvl>
    <w:lvl w:ilvl="6" w:tplc="4998BA92">
      <w:start w:val="1"/>
      <w:numFmt w:val="bullet"/>
      <w:lvlText w:val=""/>
      <w:lvlJc w:val="left"/>
      <w:pPr>
        <w:ind w:left="5400" w:hanging="360"/>
      </w:pPr>
      <w:rPr>
        <w:rFonts w:ascii="Symbol" w:hAnsi="Symbol" w:hint="default"/>
      </w:rPr>
    </w:lvl>
    <w:lvl w:ilvl="7" w:tplc="F52087FE">
      <w:start w:val="1"/>
      <w:numFmt w:val="bullet"/>
      <w:lvlText w:val="o"/>
      <w:lvlJc w:val="left"/>
      <w:pPr>
        <w:ind w:left="6120" w:hanging="360"/>
      </w:pPr>
      <w:rPr>
        <w:rFonts w:ascii="Courier New" w:hAnsi="Courier New" w:hint="default"/>
      </w:rPr>
    </w:lvl>
    <w:lvl w:ilvl="8" w:tplc="AE28CA5A">
      <w:start w:val="1"/>
      <w:numFmt w:val="bullet"/>
      <w:lvlText w:val=""/>
      <w:lvlJc w:val="left"/>
      <w:pPr>
        <w:ind w:left="6840" w:hanging="360"/>
      </w:pPr>
      <w:rPr>
        <w:rFonts w:ascii="Wingdings" w:hAnsi="Wingdings" w:hint="default"/>
      </w:rPr>
    </w:lvl>
  </w:abstractNum>
  <w:abstractNum w:abstractNumId="5" w15:restartNumberingAfterBreak="0">
    <w:nsid w:val="0F8B9411"/>
    <w:multiLevelType w:val="hybridMultilevel"/>
    <w:tmpl w:val="E902AD38"/>
    <w:lvl w:ilvl="0" w:tplc="D5B66420">
      <w:start w:val="1"/>
      <w:numFmt w:val="bullet"/>
      <w:lvlText w:val="-"/>
      <w:lvlJc w:val="left"/>
      <w:pPr>
        <w:ind w:left="1080" w:hanging="360"/>
      </w:pPr>
      <w:rPr>
        <w:rFonts w:ascii="Aptos" w:hAnsi="Aptos" w:hint="default"/>
      </w:rPr>
    </w:lvl>
    <w:lvl w:ilvl="1" w:tplc="7CC40AA4">
      <w:start w:val="1"/>
      <w:numFmt w:val="bullet"/>
      <w:lvlText w:val="o"/>
      <w:lvlJc w:val="left"/>
      <w:pPr>
        <w:ind w:left="1800" w:hanging="360"/>
      </w:pPr>
      <w:rPr>
        <w:rFonts w:ascii="Courier New" w:hAnsi="Courier New" w:hint="default"/>
      </w:rPr>
    </w:lvl>
    <w:lvl w:ilvl="2" w:tplc="8DCAF7A8">
      <w:start w:val="1"/>
      <w:numFmt w:val="bullet"/>
      <w:lvlText w:val=""/>
      <w:lvlJc w:val="left"/>
      <w:pPr>
        <w:ind w:left="2520" w:hanging="360"/>
      </w:pPr>
      <w:rPr>
        <w:rFonts w:ascii="Wingdings" w:hAnsi="Wingdings" w:hint="default"/>
      </w:rPr>
    </w:lvl>
    <w:lvl w:ilvl="3" w:tplc="76D41D00">
      <w:start w:val="1"/>
      <w:numFmt w:val="bullet"/>
      <w:lvlText w:val=""/>
      <w:lvlJc w:val="left"/>
      <w:pPr>
        <w:ind w:left="3240" w:hanging="360"/>
      </w:pPr>
      <w:rPr>
        <w:rFonts w:ascii="Symbol" w:hAnsi="Symbol" w:hint="default"/>
      </w:rPr>
    </w:lvl>
    <w:lvl w:ilvl="4" w:tplc="DACED244">
      <w:start w:val="1"/>
      <w:numFmt w:val="bullet"/>
      <w:lvlText w:val="o"/>
      <w:lvlJc w:val="left"/>
      <w:pPr>
        <w:ind w:left="3960" w:hanging="360"/>
      </w:pPr>
      <w:rPr>
        <w:rFonts w:ascii="Courier New" w:hAnsi="Courier New" w:hint="default"/>
      </w:rPr>
    </w:lvl>
    <w:lvl w:ilvl="5" w:tplc="35127560">
      <w:start w:val="1"/>
      <w:numFmt w:val="bullet"/>
      <w:lvlText w:val=""/>
      <w:lvlJc w:val="left"/>
      <w:pPr>
        <w:ind w:left="4680" w:hanging="360"/>
      </w:pPr>
      <w:rPr>
        <w:rFonts w:ascii="Wingdings" w:hAnsi="Wingdings" w:hint="default"/>
      </w:rPr>
    </w:lvl>
    <w:lvl w:ilvl="6" w:tplc="6B2CEF42">
      <w:start w:val="1"/>
      <w:numFmt w:val="bullet"/>
      <w:lvlText w:val=""/>
      <w:lvlJc w:val="left"/>
      <w:pPr>
        <w:ind w:left="5400" w:hanging="360"/>
      </w:pPr>
      <w:rPr>
        <w:rFonts w:ascii="Symbol" w:hAnsi="Symbol" w:hint="default"/>
      </w:rPr>
    </w:lvl>
    <w:lvl w:ilvl="7" w:tplc="7B6089AE">
      <w:start w:val="1"/>
      <w:numFmt w:val="bullet"/>
      <w:lvlText w:val="o"/>
      <w:lvlJc w:val="left"/>
      <w:pPr>
        <w:ind w:left="6120" w:hanging="360"/>
      </w:pPr>
      <w:rPr>
        <w:rFonts w:ascii="Courier New" w:hAnsi="Courier New" w:hint="default"/>
      </w:rPr>
    </w:lvl>
    <w:lvl w:ilvl="8" w:tplc="3CD422DA">
      <w:start w:val="1"/>
      <w:numFmt w:val="bullet"/>
      <w:lvlText w:val=""/>
      <w:lvlJc w:val="left"/>
      <w:pPr>
        <w:ind w:left="6840" w:hanging="360"/>
      </w:pPr>
      <w:rPr>
        <w:rFonts w:ascii="Wingdings" w:hAnsi="Wingdings" w:hint="default"/>
      </w:rPr>
    </w:lvl>
  </w:abstractNum>
  <w:abstractNum w:abstractNumId="6"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7" w15:restartNumberingAfterBreak="0">
    <w:nsid w:val="10B12E25"/>
    <w:multiLevelType w:val="hybridMultilevel"/>
    <w:tmpl w:val="CE3EAA64"/>
    <w:lvl w:ilvl="0" w:tplc="4A564C8C">
      <w:start w:val="1"/>
      <w:numFmt w:val="bullet"/>
      <w:lvlText w:val=""/>
      <w:lvlJc w:val="left"/>
      <w:pPr>
        <w:ind w:left="720" w:hanging="360"/>
      </w:pPr>
      <w:rPr>
        <w:rFonts w:ascii="Symbol" w:hAnsi="Symbol" w:hint="default"/>
      </w:rPr>
    </w:lvl>
    <w:lvl w:ilvl="1" w:tplc="0F72DB0A">
      <w:start w:val="1"/>
      <w:numFmt w:val="bullet"/>
      <w:lvlText w:val="o"/>
      <w:lvlJc w:val="left"/>
      <w:pPr>
        <w:ind w:left="1440" w:hanging="360"/>
      </w:pPr>
      <w:rPr>
        <w:rFonts w:ascii="Courier New" w:hAnsi="Courier New" w:hint="default"/>
      </w:rPr>
    </w:lvl>
    <w:lvl w:ilvl="2" w:tplc="C178AA98">
      <w:start w:val="1"/>
      <w:numFmt w:val="bullet"/>
      <w:lvlText w:val=""/>
      <w:lvlJc w:val="left"/>
      <w:pPr>
        <w:ind w:left="2160" w:hanging="360"/>
      </w:pPr>
      <w:rPr>
        <w:rFonts w:ascii="Wingdings" w:hAnsi="Wingdings" w:hint="default"/>
      </w:rPr>
    </w:lvl>
    <w:lvl w:ilvl="3" w:tplc="06A8C116">
      <w:start w:val="1"/>
      <w:numFmt w:val="bullet"/>
      <w:lvlText w:val=""/>
      <w:lvlJc w:val="left"/>
      <w:pPr>
        <w:ind w:left="2880" w:hanging="360"/>
      </w:pPr>
      <w:rPr>
        <w:rFonts w:ascii="Symbol" w:hAnsi="Symbol" w:hint="default"/>
      </w:rPr>
    </w:lvl>
    <w:lvl w:ilvl="4" w:tplc="19845BE8">
      <w:start w:val="1"/>
      <w:numFmt w:val="bullet"/>
      <w:lvlText w:val="o"/>
      <w:lvlJc w:val="left"/>
      <w:pPr>
        <w:ind w:left="3600" w:hanging="360"/>
      </w:pPr>
      <w:rPr>
        <w:rFonts w:ascii="Courier New" w:hAnsi="Courier New" w:hint="default"/>
      </w:rPr>
    </w:lvl>
    <w:lvl w:ilvl="5" w:tplc="36D26420">
      <w:start w:val="1"/>
      <w:numFmt w:val="bullet"/>
      <w:lvlText w:val=""/>
      <w:lvlJc w:val="left"/>
      <w:pPr>
        <w:ind w:left="4320" w:hanging="360"/>
      </w:pPr>
      <w:rPr>
        <w:rFonts w:ascii="Wingdings" w:hAnsi="Wingdings" w:hint="default"/>
      </w:rPr>
    </w:lvl>
    <w:lvl w:ilvl="6" w:tplc="777E8514">
      <w:start w:val="1"/>
      <w:numFmt w:val="bullet"/>
      <w:lvlText w:val=""/>
      <w:lvlJc w:val="left"/>
      <w:pPr>
        <w:ind w:left="5040" w:hanging="360"/>
      </w:pPr>
      <w:rPr>
        <w:rFonts w:ascii="Symbol" w:hAnsi="Symbol" w:hint="default"/>
      </w:rPr>
    </w:lvl>
    <w:lvl w:ilvl="7" w:tplc="E4DA1E20">
      <w:start w:val="1"/>
      <w:numFmt w:val="bullet"/>
      <w:lvlText w:val="o"/>
      <w:lvlJc w:val="left"/>
      <w:pPr>
        <w:ind w:left="5760" w:hanging="360"/>
      </w:pPr>
      <w:rPr>
        <w:rFonts w:ascii="Courier New" w:hAnsi="Courier New" w:hint="default"/>
      </w:rPr>
    </w:lvl>
    <w:lvl w:ilvl="8" w:tplc="001211B0">
      <w:start w:val="1"/>
      <w:numFmt w:val="bullet"/>
      <w:lvlText w:val=""/>
      <w:lvlJc w:val="left"/>
      <w:pPr>
        <w:ind w:left="6480" w:hanging="360"/>
      </w:pPr>
      <w:rPr>
        <w:rFonts w:ascii="Wingdings" w:hAnsi="Wingdings" w:hint="default"/>
      </w:rPr>
    </w:lvl>
  </w:abstractNum>
  <w:abstractNum w:abstractNumId="8"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9"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EE8753"/>
    <w:multiLevelType w:val="hybridMultilevel"/>
    <w:tmpl w:val="03DC69C6"/>
    <w:lvl w:ilvl="0" w:tplc="5B961FC6">
      <w:start w:val="1"/>
      <w:numFmt w:val="bullet"/>
      <w:lvlText w:val="-"/>
      <w:lvlJc w:val="left"/>
      <w:pPr>
        <w:ind w:left="1080" w:hanging="360"/>
      </w:pPr>
      <w:rPr>
        <w:rFonts w:ascii="Aptos" w:hAnsi="Aptos" w:hint="default"/>
      </w:rPr>
    </w:lvl>
    <w:lvl w:ilvl="1" w:tplc="659C68E6">
      <w:start w:val="1"/>
      <w:numFmt w:val="bullet"/>
      <w:lvlText w:val="o"/>
      <w:lvlJc w:val="left"/>
      <w:pPr>
        <w:ind w:left="1800" w:hanging="360"/>
      </w:pPr>
      <w:rPr>
        <w:rFonts w:ascii="Courier New" w:hAnsi="Courier New" w:hint="default"/>
      </w:rPr>
    </w:lvl>
    <w:lvl w:ilvl="2" w:tplc="95848C72">
      <w:start w:val="1"/>
      <w:numFmt w:val="bullet"/>
      <w:lvlText w:val=""/>
      <w:lvlJc w:val="left"/>
      <w:pPr>
        <w:ind w:left="2520" w:hanging="360"/>
      </w:pPr>
      <w:rPr>
        <w:rFonts w:ascii="Wingdings" w:hAnsi="Wingdings" w:hint="default"/>
      </w:rPr>
    </w:lvl>
    <w:lvl w:ilvl="3" w:tplc="6DF26AA0">
      <w:start w:val="1"/>
      <w:numFmt w:val="bullet"/>
      <w:lvlText w:val=""/>
      <w:lvlJc w:val="left"/>
      <w:pPr>
        <w:ind w:left="3240" w:hanging="360"/>
      </w:pPr>
      <w:rPr>
        <w:rFonts w:ascii="Symbol" w:hAnsi="Symbol" w:hint="default"/>
      </w:rPr>
    </w:lvl>
    <w:lvl w:ilvl="4" w:tplc="F8BC1128">
      <w:start w:val="1"/>
      <w:numFmt w:val="bullet"/>
      <w:lvlText w:val="o"/>
      <w:lvlJc w:val="left"/>
      <w:pPr>
        <w:ind w:left="3960" w:hanging="360"/>
      </w:pPr>
      <w:rPr>
        <w:rFonts w:ascii="Courier New" w:hAnsi="Courier New" w:hint="default"/>
      </w:rPr>
    </w:lvl>
    <w:lvl w:ilvl="5" w:tplc="AD7AC0EE">
      <w:start w:val="1"/>
      <w:numFmt w:val="bullet"/>
      <w:lvlText w:val=""/>
      <w:lvlJc w:val="left"/>
      <w:pPr>
        <w:ind w:left="4680" w:hanging="360"/>
      </w:pPr>
      <w:rPr>
        <w:rFonts w:ascii="Wingdings" w:hAnsi="Wingdings" w:hint="default"/>
      </w:rPr>
    </w:lvl>
    <w:lvl w:ilvl="6" w:tplc="DC266058">
      <w:start w:val="1"/>
      <w:numFmt w:val="bullet"/>
      <w:lvlText w:val=""/>
      <w:lvlJc w:val="left"/>
      <w:pPr>
        <w:ind w:left="5400" w:hanging="360"/>
      </w:pPr>
      <w:rPr>
        <w:rFonts w:ascii="Symbol" w:hAnsi="Symbol" w:hint="default"/>
      </w:rPr>
    </w:lvl>
    <w:lvl w:ilvl="7" w:tplc="6F4AF1F8">
      <w:start w:val="1"/>
      <w:numFmt w:val="bullet"/>
      <w:lvlText w:val="o"/>
      <w:lvlJc w:val="left"/>
      <w:pPr>
        <w:ind w:left="6120" w:hanging="360"/>
      </w:pPr>
      <w:rPr>
        <w:rFonts w:ascii="Courier New" w:hAnsi="Courier New" w:hint="default"/>
      </w:rPr>
    </w:lvl>
    <w:lvl w:ilvl="8" w:tplc="59EAF7F4">
      <w:start w:val="1"/>
      <w:numFmt w:val="bullet"/>
      <w:lvlText w:val=""/>
      <w:lvlJc w:val="left"/>
      <w:pPr>
        <w:ind w:left="6840" w:hanging="360"/>
      </w:pPr>
      <w:rPr>
        <w:rFonts w:ascii="Wingdings" w:hAnsi="Wingdings" w:hint="default"/>
      </w:rPr>
    </w:lvl>
  </w:abstractNum>
  <w:abstractNum w:abstractNumId="11"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8A5F09"/>
    <w:multiLevelType w:val="multilevel"/>
    <w:tmpl w:val="6924E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CD8315"/>
    <w:multiLevelType w:val="hybridMultilevel"/>
    <w:tmpl w:val="57DAC2EE"/>
    <w:lvl w:ilvl="0" w:tplc="D206B8E2">
      <w:start w:val="1"/>
      <w:numFmt w:val="bullet"/>
      <w:lvlText w:val="-"/>
      <w:lvlJc w:val="left"/>
      <w:pPr>
        <w:ind w:left="1080" w:hanging="360"/>
      </w:pPr>
      <w:rPr>
        <w:rFonts w:ascii="Aptos" w:hAnsi="Aptos" w:hint="default"/>
      </w:rPr>
    </w:lvl>
    <w:lvl w:ilvl="1" w:tplc="63E6D26E">
      <w:start w:val="1"/>
      <w:numFmt w:val="bullet"/>
      <w:lvlText w:val="o"/>
      <w:lvlJc w:val="left"/>
      <w:pPr>
        <w:ind w:left="1800" w:hanging="360"/>
      </w:pPr>
      <w:rPr>
        <w:rFonts w:ascii="Courier New" w:hAnsi="Courier New" w:hint="default"/>
      </w:rPr>
    </w:lvl>
    <w:lvl w:ilvl="2" w:tplc="644E89EE">
      <w:start w:val="1"/>
      <w:numFmt w:val="bullet"/>
      <w:lvlText w:val=""/>
      <w:lvlJc w:val="left"/>
      <w:pPr>
        <w:ind w:left="2520" w:hanging="360"/>
      </w:pPr>
      <w:rPr>
        <w:rFonts w:ascii="Wingdings" w:hAnsi="Wingdings" w:hint="default"/>
      </w:rPr>
    </w:lvl>
    <w:lvl w:ilvl="3" w:tplc="0E982FEA">
      <w:start w:val="1"/>
      <w:numFmt w:val="bullet"/>
      <w:lvlText w:val=""/>
      <w:lvlJc w:val="left"/>
      <w:pPr>
        <w:ind w:left="3240" w:hanging="360"/>
      </w:pPr>
      <w:rPr>
        <w:rFonts w:ascii="Symbol" w:hAnsi="Symbol" w:hint="default"/>
      </w:rPr>
    </w:lvl>
    <w:lvl w:ilvl="4" w:tplc="A21C79EA">
      <w:start w:val="1"/>
      <w:numFmt w:val="bullet"/>
      <w:lvlText w:val="o"/>
      <w:lvlJc w:val="left"/>
      <w:pPr>
        <w:ind w:left="3960" w:hanging="360"/>
      </w:pPr>
      <w:rPr>
        <w:rFonts w:ascii="Courier New" w:hAnsi="Courier New" w:hint="default"/>
      </w:rPr>
    </w:lvl>
    <w:lvl w:ilvl="5" w:tplc="693EDA16">
      <w:start w:val="1"/>
      <w:numFmt w:val="bullet"/>
      <w:lvlText w:val=""/>
      <w:lvlJc w:val="left"/>
      <w:pPr>
        <w:ind w:left="4680" w:hanging="360"/>
      </w:pPr>
      <w:rPr>
        <w:rFonts w:ascii="Wingdings" w:hAnsi="Wingdings" w:hint="default"/>
      </w:rPr>
    </w:lvl>
    <w:lvl w:ilvl="6" w:tplc="09127BB6">
      <w:start w:val="1"/>
      <w:numFmt w:val="bullet"/>
      <w:lvlText w:val=""/>
      <w:lvlJc w:val="left"/>
      <w:pPr>
        <w:ind w:left="5400" w:hanging="360"/>
      </w:pPr>
      <w:rPr>
        <w:rFonts w:ascii="Symbol" w:hAnsi="Symbol" w:hint="default"/>
      </w:rPr>
    </w:lvl>
    <w:lvl w:ilvl="7" w:tplc="615EB168">
      <w:start w:val="1"/>
      <w:numFmt w:val="bullet"/>
      <w:lvlText w:val="o"/>
      <w:lvlJc w:val="left"/>
      <w:pPr>
        <w:ind w:left="6120" w:hanging="360"/>
      </w:pPr>
      <w:rPr>
        <w:rFonts w:ascii="Courier New" w:hAnsi="Courier New" w:hint="default"/>
      </w:rPr>
    </w:lvl>
    <w:lvl w:ilvl="8" w:tplc="88F48CC6">
      <w:start w:val="1"/>
      <w:numFmt w:val="bullet"/>
      <w:lvlText w:val=""/>
      <w:lvlJc w:val="left"/>
      <w:pPr>
        <w:ind w:left="6840" w:hanging="360"/>
      </w:pPr>
      <w:rPr>
        <w:rFonts w:ascii="Wingdings" w:hAnsi="Wingdings" w:hint="default"/>
      </w:rPr>
    </w:lvl>
  </w:abstractNum>
  <w:abstractNum w:abstractNumId="14"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15"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441DDC"/>
    <w:multiLevelType w:val="hybridMultilevel"/>
    <w:tmpl w:val="C75488BC"/>
    <w:lvl w:ilvl="0" w:tplc="0240B12C">
      <w:start w:val="1"/>
      <w:numFmt w:val="decimal"/>
      <w:lvlText w:val="%1."/>
      <w:lvlJc w:val="left"/>
      <w:pPr>
        <w:ind w:left="720" w:hanging="360"/>
      </w:pPr>
    </w:lvl>
    <w:lvl w:ilvl="1" w:tplc="9092CE16">
      <w:start w:val="1"/>
      <w:numFmt w:val="lowerLetter"/>
      <w:lvlText w:val="%2."/>
      <w:lvlJc w:val="left"/>
      <w:pPr>
        <w:ind w:left="1440" w:hanging="360"/>
      </w:pPr>
    </w:lvl>
    <w:lvl w:ilvl="2" w:tplc="D0DAF42A">
      <w:start w:val="1"/>
      <w:numFmt w:val="lowerRoman"/>
      <w:lvlText w:val="%3."/>
      <w:lvlJc w:val="right"/>
      <w:pPr>
        <w:ind w:left="2160" w:hanging="180"/>
      </w:pPr>
    </w:lvl>
    <w:lvl w:ilvl="3" w:tplc="B212F65C">
      <w:start w:val="1"/>
      <w:numFmt w:val="decimal"/>
      <w:lvlText w:val="%4."/>
      <w:lvlJc w:val="left"/>
      <w:pPr>
        <w:ind w:left="2880" w:hanging="360"/>
      </w:pPr>
    </w:lvl>
    <w:lvl w:ilvl="4" w:tplc="B1689548">
      <w:start w:val="1"/>
      <w:numFmt w:val="lowerLetter"/>
      <w:lvlText w:val="%5."/>
      <w:lvlJc w:val="left"/>
      <w:pPr>
        <w:ind w:left="3600" w:hanging="360"/>
      </w:pPr>
    </w:lvl>
    <w:lvl w:ilvl="5" w:tplc="68784572">
      <w:start w:val="1"/>
      <w:numFmt w:val="lowerRoman"/>
      <w:lvlText w:val="%6."/>
      <w:lvlJc w:val="right"/>
      <w:pPr>
        <w:ind w:left="4320" w:hanging="180"/>
      </w:pPr>
    </w:lvl>
    <w:lvl w:ilvl="6" w:tplc="AFDC1FF2">
      <w:start w:val="1"/>
      <w:numFmt w:val="decimal"/>
      <w:lvlText w:val="%7."/>
      <w:lvlJc w:val="left"/>
      <w:pPr>
        <w:ind w:left="5040" w:hanging="360"/>
      </w:pPr>
    </w:lvl>
    <w:lvl w:ilvl="7" w:tplc="04B4D5E6">
      <w:start w:val="1"/>
      <w:numFmt w:val="lowerLetter"/>
      <w:lvlText w:val="%8."/>
      <w:lvlJc w:val="left"/>
      <w:pPr>
        <w:ind w:left="5760" w:hanging="360"/>
      </w:pPr>
    </w:lvl>
    <w:lvl w:ilvl="8" w:tplc="5176B0F4">
      <w:start w:val="1"/>
      <w:numFmt w:val="lowerRoman"/>
      <w:lvlText w:val="%9."/>
      <w:lvlJc w:val="right"/>
      <w:pPr>
        <w:ind w:left="6480" w:hanging="180"/>
      </w:pPr>
    </w:lvl>
  </w:abstractNum>
  <w:abstractNum w:abstractNumId="17"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554313"/>
    <w:multiLevelType w:val="hybridMultilevel"/>
    <w:tmpl w:val="2EC80AE0"/>
    <w:lvl w:ilvl="0" w:tplc="81B6B43C">
      <w:start w:val="1"/>
      <w:numFmt w:val="bullet"/>
      <w:lvlText w:val="-"/>
      <w:lvlJc w:val="left"/>
      <w:pPr>
        <w:ind w:left="1080" w:hanging="360"/>
      </w:pPr>
      <w:rPr>
        <w:rFonts w:ascii="Aptos" w:hAnsi="Aptos" w:hint="default"/>
      </w:rPr>
    </w:lvl>
    <w:lvl w:ilvl="1" w:tplc="03867C58">
      <w:start w:val="1"/>
      <w:numFmt w:val="bullet"/>
      <w:lvlText w:val="o"/>
      <w:lvlJc w:val="left"/>
      <w:pPr>
        <w:ind w:left="1800" w:hanging="360"/>
      </w:pPr>
      <w:rPr>
        <w:rFonts w:ascii="Courier New" w:hAnsi="Courier New" w:hint="default"/>
      </w:rPr>
    </w:lvl>
    <w:lvl w:ilvl="2" w:tplc="D8002F6C">
      <w:start w:val="1"/>
      <w:numFmt w:val="bullet"/>
      <w:lvlText w:val=""/>
      <w:lvlJc w:val="left"/>
      <w:pPr>
        <w:ind w:left="2520" w:hanging="360"/>
      </w:pPr>
      <w:rPr>
        <w:rFonts w:ascii="Wingdings" w:hAnsi="Wingdings" w:hint="default"/>
      </w:rPr>
    </w:lvl>
    <w:lvl w:ilvl="3" w:tplc="CD4ECCDE">
      <w:start w:val="1"/>
      <w:numFmt w:val="bullet"/>
      <w:lvlText w:val=""/>
      <w:lvlJc w:val="left"/>
      <w:pPr>
        <w:ind w:left="3240" w:hanging="360"/>
      </w:pPr>
      <w:rPr>
        <w:rFonts w:ascii="Symbol" w:hAnsi="Symbol" w:hint="default"/>
      </w:rPr>
    </w:lvl>
    <w:lvl w:ilvl="4" w:tplc="F4CE0DC2">
      <w:start w:val="1"/>
      <w:numFmt w:val="bullet"/>
      <w:lvlText w:val="o"/>
      <w:lvlJc w:val="left"/>
      <w:pPr>
        <w:ind w:left="3960" w:hanging="360"/>
      </w:pPr>
      <w:rPr>
        <w:rFonts w:ascii="Courier New" w:hAnsi="Courier New" w:hint="default"/>
      </w:rPr>
    </w:lvl>
    <w:lvl w:ilvl="5" w:tplc="10B4271C">
      <w:start w:val="1"/>
      <w:numFmt w:val="bullet"/>
      <w:lvlText w:val=""/>
      <w:lvlJc w:val="left"/>
      <w:pPr>
        <w:ind w:left="4680" w:hanging="360"/>
      </w:pPr>
      <w:rPr>
        <w:rFonts w:ascii="Wingdings" w:hAnsi="Wingdings" w:hint="default"/>
      </w:rPr>
    </w:lvl>
    <w:lvl w:ilvl="6" w:tplc="C890C06A">
      <w:start w:val="1"/>
      <w:numFmt w:val="bullet"/>
      <w:lvlText w:val=""/>
      <w:lvlJc w:val="left"/>
      <w:pPr>
        <w:ind w:left="5400" w:hanging="360"/>
      </w:pPr>
      <w:rPr>
        <w:rFonts w:ascii="Symbol" w:hAnsi="Symbol" w:hint="default"/>
      </w:rPr>
    </w:lvl>
    <w:lvl w:ilvl="7" w:tplc="2C8C4116">
      <w:start w:val="1"/>
      <w:numFmt w:val="bullet"/>
      <w:lvlText w:val="o"/>
      <w:lvlJc w:val="left"/>
      <w:pPr>
        <w:ind w:left="6120" w:hanging="360"/>
      </w:pPr>
      <w:rPr>
        <w:rFonts w:ascii="Courier New" w:hAnsi="Courier New" w:hint="default"/>
      </w:rPr>
    </w:lvl>
    <w:lvl w:ilvl="8" w:tplc="70E6BC4A">
      <w:start w:val="1"/>
      <w:numFmt w:val="bullet"/>
      <w:lvlText w:val=""/>
      <w:lvlJc w:val="left"/>
      <w:pPr>
        <w:ind w:left="6840" w:hanging="360"/>
      </w:pPr>
      <w:rPr>
        <w:rFonts w:ascii="Wingdings" w:hAnsi="Wingdings" w:hint="default"/>
      </w:rPr>
    </w:lvl>
  </w:abstractNum>
  <w:abstractNum w:abstractNumId="19" w15:restartNumberingAfterBreak="0">
    <w:nsid w:val="460ECF0E"/>
    <w:multiLevelType w:val="hybridMultilevel"/>
    <w:tmpl w:val="7C5C32D2"/>
    <w:lvl w:ilvl="0" w:tplc="ECB443AC">
      <w:start w:val="1"/>
      <w:numFmt w:val="decimal"/>
      <w:lvlText w:val="%1."/>
      <w:lvlJc w:val="left"/>
      <w:pPr>
        <w:ind w:left="720" w:hanging="360"/>
      </w:pPr>
    </w:lvl>
    <w:lvl w:ilvl="1" w:tplc="7386650E">
      <w:start w:val="1"/>
      <w:numFmt w:val="lowerLetter"/>
      <w:lvlText w:val="%2."/>
      <w:lvlJc w:val="left"/>
      <w:pPr>
        <w:ind w:left="1440" w:hanging="360"/>
      </w:pPr>
    </w:lvl>
    <w:lvl w:ilvl="2" w:tplc="42FC0E96">
      <w:start w:val="1"/>
      <w:numFmt w:val="lowerRoman"/>
      <w:lvlText w:val="%3."/>
      <w:lvlJc w:val="right"/>
      <w:pPr>
        <w:ind w:left="2160" w:hanging="180"/>
      </w:pPr>
    </w:lvl>
    <w:lvl w:ilvl="3" w:tplc="ECB47D24">
      <w:start w:val="1"/>
      <w:numFmt w:val="decimal"/>
      <w:lvlText w:val="%4."/>
      <w:lvlJc w:val="left"/>
      <w:pPr>
        <w:ind w:left="2880" w:hanging="360"/>
      </w:pPr>
    </w:lvl>
    <w:lvl w:ilvl="4" w:tplc="71FAE32C">
      <w:start w:val="1"/>
      <w:numFmt w:val="lowerLetter"/>
      <w:lvlText w:val="%5."/>
      <w:lvlJc w:val="left"/>
      <w:pPr>
        <w:ind w:left="3600" w:hanging="360"/>
      </w:pPr>
    </w:lvl>
    <w:lvl w:ilvl="5" w:tplc="BBBCB628">
      <w:start w:val="1"/>
      <w:numFmt w:val="lowerRoman"/>
      <w:lvlText w:val="%6."/>
      <w:lvlJc w:val="right"/>
      <w:pPr>
        <w:ind w:left="4320" w:hanging="180"/>
      </w:pPr>
    </w:lvl>
    <w:lvl w:ilvl="6" w:tplc="BE764CD2">
      <w:start w:val="1"/>
      <w:numFmt w:val="decimal"/>
      <w:lvlText w:val="%7."/>
      <w:lvlJc w:val="left"/>
      <w:pPr>
        <w:ind w:left="5040" w:hanging="360"/>
      </w:pPr>
    </w:lvl>
    <w:lvl w:ilvl="7" w:tplc="9EB85EDA">
      <w:start w:val="1"/>
      <w:numFmt w:val="lowerLetter"/>
      <w:lvlText w:val="%8."/>
      <w:lvlJc w:val="left"/>
      <w:pPr>
        <w:ind w:left="5760" w:hanging="360"/>
      </w:pPr>
    </w:lvl>
    <w:lvl w:ilvl="8" w:tplc="421CC120">
      <w:start w:val="1"/>
      <w:numFmt w:val="lowerRoman"/>
      <w:lvlText w:val="%9."/>
      <w:lvlJc w:val="right"/>
      <w:pPr>
        <w:ind w:left="6480" w:hanging="180"/>
      </w:pPr>
    </w:lvl>
  </w:abstractNum>
  <w:abstractNum w:abstractNumId="20"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21"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8C0DA9"/>
    <w:multiLevelType w:val="hybridMultilevel"/>
    <w:tmpl w:val="8806EED2"/>
    <w:lvl w:ilvl="0" w:tplc="75666AF8">
      <w:start w:val="1"/>
      <w:numFmt w:val="decimal"/>
      <w:lvlText w:val="%1."/>
      <w:lvlJc w:val="left"/>
      <w:pPr>
        <w:ind w:left="720" w:hanging="360"/>
      </w:pPr>
    </w:lvl>
    <w:lvl w:ilvl="1" w:tplc="2E28185C">
      <w:start w:val="1"/>
      <w:numFmt w:val="lowerLetter"/>
      <w:lvlText w:val="%2."/>
      <w:lvlJc w:val="left"/>
      <w:pPr>
        <w:ind w:left="1440" w:hanging="360"/>
      </w:pPr>
    </w:lvl>
    <w:lvl w:ilvl="2" w:tplc="F93E4C9C">
      <w:start w:val="1"/>
      <w:numFmt w:val="lowerRoman"/>
      <w:lvlText w:val="%3."/>
      <w:lvlJc w:val="right"/>
      <w:pPr>
        <w:ind w:left="2160" w:hanging="180"/>
      </w:pPr>
    </w:lvl>
    <w:lvl w:ilvl="3" w:tplc="55F28848">
      <w:start w:val="1"/>
      <w:numFmt w:val="decimal"/>
      <w:lvlText w:val="%4."/>
      <w:lvlJc w:val="left"/>
      <w:pPr>
        <w:ind w:left="2880" w:hanging="360"/>
      </w:pPr>
    </w:lvl>
    <w:lvl w:ilvl="4" w:tplc="9B2A2A90">
      <w:start w:val="1"/>
      <w:numFmt w:val="lowerLetter"/>
      <w:lvlText w:val="%5."/>
      <w:lvlJc w:val="left"/>
      <w:pPr>
        <w:ind w:left="3600" w:hanging="360"/>
      </w:pPr>
    </w:lvl>
    <w:lvl w:ilvl="5" w:tplc="1F74124C">
      <w:start w:val="1"/>
      <w:numFmt w:val="lowerRoman"/>
      <w:lvlText w:val="%6."/>
      <w:lvlJc w:val="right"/>
      <w:pPr>
        <w:ind w:left="4320" w:hanging="180"/>
      </w:pPr>
    </w:lvl>
    <w:lvl w:ilvl="6" w:tplc="2D34A1BE">
      <w:start w:val="1"/>
      <w:numFmt w:val="decimal"/>
      <w:lvlText w:val="%7."/>
      <w:lvlJc w:val="left"/>
      <w:pPr>
        <w:ind w:left="5040" w:hanging="360"/>
      </w:pPr>
    </w:lvl>
    <w:lvl w:ilvl="7" w:tplc="5F18B590">
      <w:start w:val="1"/>
      <w:numFmt w:val="lowerLetter"/>
      <w:lvlText w:val="%8."/>
      <w:lvlJc w:val="left"/>
      <w:pPr>
        <w:ind w:left="5760" w:hanging="360"/>
      </w:pPr>
    </w:lvl>
    <w:lvl w:ilvl="8" w:tplc="FC9C8EE0">
      <w:start w:val="1"/>
      <w:numFmt w:val="lowerRoman"/>
      <w:lvlText w:val="%9."/>
      <w:lvlJc w:val="right"/>
      <w:pPr>
        <w:ind w:left="6480" w:hanging="180"/>
      </w:pPr>
    </w:lvl>
  </w:abstractNum>
  <w:abstractNum w:abstractNumId="26"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20"/>
  </w:num>
  <w:num w:numId="4" w16cid:durableId="907615826">
    <w:abstractNumId w:val="14"/>
  </w:num>
  <w:num w:numId="5" w16cid:durableId="397635744">
    <w:abstractNumId w:val="27"/>
  </w:num>
  <w:num w:numId="6" w16cid:durableId="1648318210">
    <w:abstractNumId w:val="24"/>
  </w:num>
  <w:num w:numId="7" w16cid:durableId="331833269">
    <w:abstractNumId w:val="26"/>
  </w:num>
  <w:num w:numId="8" w16cid:durableId="162362834">
    <w:abstractNumId w:val="1"/>
  </w:num>
  <w:num w:numId="9" w16cid:durableId="493955748">
    <w:abstractNumId w:val="3"/>
  </w:num>
  <w:num w:numId="10" w16cid:durableId="1613436086">
    <w:abstractNumId w:val="23"/>
  </w:num>
  <w:num w:numId="11" w16cid:durableId="7873616">
    <w:abstractNumId w:val="17"/>
  </w:num>
  <w:num w:numId="12" w16cid:durableId="1726102718">
    <w:abstractNumId w:val="28"/>
  </w:num>
  <w:num w:numId="13" w16cid:durableId="333580693">
    <w:abstractNumId w:val="22"/>
  </w:num>
  <w:num w:numId="14" w16cid:durableId="1335911795">
    <w:abstractNumId w:val="15"/>
  </w:num>
  <w:num w:numId="15" w16cid:durableId="736320308">
    <w:abstractNumId w:val="11"/>
  </w:num>
  <w:num w:numId="16" w16cid:durableId="1160580737">
    <w:abstractNumId w:val="9"/>
  </w:num>
  <w:num w:numId="17" w16cid:durableId="1300263558">
    <w:abstractNumId w:val="21"/>
  </w:num>
  <w:num w:numId="18" w16cid:durableId="1731810262">
    <w:abstractNumId w:val="4"/>
  </w:num>
  <w:num w:numId="19" w16cid:durableId="1354578523">
    <w:abstractNumId w:val="7"/>
  </w:num>
  <w:num w:numId="20" w16cid:durableId="419985581">
    <w:abstractNumId w:val="16"/>
  </w:num>
  <w:num w:numId="21" w16cid:durableId="1780448113">
    <w:abstractNumId w:val="0"/>
  </w:num>
  <w:num w:numId="22" w16cid:durableId="76250691">
    <w:abstractNumId w:val="25"/>
  </w:num>
  <w:num w:numId="23" w16cid:durableId="92557678">
    <w:abstractNumId w:val="13"/>
  </w:num>
  <w:num w:numId="24" w16cid:durableId="723992434">
    <w:abstractNumId w:val="18"/>
  </w:num>
  <w:num w:numId="25" w16cid:durableId="957183610">
    <w:abstractNumId w:val="2"/>
  </w:num>
  <w:num w:numId="26" w16cid:durableId="1987782891">
    <w:abstractNumId w:val="10"/>
  </w:num>
  <w:num w:numId="27" w16cid:durableId="1789086582">
    <w:abstractNumId w:val="5"/>
  </w:num>
  <w:num w:numId="28" w16cid:durableId="840194155">
    <w:abstractNumId w:val="19"/>
  </w:num>
  <w:num w:numId="29" w16cid:durableId="18295888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603C"/>
    <w:rsid w:val="0006209D"/>
    <w:rsid w:val="00065C40"/>
    <w:rsid w:val="00094EF6"/>
    <w:rsid w:val="000A0DB9"/>
    <w:rsid w:val="000A73E2"/>
    <w:rsid w:val="000E21EF"/>
    <w:rsid w:val="0010162A"/>
    <w:rsid w:val="00141F92"/>
    <w:rsid w:val="001561C5"/>
    <w:rsid w:val="001707C7"/>
    <w:rsid w:val="0017243C"/>
    <w:rsid w:val="001B59FE"/>
    <w:rsid w:val="00214307"/>
    <w:rsid w:val="00236218"/>
    <w:rsid w:val="00250BD1"/>
    <w:rsid w:val="002571F6"/>
    <w:rsid w:val="002A6510"/>
    <w:rsid w:val="002B08FC"/>
    <w:rsid w:val="002B40F4"/>
    <w:rsid w:val="002C45A7"/>
    <w:rsid w:val="002D66BB"/>
    <w:rsid w:val="002E6BDD"/>
    <w:rsid w:val="002F66E8"/>
    <w:rsid w:val="00310274"/>
    <w:rsid w:val="003134FE"/>
    <w:rsid w:val="003165EB"/>
    <w:rsid w:val="003816DA"/>
    <w:rsid w:val="00385FFB"/>
    <w:rsid w:val="003D4C5C"/>
    <w:rsid w:val="003E5A78"/>
    <w:rsid w:val="00412555"/>
    <w:rsid w:val="00443C9A"/>
    <w:rsid w:val="00482EA3"/>
    <w:rsid w:val="004844AD"/>
    <w:rsid w:val="004D4E78"/>
    <w:rsid w:val="004E62F6"/>
    <w:rsid w:val="005115C2"/>
    <w:rsid w:val="00584532"/>
    <w:rsid w:val="005A056A"/>
    <w:rsid w:val="005B7917"/>
    <w:rsid w:val="005E22E2"/>
    <w:rsid w:val="005E77AE"/>
    <w:rsid w:val="00670180"/>
    <w:rsid w:val="006760F1"/>
    <w:rsid w:val="006D19B4"/>
    <w:rsid w:val="006E040C"/>
    <w:rsid w:val="007021C9"/>
    <w:rsid w:val="0070601C"/>
    <w:rsid w:val="007077F2"/>
    <w:rsid w:val="00735813"/>
    <w:rsid w:val="00751641"/>
    <w:rsid w:val="00756486"/>
    <w:rsid w:val="00760990"/>
    <w:rsid w:val="00761B48"/>
    <w:rsid w:val="00767196"/>
    <w:rsid w:val="00780D75"/>
    <w:rsid w:val="007A350D"/>
    <w:rsid w:val="007A5C74"/>
    <w:rsid w:val="00863B80"/>
    <w:rsid w:val="00863D3F"/>
    <w:rsid w:val="00884B1F"/>
    <w:rsid w:val="0088784C"/>
    <w:rsid w:val="008C4DE6"/>
    <w:rsid w:val="008D5C64"/>
    <w:rsid w:val="008D7C6A"/>
    <w:rsid w:val="009108D1"/>
    <w:rsid w:val="00924460"/>
    <w:rsid w:val="00984209"/>
    <w:rsid w:val="009A5797"/>
    <w:rsid w:val="009B286D"/>
    <w:rsid w:val="009B408F"/>
    <w:rsid w:val="009B56F9"/>
    <w:rsid w:val="009B7B29"/>
    <w:rsid w:val="009C4F2E"/>
    <w:rsid w:val="00A228FA"/>
    <w:rsid w:val="00A25198"/>
    <w:rsid w:val="00A27692"/>
    <w:rsid w:val="00A276DF"/>
    <w:rsid w:val="00A34049"/>
    <w:rsid w:val="00A40375"/>
    <w:rsid w:val="00A42564"/>
    <w:rsid w:val="00A82016"/>
    <w:rsid w:val="00A834F4"/>
    <w:rsid w:val="00A8394D"/>
    <w:rsid w:val="00A955D5"/>
    <w:rsid w:val="00A97B93"/>
    <w:rsid w:val="00AB4224"/>
    <w:rsid w:val="00AD274B"/>
    <w:rsid w:val="00AE404F"/>
    <w:rsid w:val="00AF3CB9"/>
    <w:rsid w:val="00AF4EB4"/>
    <w:rsid w:val="00B00820"/>
    <w:rsid w:val="00B066B2"/>
    <w:rsid w:val="00B11ECF"/>
    <w:rsid w:val="00B13E82"/>
    <w:rsid w:val="00B2502B"/>
    <w:rsid w:val="00B371AE"/>
    <w:rsid w:val="00B37C91"/>
    <w:rsid w:val="00B546E9"/>
    <w:rsid w:val="00B615FE"/>
    <w:rsid w:val="00B619ED"/>
    <w:rsid w:val="00B81E7B"/>
    <w:rsid w:val="00B82EF6"/>
    <w:rsid w:val="00BA152D"/>
    <w:rsid w:val="00BC79CC"/>
    <w:rsid w:val="00C06AC7"/>
    <w:rsid w:val="00C0733F"/>
    <w:rsid w:val="00C13123"/>
    <w:rsid w:val="00C14A13"/>
    <w:rsid w:val="00C24F21"/>
    <w:rsid w:val="00C3461A"/>
    <w:rsid w:val="00C41A18"/>
    <w:rsid w:val="00C6529D"/>
    <w:rsid w:val="00C86F17"/>
    <w:rsid w:val="00C965EE"/>
    <w:rsid w:val="00CA4211"/>
    <w:rsid w:val="00CA518A"/>
    <w:rsid w:val="00CB53C1"/>
    <w:rsid w:val="00CC431D"/>
    <w:rsid w:val="00CF1AB9"/>
    <w:rsid w:val="00CF4253"/>
    <w:rsid w:val="00D74A0C"/>
    <w:rsid w:val="00D90F86"/>
    <w:rsid w:val="00D9517D"/>
    <w:rsid w:val="00DB5B71"/>
    <w:rsid w:val="00DC0C56"/>
    <w:rsid w:val="00DD59C4"/>
    <w:rsid w:val="00E1663C"/>
    <w:rsid w:val="00E81AAD"/>
    <w:rsid w:val="00EA5546"/>
    <w:rsid w:val="00EB7791"/>
    <w:rsid w:val="00EE312E"/>
    <w:rsid w:val="00F6134F"/>
    <w:rsid w:val="00F6259C"/>
    <w:rsid w:val="00F753C2"/>
    <w:rsid w:val="00F8620F"/>
    <w:rsid w:val="00FE3AD8"/>
    <w:rsid w:val="00FF5508"/>
    <w:rsid w:val="039241CF"/>
    <w:rsid w:val="04010956"/>
    <w:rsid w:val="0AF9AC3A"/>
    <w:rsid w:val="0BF8CC9D"/>
    <w:rsid w:val="0CC3C908"/>
    <w:rsid w:val="11F79D27"/>
    <w:rsid w:val="1432A2C5"/>
    <w:rsid w:val="15C58DC2"/>
    <w:rsid w:val="15D68576"/>
    <w:rsid w:val="163E67EE"/>
    <w:rsid w:val="196152D8"/>
    <w:rsid w:val="1AA950C9"/>
    <w:rsid w:val="1E38BEBF"/>
    <w:rsid w:val="1F68C673"/>
    <w:rsid w:val="215E0FE7"/>
    <w:rsid w:val="2312F15F"/>
    <w:rsid w:val="258C7B7A"/>
    <w:rsid w:val="27CD0593"/>
    <w:rsid w:val="2848D7CF"/>
    <w:rsid w:val="28F1233D"/>
    <w:rsid w:val="29CFA801"/>
    <w:rsid w:val="2C6203C5"/>
    <w:rsid w:val="2D18CBA8"/>
    <w:rsid w:val="2D40FD49"/>
    <w:rsid w:val="2EEAAD7B"/>
    <w:rsid w:val="31BDDB1B"/>
    <w:rsid w:val="334D95A3"/>
    <w:rsid w:val="354B9206"/>
    <w:rsid w:val="362E6FC8"/>
    <w:rsid w:val="37DEAC1B"/>
    <w:rsid w:val="397C4746"/>
    <w:rsid w:val="399D5165"/>
    <w:rsid w:val="3D2670A8"/>
    <w:rsid w:val="40648ABD"/>
    <w:rsid w:val="4408F863"/>
    <w:rsid w:val="4976931B"/>
    <w:rsid w:val="4C7BA636"/>
    <w:rsid w:val="524921F9"/>
    <w:rsid w:val="532DED8D"/>
    <w:rsid w:val="5409D4AF"/>
    <w:rsid w:val="55664AAF"/>
    <w:rsid w:val="57485459"/>
    <w:rsid w:val="58A3FA7B"/>
    <w:rsid w:val="592EF528"/>
    <w:rsid w:val="5967600A"/>
    <w:rsid w:val="5E09650D"/>
    <w:rsid w:val="5E565DFF"/>
    <w:rsid w:val="6166EFEB"/>
    <w:rsid w:val="61F00008"/>
    <w:rsid w:val="6214B5DF"/>
    <w:rsid w:val="65BBF0DE"/>
    <w:rsid w:val="68CB8A8C"/>
    <w:rsid w:val="6EED8D70"/>
    <w:rsid w:val="7196E2BB"/>
    <w:rsid w:val="737FADFA"/>
    <w:rsid w:val="7A4FB2D2"/>
    <w:rsid w:val="7C1C346E"/>
    <w:rsid w:val="7F3F03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3.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4.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24</Pages>
  <Words>4811</Words>
  <Characters>28869</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33613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26</cp:revision>
  <cp:lastPrinted>2018-03-26T09:55:00Z</cp:lastPrinted>
  <dcterms:created xsi:type="dcterms:W3CDTF">2026-03-07T19:30:00Z</dcterms:created>
  <dcterms:modified xsi:type="dcterms:W3CDTF">2026-07-19T10:57:00Z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