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54A5F" w14:textId="61C6ECD5" w:rsidR="007E1175" w:rsidRPr="007E1175" w:rsidRDefault="007E1175" w:rsidP="1F2C4AA1">
      <w:pPr>
        <w:pStyle w:val="Nagwek2"/>
        <w:jc w:val="right"/>
        <w:rPr>
          <w:rFonts w:ascii="Tahoma" w:hAnsi="Tahoma" w:cs="Tahoma"/>
        </w:rPr>
      </w:pPr>
      <w:r w:rsidRPr="792F4F2F">
        <w:rPr>
          <w:rFonts w:ascii="Tahoma" w:hAnsi="Tahoma" w:cs="Tahoma"/>
        </w:rPr>
        <w:t>Załącznik nr 1</w:t>
      </w:r>
      <w:r w:rsidR="29586989" w:rsidRPr="792F4F2F">
        <w:rPr>
          <w:rFonts w:ascii="Tahoma" w:hAnsi="Tahoma" w:cs="Tahoma"/>
        </w:rPr>
        <w:t>.</w:t>
      </w:r>
      <w:r w:rsidR="00A72756">
        <w:rPr>
          <w:rFonts w:ascii="Tahoma" w:hAnsi="Tahoma" w:cs="Tahoma"/>
        </w:rPr>
        <w:t>3</w:t>
      </w:r>
    </w:p>
    <w:p w14:paraId="1D32EBEA" w14:textId="77777777" w:rsidR="007E1175" w:rsidRPr="006B1902" w:rsidRDefault="007E1175" w:rsidP="007E1175">
      <w:pPr>
        <w:pStyle w:val="Nagwek2"/>
        <w:rPr>
          <w:rFonts w:ascii="Tahoma" w:hAnsi="Tahoma" w:cs="Tahoma"/>
          <w:b w:val="0"/>
          <w:bCs/>
        </w:rPr>
      </w:pPr>
      <w:r w:rsidRPr="006B1902">
        <w:rPr>
          <w:rFonts w:ascii="Tahoma" w:hAnsi="Tahoma" w:cs="Tahoma"/>
          <w:bCs/>
        </w:rPr>
        <w:t>Wdrożenie oprogramowania antywirusowego</w:t>
      </w:r>
    </w:p>
    <w:tbl>
      <w:tblPr>
        <w:tblStyle w:val="Tabela-Siatka"/>
        <w:tblW w:w="9062" w:type="dxa"/>
        <w:tblLook w:val="04A0" w:firstRow="1" w:lastRow="0" w:firstColumn="1" w:lastColumn="0" w:noHBand="0" w:noVBand="1"/>
      </w:tblPr>
      <w:tblGrid>
        <w:gridCol w:w="795"/>
        <w:gridCol w:w="2744"/>
        <w:gridCol w:w="5523"/>
      </w:tblGrid>
      <w:tr w:rsidR="007E1175" w:rsidRPr="006B1902" w14:paraId="54D19F12" w14:textId="77777777" w:rsidTr="792F4F2F">
        <w:tc>
          <w:tcPr>
            <w:tcW w:w="795" w:type="dxa"/>
            <w:vAlign w:val="center"/>
            <w:hideMark/>
          </w:tcPr>
          <w:p w14:paraId="45913BD6" w14:textId="77777777" w:rsidR="007E1175" w:rsidRPr="006B1902" w:rsidRDefault="007E1175" w:rsidP="00621BB1">
            <w:pPr>
              <w:spacing w:after="160" w:line="278" w:lineRule="auto"/>
              <w:jc w:val="center"/>
              <w:rPr>
                <w:rFonts w:ascii="Tahoma" w:hAnsi="Tahoma" w:cs="Tahoma"/>
                <w:b/>
                <w:bCs/>
              </w:rPr>
            </w:pPr>
            <w:r w:rsidRPr="792F4F2F">
              <w:rPr>
                <w:rFonts w:ascii="Tahoma" w:hAnsi="Tahoma" w:cs="Tahoma"/>
                <w:b/>
                <w:bCs/>
              </w:rPr>
              <w:t>L.p.</w:t>
            </w:r>
          </w:p>
        </w:tc>
        <w:tc>
          <w:tcPr>
            <w:tcW w:w="2744" w:type="dxa"/>
            <w:vAlign w:val="center"/>
            <w:hideMark/>
          </w:tcPr>
          <w:p w14:paraId="6FB153AF" w14:textId="77777777" w:rsidR="007E1175" w:rsidRPr="006B1902" w:rsidRDefault="007E1175" w:rsidP="00621BB1">
            <w:pPr>
              <w:spacing w:after="160" w:line="278" w:lineRule="auto"/>
              <w:jc w:val="center"/>
              <w:rPr>
                <w:rFonts w:ascii="Tahoma" w:hAnsi="Tahoma" w:cs="Tahoma"/>
                <w:b/>
                <w:bCs/>
              </w:rPr>
            </w:pPr>
            <w:r w:rsidRPr="792F4F2F">
              <w:rPr>
                <w:rFonts w:ascii="Tahoma" w:hAnsi="Tahoma" w:cs="Tahoma"/>
                <w:b/>
                <w:bCs/>
              </w:rPr>
              <w:t>Parametr</w:t>
            </w:r>
          </w:p>
        </w:tc>
        <w:tc>
          <w:tcPr>
            <w:tcW w:w="5523" w:type="dxa"/>
          </w:tcPr>
          <w:p w14:paraId="00E463B4" w14:textId="77777777" w:rsidR="007E1175" w:rsidRPr="006B1902" w:rsidRDefault="007E1175" w:rsidP="00621BB1">
            <w:pPr>
              <w:jc w:val="center"/>
              <w:rPr>
                <w:rFonts w:ascii="Tahoma" w:hAnsi="Tahoma" w:cs="Tahoma"/>
                <w:b/>
                <w:bCs/>
              </w:rPr>
            </w:pPr>
            <w:r w:rsidRPr="006B1902">
              <w:rPr>
                <w:rFonts w:ascii="Tahoma" w:hAnsi="Tahoma" w:cs="Tahoma"/>
                <w:b/>
                <w:bCs/>
              </w:rPr>
              <w:t>Minimalne wymagania</w:t>
            </w:r>
          </w:p>
        </w:tc>
      </w:tr>
      <w:tr w:rsidR="007E1175" w:rsidRPr="006B1902" w14:paraId="3308DA99" w14:textId="77777777" w:rsidTr="792F4F2F">
        <w:tc>
          <w:tcPr>
            <w:tcW w:w="795" w:type="dxa"/>
            <w:vAlign w:val="center"/>
            <w:hideMark/>
          </w:tcPr>
          <w:p w14:paraId="08D0559A" w14:textId="77777777" w:rsidR="007E1175" w:rsidRPr="006B1902" w:rsidRDefault="007E1175" w:rsidP="792F4F2F">
            <w:pPr>
              <w:spacing w:after="160" w:line="278" w:lineRule="auto"/>
              <w:rPr>
                <w:rFonts w:ascii="Tahoma" w:hAnsi="Tahoma" w:cs="Tahoma"/>
              </w:rPr>
            </w:pPr>
            <w:r w:rsidRPr="792F4F2F">
              <w:rPr>
                <w:rFonts w:ascii="Tahoma" w:hAnsi="Tahoma" w:cs="Tahoma"/>
              </w:rPr>
              <w:t>1</w:t>
            </w:r>
          </w:p>
        </w:tc>
        <w:tc>
          <w:tcPr>
            <w:tcW w:w="2744" w:type="dxa"/>
            <w:vAlign w:val="center"/>
            <w:hideMark/>
          </w:tcPr>
          <w:p w14:paraId="3B70AEA4" w14:textId="77777777" w:rsidR="007E1175" w:rsidRPr="006B1902" w:rsidRDefault="007E1175" w:rsidP="792F4F2F">
            <w:pPr>
              <w:spacing w:after="160" w:line="278" w:lineRule="auto"/>
              <w:rPr>
                <w:rFonts w:ascii="Tahoma" w:hAnsi="Tahoma" w:cs="Tahoma"/>
              </w:rPr>
            </w:pPr>
            <w:r w:rsidRPr="792F4F2F">
              <w:rPr>
                <w:rFonts w:ascii="Tahoma" w:hAnsi="Tahoma" w:cs="Tahoma"/>
              </w:rPr>
              <w:t>Opracowanie i uzgodnienie planu wdrożenia rozwiązania</w:t>
            </w:r>
          </w:p>
        </w:tc>
        <w:tc>
          <w:tcPr>
            <w:tcW w:w="5523" w:type="dxa"/>
          </w:tcPr>
          <w:p w14:paraId="6CE89E2B" w14:textId="7CADB1C9" w:rsidR="007E1175" w:rsidRPr="006B1902" w:rsidRDefault="000B2715" w:rsidP="1F2C4AA1">
            <w:pPr>
              <w:spacing w:line="276" w:lineRule="auto"/>
              <w:jc w:val="both"/>
              <w:rPr>
                <w:rFonts w:ascii="Tahoma" w:hAnsi="Tahoma" w:cs="Tahoma"/>
              </w:rPr>
            </w:pPr>
            <w:r w:rsidRPr="000B2715">
              <w:rPr>
                <w:rFonts w:ascii="Tahoma" w:hAnsi="Tahoma" w:cs="Tahoma"/>
              </w:rPr>
              <w:t>Wykonawca przed rozpoczęciem prac przedstawi Zamawiającemu uproszczony plan wdrożenia zawierający kolejność realizacji prac, sposób uruchomienia konsoli oraz sposób instalacji agentów ochrony. Plan może zostać przekazany w formie elektronicznej i podlega akceptacji Zamawiającego.</w:t>
            </w:r>
          </w:p>
        </w:tc>
      </w:tr>
      <w:tr w:rsidR="007E1175" w:rsidRPr="006B1902" w14:paraId="7A87475A" w14:textId="77777777" w:rsidTr="792F4F2F">
        <w:tc>
          <w:tcPr>
            <w:tcW w:w="795" w:type="dxa"/>
            <w:vAlign w:val="center"/>
            <w:hideMark/>
          </w:tcPr>
          <w:p w14:paraId="75B6E689" w14:textId="77777777" w:rsidR="007E1175" w:rsidRPr="006B1902" w:rsidRDefault="007E1175" w:rsidP="792F4F2F">
            <w:pPr>
              <w:spacing w:after="160" w:line="278" w:lineRule="auto"/>
              <w:rPr>
                <w:rFonts w:ascii="Tahoma" w:hAnsi="Tahoma" w:cs="Tahoma"/>
              </w:rPr>
            </w:pPr>
            <w:r w:rsidRPr="792F4F2F">
              <w:rPr>
                <w:rFonts w:ascii="Tahoma" w:hAnsi="Tahoma" w:cs="Tahoma"/>
              </w:rPr>
              <w:t>2</w:t>
            </w:r>
          </w:p>
        </w:tc>
        <w:tc>
          <w:tcPr>
            <w:tcW w:w="2744" w:type="dxa"/>
            <w:vAlign w:val="center"/>
            <w:hideMark/>
          </w:tcPr>
          <w:p w14:paraId="04B71680" w14:textId="77777777" w:rsidR="007E1175" w:rsidRPr="006B1902" w:rsidRDefault="007E1175" w:rsidP="792F4F2F">
            <w:pPr>
              <w:spacing w:after="160" w:line="278" w:lineRule="auto"/>
              <w:rPr>
                <w:rFonts w:ascii="Tahoma" w:hAnsi="Tahoma" w:cs="Tahoma"/>
              </w:rPr>
            </w:pPr>
            <w:r w:rsidRPr="792F4F2F">
              <w:rPr>
                <w:rFonts w:ascii="Tahoma" w:hAnsi="Tahoma" w:cs="Tahoma"/>
              </w:rPr>
              <w:t>Instalacja oraz uruchomienie konsoli centralnego zarządzania</w:t>
            </w:r>
          </w:p>
        </w:tc>
        <w:tc>
          <w:tcPr>
            <w:tcW w:w="5523" w:type="dxa"/>
          </w:tcPr>
          <w:p w14:paraId="336D6082" w14:textId="77777777" w:rsidR="007C6381" w:rsidRPr="007C6381" w:rsidRDefault="007C6381" w:rsidP="007C6381">
            <w:pPr>
              <w:spacing w:line="276" w:lineRule="auto"/>
              <w:jc w:val="both"/>
              <w:rPr>
                <w:rFonts w:ascii="Tahoma" w:hAnsi="Tahoma" w:cs="Tahoma"/>
              </w:rPr>
            </w:pPr>
            <w:r w:rsidRPr="007C6381">
              <w:rPr>
                <w:rFonts w:ascii="Tahoma" w:hAnsi="Tahoma" w:cs="Tahoma"/>
              </w:rPr>
              <w:t>Wykonawca zobowiązany jest do uruchomienia i skonfigurowania centralnej konsoli zarządzającej dostarczonym oprogramowaniem antywirusowym z EDR.</w:t>
            </w:r>
          </w:p>
          <w:p w14:paraId="061C2EA0" w14:textId="77777777" w:rsidR="007C6381" w:rsidRPr="007C6381" w:rsidRDefault="007C6381" w:rsidP="007C6381">
            <w:pPr>
              <w:spacing w:line="276" w:lineRule="auto"/>
              <w:jc w:val="both"/>
              <w:rPr>
                <w:rFonts w:ascii="Tahoma" w:hAnsi="Tahoma" w:cs="Tahoma"/>
              </w:rPr>
            </w:pPr>
            <w:r w:rsidRPr="007C6381">
              <w:rPr>
                <w:rFonts w:ascii="Tahoma" w:hAnsi="Tahoma" w:cs="Tahoma"/>
              </w:rPr>
              <w:t>W przypadku konsoli instalowanej lokalnie Wykonawca zainstaluje jej komponenty w maszynie wirtualnej przygotowanej w ramach pozycji „Wdrożenie serwera pod rozwiązania bezpieczeństwa” oraz „Wdrożenie open-</w:t>
            </w:r>
            <w:proofErr w:type="spellStart"/>
            <w:r w:rsidRPr="007C6381">
              <w:rPr>
                <w:rFonts w:ascii="Tahoma" w:hAnsi="Tahoma" w:cs="Tahoma"/>
              </w:rPr>
              <w:t>source’owego</w:t>
            </w:r>
            <w:proofErr w:type="spellEnd"/>
            <w:r w:rsidRPr="007C6381">
              <w:rPr>
                <w:rFonts w:ascii="Tahoma" w:hAnsi="Tahoma" w:cs="Tahoma"/>
              </w:rPr>
              <w:t xml:space="preserve"> systemu wirtualizacji”. Niniejsza pozycja nie obejmuje konfiguracji fizycznego serwera ani instalacji platformy </w:t>
            </w:r>
            <w:proofErr w:type="spellStart"/>
            <w:r w:rsidRPr="007C6381">
              <w:rPr>
                <w:rFonts w:ascii="Tahoma" w:hAnsi="Tahoma" w:cs="Tahoma"/>
              </w:rPr>
              <w:t>wirtualizacyjnej</w:t>
            </w:r>
            <w:proofErr w:type="spellEnd"/>
            <w:r w:rsidRPr="007C6381">
              <w:rPr>
                <w:rFonts w:ascii="Tahoma" w:hAnsi="Tahoma" w:cs="Tahoma"/>
              </w:rPr>
              <w:t>.</w:t>
            </w:r>
          </w:p>
          <w:p w14:paraId="023569F9" w14:textId="77777777" w:rsidR="007C6381" w:rsidRPr="007C6381" w:rsidRDefault="007C6381" w:rsidP="007C6381">
            <w:pPr>
              <w:spacing w:line="276" w:lineRule="auto"/>
              <w:jc w:val="both"/>
              <w:rPr>
                <w:rFonts w:ascii="Tahoma" w:hAnsi="Tahoma" w:cs="Tahoma"/>
              </w:rPr>
            </w:pPr>
            <w:r w:rsidRPr="007C6381">
              <w:rPr>
                <w:rFonts w:ascii="Tahoma" w:hAnsi="Tahoma" w:cs="Tahoma"/>
              </w:rPr>
              <w:t>W przypadku konsoli chmurowej Wykonawca utworzy środowisko przeznaczone dla Zamawiającego, skonfiguruje dostęp administracyjny oraz wszystkie wymagane ustawienia organizacji.</w:t>
            </w:r>
          </w:p>
          <w:p w14:paraId="240887ED" w14:textId="734B6833" w:rsidR="007E1175" w:rsidRPr="006B1902" w:rsidRDefault="007C6381" w:rsidP="3A1A3ADB">
            <w:pPr>
              <w:spacing w:line="276" w:lineRule="auto"/>
              <w:jc w:val="both"/>
              <w:rPr>
                <w:rFonts w:ascii="Tahoma" w:hAnsi="Tahoma" w:cs="Tahoma"/>
              </w:rPr>
            </w:pPr>
            <w:r w:rsidRPr="007C6381">
              <w:rPr>
                <w:rFonts w:ascii="Tahoma" w:hAnsi="Tahoma" w:cs="Tahoma"/>
              </w:rPr>
              <w:lastRenderedPageBreak/>
              <w:t>Niezależnie od zastosowanego modelu Wykonawca musi zweryfikować poprawność działania konsoli oraz komunikacji pomiędzy konsolą i 31 chronionymi stacjami komputerowymi.</w:t>
            </w:r>
          </w:p>
          <w:p w14:paraId="7EE6E25F" w14:textId="0549CB82" w:rsidR="007E1175" w:rsidRPr="006B1902" w:rsidRDefault="4FEEB38F" w:rsidP="3A1A3ADB">
            <w:pPr>
              <w:spacing w:line="276" w:lineRule="auto"/>
              <w:jc w:val="both"/>
            </w:pPr>
            <w:r w:rsidRPr="792F4F2F">
              <w:rPr>
                <w:rFonts w:ascii="Tahoma" w:eastAsia="Tahoma" w:hAnsi="Tahoma" w:cs="Tahoma"/>
              </w:rPr>
              <w:t>W przypadku zaoferowania rozwiązania działającego w modelu chmurowym Wykonawca zobowiązany jest do zapewnienia, że uruchomienie i konfiguracja usługi obejmują co najmniej: utworzenie i przygotowanie środowiska usługowego dla Zamawiającego, konfigurację dostępu administracyjnego, konfigurację podstawowych polityk bezpieczeństwa, weryfikację komunikacji z chronionymi stacjami roboczymi oraz przekazanie Zamawiającemu informacji niezbędnych do administrowania usługą. Wdrożenie w modelu chmurowym nie może ograniczać funkcjonalności wymaganych w Załączniku nr 1</w:t>
            </w:r>
            <w:r w:rsidR="66A63D8A" w:rsidRPr="792F4F2F">
              <w:rPr>
                <w:rFonts w:ascii="Tahoma" w:eastAsia="Tahoma" w:hAnsi="Tahoma" w:cs="Tahoma"/>
              </w:rPr>
              <w:t>.</w:t>
            </w:r>
            <w:r w:rsidR="00B171DF">
              <w:rPr>
                <w:rFonts w:ascii="Tahoma" w:eastAsia="Tahoma" w:hAnsi="Tahoma" w:cs="Tahoma"/>
              </w:rPr>
              <w:t>2</w:t>
            </w:r>
            <w:r w:rsidRPr="792F4F2F">
              <w:rPr>
                <w:rFonts w:ascii="Tahoma" w:eastAsia="Tahoma" w:hAnsi="Tahoma" w:cs="Tahoma"/>
              </w:rPr>
              <w:t xml:space="preserve"> ani możliwości zarządzania rozwiązaniem przez Zamawiającego.</w:t>
            </w:r>
          </w:p>
        </w:tc>
      </w:tr>
      <w:tr w:rsidR="007E1175" w:rsidRPr="006B1902" w14:paraId="1D284EE8" w14:textId="77777777" w:rsidTr="792F4F2F">
        <w:tc>
          <w:tcPr>
            <w:tcW w:w="795" w:type="dxa"/>
            <w:vAlign w:val="center"/>
            <w:hideMark/>
          </w:tcPr>
          <w:p w14:paraId="32C936D1" w14:textId="77777777" w:rsidR="007E1175" w:rsidRPr="006B1902" w:rsidRDefault="007E1175" w:rsidP="792F4F2F">
            <w:pPr>
              <w:spacing w:after="160" w:line="278" w:lineRule="auto"/>
              <w:rPr>
                <w:rFonts w:ascii="Tahoma" w:hAnsi="Tahoma" w:cs="Tahoma"/>
              </w:rPr>
            </w:pPr>
            <w:r w:rsidRPr="792F4F2F">
              <w:rPr>
                <w:rFonts w:ascii="Tahoma" w:hAnsi="Tahoma" w:cs="Tahoma"/>
              </w:rPr>
              <w:lastRenderedPageBreak/>
              <w:t>3</w:t>
            </w:r>
          </w:p>
        </w:tc>
        <w:tc>
          <w:tcPr>
            <w:tcW w:w="2744" w:type="dxa"/>
            <w:vAlign w:val="center"/>
            <w:hideMark/>
          </w:tcPr>
          <w:p w14:paraId="6C48B1C9" w14:textId="77777777" w:rsidR="007E1175" w:rsidRPr="006B1902" w:rsidRDefault="007E1175" w:rsidP="792F4F2F">
            <w:pPr>
              <w:spacing w:after="160" w:line="278" w:lineRule="auto"/>
              <w:rPr>
                <w:rFonts w:ascii="Tahoma" w:hAnsi="Tahoma" w:cs="Tahoma"/>
              </w:rPr>
            </w:pPr>
            <w:r w:rsidRPr="792F4F2F">
              <w:rPr>
                <w:rFonts w:ascii="Tahoma" w:hAnsi="Tahoma" w:cs="Tahoma"/>
              </w:rPr>
              <w:t>Konfiguracja systemu oraz kont administracyjnych</w:t>
            </w:r>
          </w:p>
        </w:tc>
        <w:tc>
          <w:tcPr>
            <w:tcW w:w="5523" w:type="dxa"/>
          </w:tcPr>
          <w:p w14:paraId="7964EB54" w14:textId="77777777" w:rsidR="007C6381" w:rsidRDefault="007E1175" w:rsidP="1F2C4AA1">
            <w:pPr>
              <w:spacing w:line="276" w:lineRule="auto"/>
              <w:jc w:val="both"/>
              <w:rPr>
                <w:rFonts w:ascii="Tahoma" w:hAnsi="Tahoma" w:cs="Tahoma"/>
              </w:rPr>
            </w:pPr>
            <w:r w:rsidRPr="792F4F2F">
              <w:rPr>
                <w:rFonts w:ascii="Tahoma" w:hAnsi="Tahoma" w:cs="Tahoma"/>
              </w:rPr>
              <w:t xml:space="preserve">Wykonawca zobowiązany jest do przeprowadzenia konfiguracji dostarczonego systemu w zakresie niezbędnym do jego prawidłowego i bezpiecznego funkcjonowania, w tym utworzenia oraz konfiguracji kont administracyjnych umożliwiających zarządzanie rozwiązaniem przez Zamawiającego. </w:t>
            </w:r>
          </w:p>
          <w:p w14:paraId="3BD95F43" w14:textId="0B37DEA4" w:rsidR="007E1175" w:rsidRPr="006B1902" w:rsidRDefault="007C6381" w:rsidP="1F2C4AA1">
            <w:pPr>
              <w:spacing w:line="276" w:lineRule="auto"/>
              <w:jc w:val="both"/>
              <w:rPr>
                <w:rFonts w:ascii="Tahoma" w:hAnsi="Tahoma" w:cs="Tahoma"/>
              </w:rPr>
            </w:pPr>
            <w:r w:rsidRPr="007C6381">
              <w:rPr>
                <w:rFonts w:ascii="Tahoma" w:hAnsi="Tahoma" w:cs="Tahoma"/>
              </w:rPr>
              <w:t xml:space="preserve">Konfiguracja musi obejmować utworzenie co najmniej dwóch imiennych kont administracyjnych wskazanych przez Zamawiającego, przypisanie im odpowiednich ról i zakresów uprawnień oraz weryfikację możliwości zarządzania systemem z poziomu centralnej konsoli. Niedopuszczalne jest </w:t>
            </w:r>
            <w:r w:rsidRPr="007C6381">
              <w:rPr>
                <w:rFonts w:ascii="Tahoma" w:hAnsi="Tahoma" w:cs="Tahoma"/>
              </w:rPr>
              <w:lastRenderedPageBreak/>
              <w:t>korzystanie przez administratorów Zamawiającego ze wspólnego konta administracyjnego.</w:t>
            </w:r>
          </w:p>
        </w:tc>
      </w:tr>
      <w:tr w:rsidR="007E1175" w:rsidRPr="006B1902" w14:paraId="198764FD" w14:textId="77777777" w:rsidTr="792F4F2F">
        <w:tc>
          <w:tcPr>
            <w:tcW w:w="795" w:type="dxa"/>
            <w:vAlign w:val="center"/>
            <w:hideMark/>
          </w:tcPr>
          <w:p w14:paraId="2E67CB49" w14:textId="77777777" w:rsidR="007E1175" w:rsidRPr="006B1902" w:rsidRDefault="007E1175" w:rsidP="792F4F2F">
            <w:pPr>
              <w:spacing w:after="160" w:line="278" w:lineRule="auto"/>
              <w:rPr>
                <w:rFonts w:ascii="Tahoma" w:hAnsi="Tahoma" w:cs="Tahoma"/>
              </w:rPr>
            </w:pPr>
            <w:r w:rsidRPr="792F4F2F">
              <w:rPr>
                <w:rFonts w:ascii="Tahoma" w:hAnsi="Tahoma" w:cs="Tahoma"/>
              </w:rPr>
              <w:lastRenderedPageBreak/>
              <w:t>4</w:t>
            </w:r>
          </w:p>
        </w:tc>
        <w:tc>
          <w:tcPr>
            <w:tcW w:w="2744" w:type="dxa"/>
            <w:vAlign w:val="center"/>
            <w:hideMark/>
          </w:tcPr>
          <w:p w14:paraId="5EEE816A" w14:textId="77777777" w:rsidR="007E1175" w:rsidRPr="006B1902" w:rsidRDefault="007E1175" w:rsidP="792F4F2F">
            <w:pPr>
              <w:spacing w:after="160" w:line="278" w:lineRule="auto"/>
              <w:rPr>
                <w:rFonts w:ascii="Tahoma" w:hAnsi="Tahoma" w:cs="Tahoma"/>
              </w:rPr>
            </w:pPr>
            <w:r w:rsidRPr="792F4F2F">
              <w:rPr>
                <w:rFonts w:ascii="Tahoma" w:hAnsi="Tahoma" w:cs="Tahoma"/>
              </w:rPr>
              <w:t>Instalacja i aktywacja agentów ochrony na stacjach roboczych</w:t>
            </w:r>
          </w:p>
        </w:tc>
        <w:tc>
          <w:tcPr>
            <w:tcW w:w="5523" w:type="dxa"/>
          </w:tcPr>
          <w:p w14:paraId="7EE7ADCC" w14:textId="326865DB" w:rsidR="007E1175" w:rsidRPr="006B1902" w:rsidRDefault="00282672" w:rsidP="1F2C4AA1">
            <w:pPr>
              <w:spacing w:line="276" w:lineRule="auto"/>
              <w:jc w:val="both"/>
              <w:rPr>
                <w:rFonts w:ascii="Tahoma" w:hAnsi="Tahoma" w:cs="Tahoma"/>
              </w:rPr>
            </w:pPr>
            <w:r w:rsidRPr="00282672">
              <w:rPr>
                <w:rFonts w:ascii="Tahoma" w:hAnsi="Tahoma" w:cs="Tahoma"/>
              </w:rPr>
              <w:t>Wykonawca zobowiązany jest do zainstalowania i aktywowania agentów oprogramowania antywirusowego z EDR na 31 stacjach komputerowych objętych licencją dostarczoną zgodnie z Załącznikiem nr 1.2.</w:t>
            </w:r>
          </w:p>
          <w:p w14:paraId="190379B3" w14:textId="77777777" w:rsidR="007E1175" w:rsidRDefault="007E1175" w:rsidP="1F2C4AA1">
            <w:pPr>
              <w:spacing w:line="276" w:lineRule="auto"/>
              <w:jc w:val="both"/>
              <w:rPr>
                <w:rFonts w:ascii="Tahoma" w:hAnsi="Tahoma" w:cs="Tahoma"/>
              </w:rPr>
            </w:pPr>
            <w:r w:rsidRPr="1F2C4AA1">
              <w:rPr>
                <w:rFonts w:ascii="Tahoma" w:hAnsi="Tahoma" w:cs="Tahoma"/>
              </w:rPr>
              <w:t>Proces instalacji musi zapewniać pełną funkcjonalność rozwiązania, w tym monitorowanie stacji końcowych, zbieranie danych bezpieczeństwa oraz ich bezpieczne przesyłanie do konsoli zarządzającej lub infrastruktury przetwarzania danych producenta. Po zakończeniu instalacji Wykonawca zobowiązany jest do weryfikacji poprawności działania agentów oraz ich widoczności w systemie centralnego zarządzania, zgodnie z wymaganiami określonymi w OPZ.</w:t>
            </w:r>
          </w:p>
          <w:p w14:paraId="356094FB" w14:textId="77777777" w:rsidR="007E1175" w:rsidRDefault="007E1175" w:rsidP="1F2C4AA1">
            <w:pPr>
              <w:spacing w:line="276" w:lineRule="auto"/>
              <w:jc w:val="both"/>
              <w:rPr>
                <w:rFonts w:ascii="Tahoma" w:hAnsi="Tahoma" w:cs="Tahoma"/>
              </w:rPr>
            </w:pPr>
            <w:r w:rsidRPr="1F2C4AA1">
              <w:rPr>
                <w:rFonts w:ascii="Tahoma" w:hAnsi="Tahoma" w:cs="Tahoma"/>
              </w:rPr>
              <w:t>Zamawiający dopuszcza wykorzystanie narzędzi zdalnej instalacji, jeśli oferowane rozwiązanie taką funkcję posiada.</w:t>
            </w:r>
          </w:p>
          <w:p w14:paraId="55402990" w14:textId="77777777" w:rsidR="007E1175" w:rsidRPr="006B1902" w:rsidRDefault="007E1175" w:rsidP="1F2C4AA1">
            <w:pPr>
              <w:spacing w:line="276" w:lineRule="auto"/>
              <w:jc w:val="both"/>
              <w:rPr>
                <w:rFonts w:ascii="Tahoma" w:hAnsi="Tahoma" w:cs="Tahoma"/>
              </w:rPr>
            </w:pPr>
            <w:r w:rsidRPr="1F2C4AA1">
              <w:rPr>
                <w:rFonts w:ascii="Tahoma" w:hAnsi="Tahoma" w:cs="Tahoma"/>
              </w:rPr>
              <w:t>Zamawiający zapewni uprawnienia administracyjne na stacjach roboczych niezbędne do instalacji agentów.</w:t>
            </w:r>
          </w:p>
        </w:tc>
      </w:tr>
      <w:tr w:rsidR="007E1175" w:rsidRPr="006B1902" w14:paraId="55798BC2" w14:textId="77777777" w:rsidTr="792F4F2F">
        <w:tc>
          <w:tcPr>
            <w:tcW w:w="795" w:type="dxa"/>
            <w:vAlign w:val="center"/>
            <w:hideMark/>
          </w:tcPr>
          <w:p w14:paraId="7A39F20F" w14:textId="77777777" w:rsidR="007E1175" w:rsidRPr="006B1902" w:rsidRDefault="007E1175" w:rsidP="792F4F2F">
            <w:pPr>
              <w:spacing w:after="160" w:line="278" w:lineRule="auto"/>
              <w:rPr>
                <w:rFonts w:ascii="Tahoma" w:hAnsi="Tahoma" w:cs="Tahoma"/>
              </w:rPr>
            </w:pPr>
            <w:r w:rsidRPr="792F4F2F">
              <w:rPr>
                <w:rFonts w:ascii="Tahoma" w:hAnsi="Tahoma" w:cs="Tahoma"/>
              </w:rPr>
              <w:t>5</w:t>
            </w:r>
          </w:p>
        </w:tc>
        <w:tc>
          <w:tcPr>
            <w:tcW w:w="2744" w:type="dxa"/>
            <w:vAlign w:val="center"/>
            <w:hideMark/>
          </w:tcPr>
          <w:p w14:paraId="1C08137A" w14:textId="77777777" w:rsidR="007E1175" w:rsidRPr="006B1902" w:rsidRDefault="007E1175" w:rsidP="792F4F2F">
            <w:pPr>
              <w:spacing w:after="160" w:line="278" w:lineRule="auto"/>
              <w:rPr>
                <w:rFonts w:ascii="Tahoma" w:hAnsi="Tahoma" w:cs="Tahoma"/>
              </w:rPr>
            </w:pPr>
            <w:r w:rsidRPr="792F4F2F">
              <w:rPr>
                <w:rFonts w:ascii="Tahoma" w:hAnsi="Tahoma" w:cs="Tahoma"/>
              </w:rPr>
              <w:t xml:space="preserve">Konfiguracja polityk bezpieczeństwa i mechanizmów ochrony </w:t>
            </w:r>
            <w:proofErr w:type="spellStart"/>
            <w:r w:rsidRPr="792F4F2F">
              <w:rPr>
                <w:rFonts w:ascii="Tahoma" w:hAnsi="Tahoma" w:cs="Tahoma"/>
              </w:rPr>
              <w:t>endpointów</w:t>
            </w:r>
            <w:proofErr w:type="spellEnd"/>
          </w:p>
        </w:tc>
        <w:tc>
          <w:tcPr>
            <w:tcW w:w="5523" w:type="dxa"/>
          </w:tcPr>
          <w:p w14:paraId="6F5367BE" w14:textId="77777777" w:rsidR="000B2715" w:rsidRPr="000B2715" w:rsidRDefault="000B2715" w:rsidP="000B2715">
            <w:pPr>
              <w:spacing w:line="276" w:lineRule="auto"/>
              <w:jc w:val="both"/>
              <w:rPr>
                <w:rFonts w:ascii="Tahoma" w:hAnsi="Tahoma" w:cs="Tahoma"/>
              </w:rPr>
            </w:pPr>
            <w:r w:rsidRPr="000B2715">
              <w:rPr>
                <w:rFonts w:ascii="Tahoma" w:hAnsi="Tahoma" w:cs="Tahoma"/>
              </w:rPr>
              <w:t xml:space="preserve">Wykonawca skonfiguruje i przypisze do chronionych urządzeń jedną podstawową politykę bezpieczeństwa, obejmującą co najmniej ochronę antywirusową i </w:t>
            </w:r>
            <w:proofErr w:type="spellStart"/>
            <w:r w:rsidRPr="000B2715">
              <w:rPr>
                <w:rFonts w:ascii="Tahoma" w:hAnsi="Tahoma" w:cs="Tahoma"/>
              </w:rPr>
              <w:t>antymalware</w:t>
            </w:r>
            <w:proofErr w:type="spellEnd"/>
            <w:r w:rsidRPr="000B2715">
              <w:rPr>
                <w:rFonts w:ascii="Tahoma" w:hAnsi="Tahoma" w:cs="Tahoma"/>
              </w:rPr>
              <w:t xml:space="preserve"> w czasie rzeczywistym, ochronę przed </w:t>
            </w:r>
            <w:proofErr w:type="spellStart"/>
            <w:r w:rsidRPr="000B2715">
              <w:rPr>
                <w:rFonts w:ascii="Tahoma" w:hAnsi="Tahoma" w:cs="Tahoma"/>
              </w:rPr>
              <w:t>ransomware</w:t>
            </w:r>
            <w:proofErr w:type="spellEnd"/>
            <w:r w:rsidRPr="000B2715">
              <w:rPr>
                <w:rFonts w:ascii="Tahoma" w:hAnsi="Tahoma" w:cs="Tahoma"/>
              </w:rPr>
              <w:t xml:space="preserve">, automatyczne aktualizacje, harmonogram </w:t>
            </w:r>
            <w:r w:rsidRPr="000B2715">
              <w:rPr>
                <w:rFonts w:ascii="Tahoma" w:hAnsi="Tahoma" w:cs="Tahoma"/>
              </w:rPr>
              <w:lastRenderedPageBreak/>
              <w:t>skanowania oraz podstawową kontrolę urządzeń zewnętrznych.</w:t>
            </w:r>
          </w:p>
          <w:p w14:paraId="098F31E3" w14:textId="4C7509C6" w:rsidR="004E7EA8" w:rsidRPr="004E7EA8" w:rsidRDefault="000B2715" w:rsidP="1F2C4AA1">
            <w:pPr>
              <w:spacing w:line="276" w:lineRule="auto"/>
              <w:jc w:val="both"/>
              <w:rPr>
                <w:rFonts w:ascii="Tahoma" w:hAnsi="Tahoma" w:cs="Tahoma"/>
              </w:rPr>
            </w:pPr>
            <w:r w:rsidRPr="000B2715">
              <w:rPr>
                <w:rFonts w:ascii="Tahoma" w:hAnsi="Tahoma" w:cs="Tahoma"/>
              </w:rPr>
              <w:t>Pozostałe funkcjonalności dostępne w ramach dostarczonej licencji Zamawiający będzie mógł konfigurować samodzielnie za pośrednictwem centralnej konsoli zarządzającej.</w:t>
            </w:r>
          </w:p>
        </w:tc>
      </w:tr>
      <w:tr w:rsidR="007E1175" w:rsidRPr="006B1902" w14:paraId="798DBFF5" w14:textId="77777777" w:rsidTr="792F4F2F">
        <w:tc>
          <w:tcPr>
            <w:tcW w:w="795" w:type="dxa"/>
            <w:vAlign w:val="center"/>
            <w:hideMark/>
          </w:tcPr>
          <w:p w14:paraId="32F37775" w14:textId="77777777" w:rsidR="007E1175" w:rsidRPr="006B1902" w:rsidRDefault="007E1175" w:rsidP="792F4F2F">
            <w:pPr>
              <w:spacing w:after="160" w:line="278" w:lineRule="auto"/>
              <w:rPr>
                <w:rFonts w:ascii="Tahoma" w:hAnsi="Tahoma" w:cs="Tahoma"/>
              </w:rPr>
            </w:pPr>
            <w:r w:rsidRPr="792F4F2F">
              <w:rPr>
                <w:rFonts w:ascii="Tahoma" w:hAnsi="Tahoma" w:cs="Tahoma"/>
              </w:rPr>
              <w:lastRenderedPageBreak/>
              <w:t>6</w:t>
            </w:r>
          </w:p>
        </w:tc>
        <w:tc>
          <w:tcPr>
            <w:tcW w:w="2744" w:type="dxa"/>
            <w:vAlign w:val="center"/>
            <w:hideMark/>
          </w:tcPr>
          <w:p w14:paraId="413A7F26" w14:textId="77777777" w:rsidR="007E1175" w:rsidRPr="006B1902" w:rsidRDefault="007E1175" w:rsidP="792F4F2F">
            <w:pPr>
              <w:spacing w:after="160" w:line="278" w:lineRule="auto"/>
              <w:rPr>
                <w:rFonts w:ascii="Tahoma" w:hAnsi="Tahoma" w:cs="Tahoma"/>
              </w:rPr>
            </w:pPr>
            <w:r w:rsidRPr="792F4F2F">
              <w:rPr>
                <w:rFonts w:ascii="Tahoma" w:hAnsi="Tahoma" w:cs="Tahoma"/>
              </w:rPr>
              <w:t>Konfiguracja funkcji wykrywania i reagowania na incydenty</w:t>
            </w:r>
          </w:p>
        </w:tc>
        <w:tc>
          <w:tcPr>
            <w:tcW w:w="5523" w:type="dxa"/>
          </w:tcPr>
          <w:p w14:paraId="56D35D07" w14:textId="1C0F8AB9" w:rsidR="007E1175" w:rsidRPr="006B1902" w:rsidRDefault="007E1175" w:rsidP="1F2C4AA1">
            <w:pPr>
              <w:spacing w:line="276" w:lineRule="auto"/>
              <w:jc w:val="both"/>
              <w:rPr>
                <w:rFonts w:ascii="Tahoma" w:hAnsi="Tahoma" w:cs="Tahoma"/>
              </w:rPr>
            </w:pPr>
            <w:r w:rsidRPr="1F2C4AA1">
              <w:rPr>
                <w:rFonts w:ascii="Tahoma" w:hAnsi="Tahoma" w:cs="Tahoma"/>
              </w:rPr>
              <w:t xml:space="preserve">Wykonawca zobowiązany jest do konfiguracji mechanizmów wykrywania oraz reagowania na incydenty bezpieczeństwa dostępnych w dostarczonym rozwiązaniu, w sposób umożliwiający identyfikację zagrożeń oraz podejmowanie automatycznych lub wspomaganych działań reakcyjnych. Konfiguracja musi obejmować uruchomienie mechanizmów detekcji zdarzeń bezpieczeństwa, analizę </w:t>
            </w:r>
            <w:proofErr w:type="spellStart"/>
            <w:r w:rsidRPr="1F2C4AA1">
              <w:rPr>
                <w:rFonts w:ascii="Tahoma" w:hAnsi="Tahoma" w:cs="Tahoma"/>
              </w:rPr>
              <w:t>zachowań</w:t>
            </w:r>
            <w:proofErr w:type="spellEnd"/>
            <w:r w:rsidRPr="1F2C4AA1">
              <w:rPr>
                <w:rFonts w:ascii="Tahoma" w:hAnsi="Tahoma" w:cs="Tahoma"/>
              </w:rPr>
              <w:t xml:space="preserve"> systemowych, korelację zdarzeń oraz konfigurację reguł reagowania na wykryte incydenty.</w:t>
            </w:r>
          </w:p>
          <w:p w14:paraId="7B2A15F2" w14:textId="1FC8019E" w:rsidR="007E1175" w:rsidRDefault="007E1175" w:rsidP="1F2C4AA1">
            <w:pPr>
              <w:spacing w:line="276" w:lineRule="auto"/>
              <w:jc w:val="both"/>
              <w:rPr>
                <w:rFonts w:ascii="Tahoma" w:hAnsi="Tahoma" w:cs="Tahoma"/>
                <w:highlight w:val="yellow"/>
              </w:rPr>
            </w:pPr>
            <w:r w:rsidRPr="792F4F2F">
              <w:rPr>
                <w:rFonts w:ascii="Tahoma" w:hAnsi="Tahoma" w:cs="Tahoma"/>
              </w:rPr>
              <w:t>W ramach konfiguracji należy zapewnić możliwość generowania alertów bezpieczeństwa (np. e-mail, powiadomienia w konsoli), powiadamiania administratorów, izolacji zagrożonych stacji roboczych oraz realizacji zdalnych działań reakcyjnych z poziomu centralnej konsoli zarządzającej, zgodnie z funkcjonalnościami systemu określonymi w załączniku nr 1</w:t>
            </w:r>
            <w:r w:rsidR="05C19957" w:rsidRPr="792F4F2F">
              <w:rPr>
                <w:rFonts w:ascii="Tahoma" w:hAnsi="Tahoma" w:cs="Tahoma"/>
              </w:rPr>
              <w:t>.</w:t>
            </w:r>
            <w:r w:rsidR="00B171DF">
              <w:rPr>
                <w:rFonts w:ascii="Tahoma" w:hAnsi="Tahoma" w:cs="Tahoma"/>
              </w:rPr>
              <w:t>2</w:t>
            </w:r>
            <w:r w:rsidRPr="792F4F2F">
              <w:rPr>
                <w:rFonts w:ascii="Tahoma" w:hAnsi="Tahoma" w:cs="Tahoma"/>
              </w:rPr>
              <w:t xml:space="preserve"> (Oprogramowanie antywirusowe - jeden pakiet licencyjny obejmujący wszystkie stacje komputerowe w organizacji)</w:t>
            </w:r>
            <w:r w:rsidR="125AA5FE" w:rsidRPr="792F4F2F">
              <w:rPr>
                <w:rFonts w:ascii="Tahoma" w:hAnsi="Tahoma" w:cs="Tahoma"/>
              </w:rPr>
              <w:t xml:space="preserve">. </w:t>
            </w:r>
          </w:p>
          <w:p w14:paraId="41ED3677" w14:textId="77777777" w:rsidR="007C6381" w:rsidRPr="007C6381" w:rsidRDefault="007C6381" w:rsidP="007C6381">
            <w:pPr>
              <w:spacing w:line="276" w:lineRule="auto"/>
              <w:jc w:val="both"/>
              <w:rPr>
                <w:rFonts w:ascii="Tahoma" w:hAnsi="Tahoma" w:cs="Tahoma"/>
              </w:rPr>
            </w:pPr>
            <w:r w:rsidRPr="007C6381">
              <w:rPr>
                <w:rFonts w:ascii="Tahoma" w:hAnsi="Tahoma" w:cs="Tahoma"/>
              </w:rPr>
              <w:t xml:space="preserve">Wykonawca zobowiązany jest skonfigurować mechanizm przekazywania informacji generowanych przez oprogramowanie antywirusowe z EDR do systemu typu menedżer logów wdrażanego w ramach tego samego </w:t>
            </w:r>
            <w:r w:rsidRPr="007C6381">
              <w:rPr>
                <w:rFonts w:ascii="Tahoma" w:hAnsi="Tahoma" w:cs="Tahoma"/>
              </w:rPr>
              <w:lastRenderedPageBreak/>
              <w:t>zamówienia. Integracja musi obejmować przekazywanie co najmniej informacji o detekcjach, alertach, incydentach, identyfikacji hosta, czasie zdarzenia, poziomie ryzyka, statusie ochrony stacji oraz działaniach podjętych przez system – w zakresie, w jakim dane te są generowane i udostępniane przez oferowane rozwiązanie.</w:t>
            </w:r>
          </w:p>
          <w:p w14:paraId="1E4FE194" w14:textId="22B2DA2C" w:rsidR="002B7536" w:rsidRPr="006B1902" w:rsidRDefault="007C6381" w:rsidP="1F2C4AA1">
            <w:pPr>
              <w:spacing w:line="276" w:lineRule="auto"/>
              <w:jc w:val="both"/>
              <w:rPr>
                <w:rFonts w:ascii="Tahoma" w:hAnsi="Tahoma" w:cs="Tahoma"/>
              </w:rPr>
            </w:pPr>
            <w:r w:rsidRPr="007C6381">
              <w:rPr>
                <w:rFonts w:ascii="Tahoma" w:hAnsi="Tahoma" w:cs="Tahoma"/>
              </w:rPr>
              <w:t xml:space="preserve">Integracja musi zostać wykonana z wykorzystaniem co najmniej jednego udokumentowanego mechanizmu dostępnego w oferowanym rozwiązaniu, w szczególności REST API, </w:t>
            </w:r>
            <w:proofErr w:type="spellStart"/>
            <w:r w:rsidRPr="007C6381">
              <w:rPr>
                <w:rFonts w:ascii="Tahoma" w:hAnsi="Tahoma" w:cs="Tahoma"/>
              </w:rPr>
              <w:t>syslog</w:t>
            </w:r>
            <w:proofErr w:type="spellEnd"/>
            <w:r w:rsidRPr="007C6381">
              <w:rPr>
                <w:rFonts w:ascii="Tahoma" w:hAnsi="Tahoma" w:cs="Tahoma"/>
              </w:rPr>
              <w:t xml:space="preserve">, </w:t>
            </w:r>
            <w:proofErr w:type="spellStart"/>
            <w:r w:rsidRPr="007C6381">
              <w:rPr>
                <w:rFonts w:ascii="Tahoma" w:hAnsi="Tahoma" w:cs="Tahoma"/>
              </w:rPr>
              <w:t>webhooka</w:t>
            </w:r>
            <w:proofErr w:type="spellEnd"/>
            <w:r w:rsidRPr="007C6381">
              <w:rPr>
                <w:rFonts w:ascii="Tahoma" w:hAnsi="Tahoma" w:cs="Tahoma"/>
              </w:rPr>
              <w:t xml:space="preserve"> albo eksportu zdarzeń w ustrukturyzowanym formacie. Wykonawca musi skonfigurować mechanizm po stronie oprogramowania antywirusowego z EDR oraz przekazać dokumentację niezbędną do jego obsługi. Zamawiający nie wymaga integracji z odrębnym systemem XDR, ponieważ taki system nie jest objęty zamówieniem.</w:t>
            </w:r>
          </w:p>
        </w:tc>
      </w:tr>
      <w:tr w:rsidR="007E1175" w:rsidRPr="006B1902" w14:paraId="79D04C55" w14:textId="77777777" w:rsidTr="792F4F2F">
        <w:tc>
          <w:tcPr>
            <w:tcW w:w="795" w:type="dxa"/>
            <w:vAlign w:val="center"/>
            <w:hideMark/>
          </w:tcPr>
          <w:p w14:paraId="4E0A0800" w14:textId="77777777" w:rsidR="007E1175" w:rsidRPr="006B1902" w:rsidRDefault="007E1175" w:rsidP="792F4F2F">
            <w:pPr>
              <w:spacing w:after="160" w:line="278" w:lineRule="auto"/>
              <w:rPr>
                <w:rFonts w:ascii="Tahoma" w:hAnsi="Tahoma" w:cs="Tahoma"/>
              </w:rPr>
            </w:pPr>
            <w:r w:rsidRPr="792F4F2F">
              <w:rPr>
                <w:rFonts w:ascii="Tahoma" w:hAnsi="Tahoma" w:cs="Tahoma"/>
              </w:rPr>
              <w:t>7</w:t>
            </w:r>
          </w:p>
        </w:tc>
        <w:tc>
          <w:tcPr>
            <w:tcW w:w="2744" w:type="dxa"/>
            <w:vAlign w:val="center"/>
            <w:hideMark/>
          </w:tcPr>
          <w:p w14:paraId="71E1B459" w14:textId="77777777" w:rsidR="007E1175" w:rsidRPr="006B1902" w:rsidRDefault="007E1175" w:rsidP="792F4F2F">
            <w:pPr>
              <w:spacing w:after="160" w:line="278" w:lineRule="auto"/>
              <w:rPr>
                <w:rFonts w:ascii="Tahoma" w:hAnsi="Tahoma" w:cs="Tahoma"/>
              </w:rPr>
            </w:pPr>
            <w:r w:rsidRPr="792F4F2F">
              <w:rPr>
                <w:rFonts w:ascii="Tahoma" w:hAnsi="Tahoma" w:cs="Tahoma"/>
              </w:rPr>
              <w:t>Konfiguracja aktualizacji, raportowania oraz powiadomień systemowych</w:t>
            </w:r>
          </w:p>
        </w:tc>
        <w:tc>
          <w:tcPr>
            <w:tcW w:w="5523" w:type="dxa"/>
          </w:tcPr>
          <w:p w14:paraId="35180584" w14:textId="13B86AF8" w:rsidR="007E1175" w:rsidRPr="006B1902" w:rsidRDefault="007E1175" w:rsidP="1F2C4AA1">
            <w:pPr>
              <w:spacing w:line="276" w:lineRule="auto"/>
              <w:jc w:val="both"/>
              <w:rPr>
                <w:rFonts w:ascii="Tahoma" w:hAnsi="Tahoma" w:cs="Tahoma"/>
              </w:rPr>
            </w:pPr>
            <w:r w:rsidRPr="1F2C4AA1">
              <w:rPr>
                <w:rFonts w:ascii="Tahoma" w:hAnsi="Tahoma" w:cs="Tahoma"/>
              </w:rPr>
              <w:t>Wykonawca zobowiązany jest do konfiguracji mechanizmów aktualizacji systemu ochrony, raportowania oraz powiadomień systemowych w sposób zapewniający bieżące utrzymanie skuteczności ochrony oraz nadzór nad stanem bezpieczeństwa środowiska Zamawiającego. Konfiguracja musi obejmować ustawienie automatycznych aktualizacji oprogramowania oraz baz sygnatur zagrożeń, harmonogramów generowania raportów oraz mechanizmów informowania administratorów o zdarzeniach bezpieczeństwa i stanie ochrony systemu.</w:t>
            </w:r>
          </w:p>
          <w:p w14:paraId="70795575" w14:textId="3B34177C" w:rsidR="007E1175" w:rsidRPr="006B1902" w:rsidRDefault="007E1175" w:rsidP="1F2C4AA1">
            <w:pPr>
              <w:spacing w:line="276" w:lineRule="auto"/>
              <w:jc w:val="both"/>
              <w:rPr>
                <w:rFonts w:ascii="Tahoma" w:hAnsi="Tahoma" w:cs="Tahoma"/>
              </w:rPr>
            </w:pPr>
            <w:r w:rsidRPr="792F4F2F">
              <w:rPr>
                <w:rFonts w:ascii="Tahoma" w:hAnsi="Tahoma" w:cs="Tahoma"/>
              </w:rPr>
              <w:t xml:space="preserve">System musi umożliwiać centralne zarządzanie aktualizacjami, generowanie raportów dotyczących wykrytych zagrożeń i stanu </w:t>
            </w:r>
            <w:r w:rsidRPr="792F4F2F">
              <w:rPr>
                <w:rFonts w:ascii="Tahoma" w:hAnsi="Tahoma" w:cs="Tahoma"/>
              </w:rPr>
              <w:lastRenderedPageBreak/>
              <w:t>zabezpieczeń oraz automatyczne przekazywanie powiadomień o incydentach i istotnych zdarzeniach bezpieczeństwa za pośrednictwem dostępnych mechanizmów komunikacyjnych, zgodnie z wymaganiami określonymi w załączniku nr 1</w:t>
            </w:r>
            <w:r w:rsidR="7B05659A" w:rsidRPr="792F4F2F">
              <w:rPr>
                <w:rFonts w:ascii="Tahoma" w:hAnsi="Tahoma" w:cs="Tahoma"/>
              </w:rPr>
              <w:t>.</w:t>
            </w:r>
            <w:r w:rsidR="00B171DF">
              <w:rPr>
                <w:rFonts w:ascii="Tahoma" w:hAnsi="Tahoma" w:cs="Tahoma"/>
              </w:rPr>
              <w:t>2</w:t>
            </w:r>
            <w:r w:rsidRPr="792F4F2F">
              <w:rPr>
                <w:rFonts w:ascii="Tahoma" w:hAnsi="Tahoma" w:cs="Tahoma"/>
              </w:rPr>
              <w:t xml:space="preserve"> (Oprogramowanie antywirusowe - jeden pakiet licencyjny obejmujący wszystkie stacje komputerowe w organizacji).</w:t>
            </w:r>
          </w:p>
        </w:tc>
      </w:tr>
      <w:tr w:rsidR="007E1175" w:rsidRPr="006B1902" w14:paraId="655A48A6" w14:textId="77777777" w:rsidTr="792F4F2F">
        <w:tc>
          <w:tcPr>
            <w:tcW w:w="795" w:type="dxa"/>
            <w:vAlign w:val="center"/>
            <w:hideMark/>
          </w:tcPr>
          <w:p w14:paraId="470D4932" w14:textId="77777777" w:rsidR="007E1175" w:rsidRPr="006B1902" w:rsidRDefault="007E1175" w:rsidP="792F4F2F">
            <w:pPr>
              <w:spacing w:after="160" w:line="278" w:lineRule="auto"/>
              <w:rPr>
                <w:rFonts w:ascii="Tahoma" w:hAnsi="Tahoma" w:cs="Tahoma"/>
              </w:rPr>
            </w:pPr>
            <w:r w:rsidRPr="792F4F2F">
              <w:rPr>
                <w:rFonts w:ascii="Tahoma" w:hAnsi="Tahoma" w:cs="Tahoma"/>
              </w:rPr>
              <w:lastRenderedPageBreak/>
              <w:t>8</w:t>
            </w:r>
          </w:p>
        </w:tc>
        <w:tc>
          <w:tcPr>
            <w:tcW w:w="2744" w:type="dxa"/>
            <w:vAlign w:val="center"/>
            <w:hideMark/>
          </w:tcPr>
          <w:p w14:paraId="63BDE7CA" w14:textId="77777777" w:rsidR="007E1175" w:rsidRPr="006B1902" w:rsidRDefault="007E1175" w:rsidP="792F4F2F">
            <w:pPr>
              <w:spacing w:after="160" w:line="278" w:lineRule="auto"/>
              <w:rPr>
                <w:rFonts w:ascii="Tahoma" w:hAnsi="Tahoma" w:cs="Tahoma"/>
              </w:rPr>
            </w:pPr>
            <w:r w:rsidRPr="792F4F2F">
              <w:rPr>
                <w:rFonts w:ascii="Tahoma" w:hAnsi="Tahoma" w:cs="Tahoma"/>
              </w:rPr>
              <w:t>Przeprowadzenie testów poprawności działania rozwiązania</w:t>
            </w:r>
          </w:p>
        </w:tc>
        <w:tc>
          <w:tcPr>
            <w:tcW w:w="5523" w:type="dxa"/>
          </w:tcPr>
          <w:p w14:paraId="07722E6A" w14:textId="6FFE4390" w:rsidR="007E1175" w:rsidRPr="006B1902" w:rsidRDefault="007E1175" w:rsidP="1F2C4AA1">
            <w:pPr>
              <w:spacing w:line="276" w:lineRule="auto"/>
              <w:jc w:val="both"/>
              <w:rPr>
                <w:rFonts w:ascii="Tahoma" w:hAnsi="Tahoma" w:cs="Tahoma"/>
              </w:rPr>
            </w:pPr>
            <w:r w:rsidRPr="1F2C4AA1">
              <w:rPr>
                <w:rFonts w:ascii="Tahoma" w:hAnsi="Tahoma" w:cs="Tahoma"/>
              </w:rPr>
              <w:t>Wykonawca zobowiązany jest do przeprowadzenia testów potwierdzających prawidłowe wdrożenie oraz działanie dostarczonego rozwiązania w środowisku Zamawiającego (co najmniej na wybran</w:t>
            </w:r>
            <w:r w:rsidR="004E7EA8" w:rsidRPr="1F2C4AA1">
              <w:rPr>
                <w:rFonts w:ascii="Tahoma" w:hAnsi="Tahoma" w:cs="Tahoma"/>
              </w:rPr>
              <w:t>ej próbce</w:t>
            </w:r>
            <w:r w:rsidRPr="1F2C4AA1">
              <w:rPr>
                <w:rFonts w:ascii="Tahoma" w:hAnsi="Tahoma" w:cs="Tahoma"/>
              </w:rPr>
              <w:t xml:space="preserve"> stacj</w:t>
            </w:r>
            <w:r w:rsidR="004E7EA8" w:rsidRPr="1F2C4AA1">
              <w:rPr>
                <w:rFonts w:ascii="Tahoma" w:hAnsi="Tahoma" w:cs="Tahoma"/>
              </w:rPr>
              <w:t>i</w:t>
            </w:r>
            <w:r w:rsidRPr="1F2C4AA1">
              <w:rPr>
                <w:rFonts w:ascii="Tahoma" w:hAnsi="Tahoma" w:cs="Tahoma"/>
              </w:rPr>
              <w:t xml:space="preserve"> roboczych). Testy muszą obejmować w szczególności weryfikację poprawności działania konsoli centralnego zarządzania, komunikacji pomiędzy agentami a konsolą, stosowania polityk bezpieczeństwa oraz rejestrowania zdarzeń bezpieczeństwa.</w:t>
            </w:r>
          </w:p>
          <w:p w14:paraId="2C4B71D2" w14:textId="77777777" w:rsidR="007E1175" w:rsidRPr="006B1902" w:rsidRDefault="007E1175" w:rsidP="1F2C4AA1">
            <w:pPr>
              <w:spacing w:line="276" w:lineRule="auto"/>
              <w:jc w:val="both"/>
              <w:rPr>
                <w:rFonts w:ascii="Tahoma" w:hAnsi="Tahoma" w:cs="Tahoma"/>
              </w:rPr>
            </w:pPr>
            <w:r w:rsidRPr="1F2C4AA1">
              <w:rPr>
                <w:rFonts w:ascii="Tahoma" w:hAnsi="Tahoma" w:cs="Tahoma"/>
              </w:rPr>
              <w:t xml:space="preserve">Zakres testów musi potwierdzać skuteczność mechanizmów ochrony </w:t>
            </w:r>
            <w:proofErr w:type="spellStart"/>
            <w:r w:rsidRPr="1F2C4AA1">
              <w:rPr>
                <w:rFonts w:ascii="Tahoma" w:hAnsi="Tahoma" w:cs="Tahoma"/>
              </w:rPr>
              <w:t>endpointów</w:t>
            </w:r>
            <w:proofErr w:type="spellEnd"/>
            <w:r w:rsidRPr="1F2C4AA1">
              <w:rPr>
                <w:rFonts w:ascii="Tahoma" w:hAnsi="Tahoma" w:cs="Tahoma"/>
              </w:rPr>
              <w:t>, wykrywania zagrożeń, generowania alertów, raportowania oraz możliwości realizacji działań administracyjnych i reakcyjnych z poziomu konsoli zarządzającej. Po zakończeniu testów Wykonawca zobowiązany jest do potwierdzenia gotowości systemu do eksploatacji.</w:t>
            </w:r>
          </w:p>
        </w:tc>
      </w:tr>
      <w:tr w:rsidR="007E1175" w:rsidRPr="006B1902" w14:paraId="0385DCF2" w14:textId="77777777" w:rsidTr="792F4F2F">
        <w:tc>
          <w:tcPr>
            <w:tcW w:w="795" w:type="dxa"/>
            <w:vAlign w:val="center"/>
            <w:hideMark/>
          </w:tcPr>
          <w:p w14:paraId="53A1ED75" w14:textId="77777777" w:rsidR="007E1175" w:rsidRPr="006B1902" w:rsidRDefault="007E1175" w:rsidP="792F4F2F">
            <w:pPr>
              <w:spacing w:after="160" w:line="278" w:lineRule="auto"/>
              <w:rPr>
                <w:rFonts w:ascii="Tahoma" w:hAnsi="Tahoma" w:cs="Tahoma"/>
              </w:rPr>
            </w:pPr>
            <w:r w:rsidRPr="792F4F2F">
              <w:rPr>
                <w:rFonts w:ascii="Tahoma" w:hAnsi="Tahoma" w:cs="Tahoma"/>
              </w:rPr>
              <w:t>9</w:t>
            </w:r>
          </w:p>
        </w:tc>
        <w:tc>
          <w:tcPr>
            <w:tcW w:w="2744" w:type="dxa"/>
            <w:vAlign w:val="center"/>
            <w:hideMark/>
          </w:tcPr>
          <w:p w14:paraId="061F8397" w14:textId="77777777" w:rsidR="007E1175" w:rsidRPr="006B1902" w:rsidRDefault="007E1175" w:rsidP="792F4F2F">
            <w:pPr>
              <w:spacing w:after="160" w:line="278" w:lineRule="auto"/>
              <w:rPr>
                <w:rFonts w:ascii="Tahoma" w:hAnsi="Tahoma" w:cs="Tahoma"/>
              </w:rPr>
            </w:pPr>
            <w:r w:rsidRPr="792F4F2F">
              <w:rPr>
                <w:rFonts w:ascii="Tahoma" w:hAnsi="Tahoma" w:cs="Tahoma"/>
              </w:rPr>
              <w:t>Uruchomienie produkcyjne systemu</w:t>
            </w:r>
          </w:p>
        </w:tc>
        <w:tc>
          <w:tcPr>
            <w:tcW w:w="5523" w:type="dxa"/>
          </w:tcPr>
          <w:p w14:paraId="0207E26B" w14:textId="77777777" w:rsidR="007E1175" w:rsidRPr="006B1902" w:rsidRDefault="007E1175" w:rsidP="1F2C4AA1">
            <w:pPr>
              <w:spacing w:line="276" w:lineRule="auto"/>
              <w:jc w:val="both"/>
              <w:rPr>
                <w:rFonts w:ascii="Tahoma" w:hAnsi="Tahoma" w:cs="Tahoma"/>
              </w:rPr>
            </w:pPr>
            <w:r w:rsidRPr="1F2C4AA1">
              <w:rPr>
                <w:rFonts w:ascii="Tahoma" w:hAnsi="Tahoma" w:cs="Tahoma"/>
              </w:rPr>
              <w:t xml:space="preserve">Wykonawca zobowiązany jest do uruchomienia systemu w środowisku produkcyjnym po zakończeniu prac instalacyjnych, konfiguracyjnych oraz testów poprawności działania rozwiązania. Uruchomienie produkcyjne musi obejmować aktywację wszystkich wymaganych funkcjonalności systemu, objęcie ochroną stacji roboczych wskazanych przez Zamawiającego oraz </w:t>
            </w:r>
            <w:r w:rsidRPr="1F2C4AA1">
              <w:rPr>
                <w:rFonts w:ascii="Tahoma" w:hAnsi="Tahoma" w:cs="Tahoma"/>
              </w:rPr>
              <w:lastRenderedPageBreak/>
              <w:t>zapewnienie centralnego zarządzania ochroną z poziomu konsoli administracyjnej.</w:t>
            </w:r>
          </w:p>
        </w:tc>
      </w:tr>
      <w:tr w:rsidR="009F1075" w:rsidRPr="006B1902" w14:paraId="6516BCC1" w14:textId="77777777" w:rsidTr="792F4F2F">
        <w:tc>
          <w:tcPr>
            <w:tcW w:w="795" w:type="dxa"/>
            <w:vAlign w:val="center"/>
          </w:tcPr>
          <w:p w14:paraId="62995BC2" w14:textId="6DC471AE" w:rsidR="009F1075" w:rsidRPr="006B1902" w:rsidRDefault="009F1075" w:rsidP="792F4F2F">
            <w:pPr>
              <w:spacing w:after="160" w:line="278" w:lineRule="auto"/>
              <w:rPr>
                <w:rFonts w:ascii="Tahoma" w:hAnsi="Tahoma" w:cs="Tahoma"/>
              </w:rPr>
            </w:pPr>
            <w:r w:rsidRPr="792F4F2F">
              <w:rPr>
                <w:rFonts w:ascii="Tahoma" w:hAnsi="Tahoma" w:cs="Tahoma"/>
              </w:rPr>
              <w:lastRenderedPageBreak/>
              <w:t>1</w:t>
            </w:r>
            <w:r w:rsidR="000B2715">
              <w:rPr>
                <w:rFonts w:ascii="Tahoma" w:hAnsi="Tahoma" w:cs="Tahoma"/>
              </w:rPr>
              <w:t>0</w:t>
            </w:r>
          </w:p>
        </w:tc>
        <w:tc>
          <w:tcPr>
            <w:tcW w:w="2744" w:type="dxa"/>
            <w:vAlign w:val="center"/>
          </w:tcPr>
          <w:p w14:paraId="3061FDDD" w14:textId="013081DD" w:rsidR="009F1075" w:rsidRPr="006B1902" w:rsidRDefault="009F1075" w:rsidP="792F4F2F">
            <w:pPr>
              <w:spacing w:after="160" w:line="278" w:lineRule="auto"/>
              <w:rPr>
                <w:rFonts w:ascii="Tahoma" w:hAnsi="Tahoma" w:cs="Tahoma"/>
              </w:rPr>
            </w:pPr>
            <w:r w:rsidRPr="792F4F2F">
              <w:rPr>
                <w:rFonts w:ascii="Tahoma" w:hAnsi="Tahoma" w:cs="Tahoma"/>
              </w:rPr>
              <w:t>Warunki odbioru wdrożenia</w:t>
            </w:r>
          </w:p>
        </w:tc>
        <w:tc>
          <w:tcPr>
            <w:tcW w:w="5523" w:type="dxa"/>
          </w:tcPr>
          <w:p w14:paraId="02762B20" w14:textId="77777777" w:rsidR="000B2715" w:rsidRPr="000B2715" w:rsidRDefault="000B2715" w:rsidP="000B2715">
            <w:pPr>
              <w:spacing w:line="276" w:lineRule="auto"/>
              <w:jc w:val="both"/>
              <w:rPr>
                <w:rFonts w:ascii="Tahoma" w:hAnsi="Tahoma" w:cs="Tahoma"/>
              </w:rPr>
            </w:pPr>
            <w:r w:rsidRPr="000B2715">
              <w:rPr>
                <w:rFonts w:ascii="Tahoma" w:hAnsi="Tahoma" w:cs="Tahoma"/>
              </w:rPr>
              <w:t>Za wykonanie wdrożenia uznaje się:</w:t>
            </w:r>
          </w:p>
          <w:p w14:paraId="0A612D64"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uruchomienie centralnej konsoli zarządzającej; </w:t>
            </w:r>
          </w:p>
          <w:p w14:paraId="4D1702BD"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utworzenie dwóch imiennych kont administracyjnych; </w:t>
            </w:r>
          </w:p>
          <w:p w14:paraId="06D0D9FB"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konfigurację jednej podstawowej polityki bezpieczeństwa; </w:t>
            </w:r>
          </w:p>
          <w:p w14:paraId="154727C3"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instalację i aktywację agentów na 3 stacjach pilotażowych; </w:t>
            </w:r>
          </w:p>
          <w:p w14:paraId="65CD1271"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potwierdzenie komunikacji stacji pilotażowych z konsolą; </w:t>
            </w:r>
          </w:p>
          <w:p w14:paraId="07497882"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uruchomienie aktualizacji, raportowania i powiadomień e-mail; </w:t>
            </w:r>
          </w:p>
          <w:p w14:paraId="28A0C595"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przeprowadzenie testów z wynikiem pozytywnym; </w:t>
            </w:r>
          </w:p>
          <w:p w14:paraId="3AC89B01" w14:textId="77777777" w:rsidR="000B271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 xml:space="preserve">przekazanie Zamawiającemu pakietu instalacyjnego, odnośnika albo instrukcji umożliwiającej instalację agentów na pozostałych urządzeniach; </w:t>
            </w:r>
          </w:p>
          <w:p w14:paraId="3A54DFB4" w14:textId="53934074" w:rsidR="009F1075" w:rsidRPr="000B2715" w:rsidRDefault="000B2715" w:rsidP="000B2715">
            <w:pPr>
              <w:numPr>
                <w:ilvl w:val="0"/>
                <w:numId w:val="19"/>
              </w:numPr>
              <w:tabs>
                <w:tab w:val="clear" w:pos="720"/>
              </w:tabs>
              <w:spacing w:line="276" w:lineRule="auto"/>
              <w:ind w:left="313"/>
              <w:jc w:val="both"/>
              <w:rPr>
                <w:rFonts w:ascii="Tahoma" w:hAnsi="Tahoma" w:cs="Tahoma"/>
              </w:rPr>
            </w:pPr>
            <w:r w:rsidRPr="000B2715">
              <w:rPr>
                <w:rFonts w:ascii="Tahoma" w:hAnsi="Tahoma" w:cs="Tahoma"/>
              </w:rPr>
              <w:t>przekazanie informacji umożliwiających Zamawiającemu dalsze administrowanie rozwiązaniem.</w:t>
            </w:r>
          </w:p>
        </w:tc>
      </w:tr>
    </w:tbl>
    <w:p w14:paraId="6D099571" w14:textId="17257223" w:rsidR="000A73E2" w:rsidRPr="000A73E2" w:rsidRDefault="000A73E2" w:rsidP="000A73E2"/>
    <w:sectPr w:rsidR="000A73E2" w:rsidRPr="000A73E2"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DF0D" w14:textId="77777777" w:rsidR="006858CB" w:rsidRDefault="006858CB">
      <w:r>
        <w:separator/>
      </w:r>
    </w:p>
  </w:endnote>
  <w:endnote w:type="continuationSeparator" w:id="0">
    <w:p w14:paraId="4D8AB91D" w14:textId="77777777" w:rsidR="006858CB" w:rsidRDefault="0068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EC0B09"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7E1175">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27D6B50A">
          <wp:simplePos x="0" y="0"/>
          <wp:positionH relativeFrom="margin">
            <wp:posOffset>-768350</wp:posOffset>
          </wp:positionH>
          <wp:positionV relativeFrom="margin">
            <wp:posOffset>6109335</wp:posOffset>
          </wp:positionV>
          <wp:extent cx="6120130" cy="2679065"/>
          <wp:effectExtent l="0" t="0" r="0" b="6985"/>
          <wp:wrapNone/>
          <wp:docPr id="4906590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CEB73" w14:textId="77777777" w:rsidR="006858CB" w:rsidRDefault="006858CB">
      <w:r>
        <w:separator/>
      </w:r>
    </w:p>
  </w:footnote>
  <w:footnote w:type="continuationSeparator" w:id="0">
    <w:p w14:paraId="35F9227F" w14:textId="77777777" w:rsidR="006858CB" w:rsidRDefault="00685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1EC1048D"/>
    <w:multiLevelType w:val="multilevel"/>
    <w:tmpl w:val="643CA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5"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8"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8707DF"/>
    <w:multiLevelType w:val="multilevel"/>
    <w:tmpl w:val="2E20E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2"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1"/>
  </w:num>
  <w:num w:numId="4" w16cid:durableId="907615826">
    <w:abstractNumId w:val="7"/>
  </w:num>
  <w:num w:numId="5" w16cid:durableId="397635744">
    <w:abstractNumId w:val="17"/>
  </w:num>
  <w:num w:numId="6" w16cid:durableId="1648318210">
    <w:abstractNumId w:val="15"/>
  </w:num>
  <w:num w:numId="7" w16cid:durableId="331833269">
    <w:abstractNumId w:val="16"/>
  </w:num>
  <w:num w:numId="8" w16cid:durableId="162362834">
    <w:abstractNumId w:val="0"/>
  </w:num>
  <w:num w:numId="9" w16cid:durableId="493955748">
    <w:abstractNumId w:val="1"/>
  </w:num>
  <w:num w:numId="10" w16cid:durableId="1613436086">
    <w:abstractNumId w:val="14"/>
  </w:num>
  <w:num w:numId="11" w16cid:durableId="7873616">
    <w:abstractNumId w:val="10"/>
  </w:num>
  <w:num w:numId="12" w16cid:durableId="1726102718">
    <w:abstractNumId w:val="18"/>
  </w:num>
  <w:num w:numId="13" w16cid:durableId="333580693">
    <w:abstractNumId w:val="13"/>
  </w:num>
  <w:num w:numId="14" w16cid:durableId="1335911795">
    <w:abstractNumId w:val="8"/>
  </w:num>
  <w:num w:numId="15" w16cid:durableId="736320308">
    <w:abstractNumId w:val="6"/>
  </w:num>
  <w:num w:numId="16" w16cid:durableId="1160580737">
    <w:abstractNumId w:val="5"/>
  </w:num>
  <w:num w:numId="17" w16cid:durableId="1300263558">
    <w:abstractNumId w:val="12"/>
  </w:num>
  <w:num w:numId="18" w16cid:durableId="1937666945">
    <w:abstractNumId w:val="9"/>
  </w:num>
  <w:num w:numId="19" w16cid:durableId="8329145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2BF0"/>
    <w:rsid w:val="000A73E2"/>
    <w:rsid w:val="000B2715"/>
    <w:rsid w:val="000E21EF"/>
    <w:rsid w:val="0010162A"/>
    <w:rsid w:val="001561C5"/>
    <w:rsid w:val="00214307"/>
    <w:rsid w:val="002571F6"/>
    <w:rsid w:val="00282672"/>
    <w:rsid w:val="002B08FC"/>
    <w:rsid w:val="002B40F4"/>
    <w:rsid w:val="002B7536"/>
    <w:rsid w:val="002D66BB"/>
    <w:rsid w:val="002E6BDD"/>
    <w:rsid w:val="002F66E8"/>
    <w:rsid w:val="00310274"/>
    <w:rsid w:val="003134FE"/>
    <w:rsid w:val="003165EB"/>
    <w:rsid w:val="00364C03"/>
    <w:rsid w:val="003816DA"/>
    <w:rsid w:val="00385FFB"/>
    <w:rsid w:val="003E4A34"/>
    <w:rsid w:val="00412555"/>
    <w:rsid w:val="00461E1B"/>
    <w:rsid w:val="00482EA3"/>
    <w:rsid w:val="004844AD"/>
    <w:rsid w:val="004D4E78"/>
    <w:rsid w:val="004E62F6"/>
    <w:rsid w:val="004E7EA8"/>
    <w:rsid w:val="005115C2"/>
    <w:rsid w:val="00526EB1"/>
    <w:rsid w:val="005A056A"/>
    <w:rsid w:val="005B7917"/>
    <w:rsid w:val="005C1DCB"/>
    <w:rsid w:val="005E22E2"/>
    <w:rsid w:val="00670180"/>
    <w:rsid w:val="006760F1"/>
    <w:rsid w:val="006858CB"/>
    <w:rsid w:val="006D19B4"/>
    <w:rsid w:val="006E040C"/>
    <w:rsid w:val="007021C9"/>
    <w:rsid w:val="007077F2"/>
    <w:rsid w:val="00735813"/>
    <w:rsid w:val="00760990"/>
    <w:rsid w:val="00761B48"/>
    <w:rsid w:val="00780D75"/>
    <w:rsid w:val="007C6381"/>
    <w:rsid w:val="007E1175"/>
    <w:rsid w:val="00863B80"/>
    <w:rsid w:val="00863D3F"/>
    <w:rsid w:val="0088784C"/>
    <w:rsid w:val="008C4DE6"/>
    <w:rsid w:val="008D7C6A"/>
    <w:rsid w:val="00924460"/>
    <w:rsid w:val="009A5797"/>
    <w:rsid w:val="009B56F9"/>
    <w:rsid w:val="009B7B29"/>
    <w:rsid w:val="009E207F"/>
    <w:rsid w:val="009F1075"/>
    <w:rsid w:val="00A228FA"/>
    <w:rsid w:val="00A25198"/>
    <w:rsid w:val="00A27692"/>
    <w:rsid w:val="00A34049"/>
    <w:rsid w:val="00A40375"/>
    <w:rsid w:val="00A42564"/>
    <w:rsid w:val="00A72756"/>
    <w:rsid w:val="00A834F4"/>
    <w:rsid w:val="00A8394D"/>
    <w:rsid w:val="00A955D5"/>
    <w:rsid w:val="00A97B93"/>
    <w:rsid w:val="00AB5AF1"/>
    <w:rsid w:val="00AD274B"/>
    <w:rsid w:val="00AE404F"/>
    <w:rsid w:val="00AEBBAB"/>
    <w:rsid w:val="00AF3CB9"/>
    <w:rsid w:val="00AF4EB4"/>
    <w:rsid w:val="00AF7227"/>
    <w:rsid w:val="00B066B2"/>
    <w:rsid w:val="00B171DF"/>
    <w:rsid w:val="00B371AE"/>
    <w:rsid w:val="00B37C91"/>
    <w:rsid w:val="00B546E9"/>
    <w:rsid w:val="00B615FE"/>
    <w:rsid w:val="00B619ED"/>
    <w:rsid w:val="00B82EF6"/>
    <w:rsid w:val="00BB48DE"/>
    <w:rsid w:val="00BC79CC"/>
    <w:rsid w:val="00BE7172"/>
    <w:rsid w:val="00C06AC7"/>
    <w:rsid w:val="00C0733F"/>
    <w:rsid w:val="00C13123"/>
    <w:rsid w:val="00C14A13"/>
    <w:rsid w:val="00C24F21"/>
    <w:rsid w:val="00C3461A"/>
    <w:rsid w:val="00C41A18"/>
    <w:rsid w:val="00C6529D"/>
    <w:rsid w:val="00C965EE"/>
    <w:rsid w:val="00CA4211"/>
    <w:rsid w:val="00CA518A"/>
    <w:rsid w:val="00CB53C1"/>
    <w:rsid w:val="00CC431D"/>
    <w:rsid w:val="00CF1AB9"/>
    <w:rsid w:val="00DC0C56"/>
    <w:rsid w:val="00DD59C4"/>
    <w:rsid w:val="00E1663C"/>
    <w:rsid w:val="00E324FB"/>
    <w:rsid w:val="00E81AAD"/>
    <w:rsid w:val="00EA5546"/>
    <w:rsid w:val="00EB7791"/>
    <w:rsid w:val="00EE312E"/>
    <w:rsid w:val="00F6134F"/>
    <w:rsid w:val="00F6259C"/>
    <w:rsid w:val="00F753C2"/>
    <w:rsid w:val="00F8620F"/>
    <w:rsid w:val="00FE3AD8"/>
    <w:rsid w:val="00FF3E21"/>
    <w:rsid w:val="00FF5508"/>
    <w:rsid w:val="05C19957"/>
    <w:rsid w:val="08B47AEA"/>
    <w:rsid w:val="11FE1940"/>
    <w:rsid w:val="125AA5FE"/>
    <w:rsid w:val="1874E35D"/>
    <w:rsid w:val="1F2C4AA1"/>
    <w:rsid w:val="28F1233D"/>
    <w:rsid w:val="29586989"/>
    <w:rsid w:val="2E691073"/>
    <w:rsid w:val="389FD14C"/>
    <w:rsid w:val="3A1A3ADB"/>
    <w:rsid w:val="3A785D94"/>
    <w:rsid w:val="3D6224E1"/>
    <w:rsid w:val="47392100"/>
    <w:rsid w:val="4EC41A11"/>
    <w:rsid w:val="4FEEB38F"/>
    <w:rsid w:val="5092A6EE"/>
    <w:rsid w:val="52297F88"/>
    <w:rsid w:val="52BB387A"/>
    <w:rsid w:val="577B592C"/>
    <w:rsid w:val="5ECFE58C"/>
    <w:rsid w:val="6208DC35"/>
    <w:rsid w:val="651B05D2"/>
    <w:rsid w:val="66A63D8A"/>
    <w:rsid w:val="67781571"/>
    <w:rsid w:val="6AFFE271"/>
    <w:rsid w:val="71265EDE"/>
    <w:rsid w:val="71FAFCDD"/>
    <w:rsid w:val="7347B11F"/>
    <w:rsid w:val="7451A9BD"/>
    <w:rsid w:val="7661974D"/>
    <w:rsid w:val="78299289"/>
    <w:rsid w:val="792F4F2F"/>
    <w:rsid w:val="7B05659A"/>
    <w:rsid w:val="7C2EDDA2"/>
    <w:rsid w:val="7CCFF8AC"/>
    <w:rsid w:val="7CDD9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1459</Words>
  <Characters>7604</Characters>
  <Application>Microsoft Office Word</Application>
  <DocSecurity>0</DocSecurity>
  <Lines>760</Lines>
  <Paragraphs>647</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16</cp:revision>
  <cp:lastPrinted>2018-03-26T09:55:00Z</cp:lastPrinted>
  <dcterms:created xsi:type="dcterms:W3CDTF">2026-03-07T20:00:00Z</dcterms:created>
  <dcterms:modified xsi:type="dcterms:W3CDTF">2026-08-11T19:09:00Z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