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99571" w14:textId="115FC9BF" w:rsidR="000A73E2" w:rsidRPr="00B673BB" w:rsidRDefault="00B673BB" w:rsidP="00B673BB">
      <w:pPr>
        <w:jc w:val="right"/>
        <w:rPr>
          <w:rFonts w:ascii="Tahoma" w:hAnsi="Tahoma" w:cs="Tahoma"/>
          <w:b/>
          <w:bCs/>
        </w:rPr>
      </w:pPr>
      <w:r w:rsidRPr="350069B3">
        <w:rPr>
          <w:rFonts w:ascii="Tahoma" w:hAnsi="Tahoma" w:cs="Tahoma"/>
          <w:b/>
          <w:bCs/>
        </w:rPr>
        <w:t>Załącznik 1</w:t>
      </w:r>
      <w:r w:rsidR="2FB674B6" w:rsidRPr="350069B3">
        <w:rPr>
          <w:rFonts w:ascii="Tahoma" w:hAnsi="Tahoma" w:cs="Tahoma"/>
          <w:b/>
          <w:bCs/>
        </w:rPr>
        <w:t>.</w:t>
      </w:r>
      <w:r w:rsidR="00E634DB">
        <w:rPr>
          <w:rFonts w:ascii="Tahoma" w:hAnsi="Tahoma" w:cs="Tahoma"/>
          <w:b/>
          <w:bCs/>
        </w:rPr>
        <w:t>6</w:t>
      </w:r>
    </w:p>
    <w:p w14:paraId="19B52394" w14:textId="26C6D30B" w:rsidR="00200170" w:rsidRPr="00B673BB" w:rsidRDefault="00880051" w:rsidP="000A73E2">
      <w:pPr>
        <w:rPr>
          <w:rFonts w:ascii="Tahoma" w:hAnsi="Tahoma" w:cs="Tahoma"/>
          <w:b/>
          <w:bCs/>
        </w:rPr>
      </w:pPr>
      <w:r w:rsidRPr="00880051">
        <w:rPr>
          <w:rFonts w:ascii="Tahoma" w:hAnsi="Tahoma" w:cs="Tahoma"/>
          <w:b/>
          <w:bCs/>
        </w:rPr>
        <w:t xml:space="preserve">Serwer pod rozwiązania bezpieczeństwa </w:t>
      </w:r>
      <w:r w:rsidR="00001903">
        <w:rPr>
          <w:rFonts w:ascii="Tahoma" w:hAnsi="Tahoma" w:cs="Tahoma"/>
          <w:b/>
          <w:bCs/>
        </w:rPr>
        <w:t>(</w:t>
      </w:r>
      <w:r w:rsidR="001F4B42">
        <w:rPr>
          <w:rFonts w:ascii="Tahoma" w:hAnsi="Tahoma" w:cs="Tahoma"/>
          <w:b/>
          <w:bCs/>
        </w:rPr>
        <w:t>1</w:t>
      </w:r>
      <w:r w:rsidR="00001903">
        <w:rPr>
          <w:rFonts w:ascii="Tahoma" w:hAnsi="Tahoma" w:cs="Tahoma"/>
          <w:b/>
          <w:bCs/>
        </w:rPr>
        <w:t xml:space="preserve"> sztuk</w:t>
      </w:r>
      <w:r w:rsidR="00665108">
        <w:rPr>
          <w:rFonts w:ascii="Tahoma" w:hAnsi="Tahoma" w:cs="Tahoma"/>
          <w:b/>
          <w:bCs/>
        </w:rPr>
        <w:t>a</w:t>
      </w:r>
      <w:r w:rsidR="00001903">
        <w:rPr>
          <w:rFonts w:ascii="Tahoma" w:hAnsi="Tahoma" w:cs="Tahoma"/>
          <w:b/>
          <w:bCs/>
        </w:rPr>
        <w:t>)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825"/>
        <w:gridCol w:w="2289"/>
        <w:gridCol w:w="6520"/>
      </w:tblGrid>
      <w:tr w:rsidR="00D2077C" w:rsidRPr="00D2077C" w14:paraId="4522BE57" w14:textId="77777777" w:rsidTr="350069B3">
        <w:tc>
          <w:tcPr>
            <w:tcW w:w="825" w:type="dxa"/>
            <w:vAlign w:val="center"/>
            <w:hideMark/>
          </w:tcPr>
          <w:p w14:paraId="27E9DB22" w14:textId="77777777" w:rsidR="00D2077C" w:rsidRPr="00D2077C" w:rsidRDefault="00D2077C" w:rsidP="00B11F7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2077C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2289" w:type="dxa"/>
            <w:vAlign w:val="center"/>
            <w:hideMark/>
          </w:tcPr>
          <w:p w14:paraId="518872CE" w14:textId="77777777" w:rsidR="00D2077C" w:rsidRPr="00D2077C" w:rsidRDefault="00D2077C" w:rsidP="00B11F7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2077C">
              <w:rPr>
                <w:rFonts w:ascii="Tahoma" w:hAnsi="Tahoma" w:cs="Tahoma"/>
                <w:b/>
                <w:bCs/>
              </w:rPr>
              <w:t>Parametr</w:t>
            </w:r>
          </w:p>
        </w:tc>
        <w:tc>
          <w:tcPr>
            <w:tcW w:w="6520" w:type="dxa"/>
            <w:hideMark/>
          </w:tcPr>
          <w:p w14:paraId="7AA91F4D" w14:textId="77777777" w:rsidR="00D2077C" w:rsidRPr="00D2077C" w:rsidRDefault="00D2077C" w:rsidP="0A8052FF">
            <w:pPr>
              <w:spacing w:line="276" w:lineRule="auto"/>
              <w:jc w:val="center"/>
              <w:rPr>
                <w:rFonts w:ascii="Tahoma" w:hAnsi="Tahoma" w:cs="Tahoma"/>
                <w:b/>
                <w:bCs/>
              </w:rPr>
            </w:pPr>
            <w:r w:rsidRPr="0A8052FF">
              <w:rPr>
                <w:rFonts w:ascii="Tahoma" w:hAnsi="Tahoma" w:cs="Tahoma"/>
                <w:b/>
                <w:bCs/>
              </w:rPr>
              <w:t>Wymaganie minimalne</w:t>
            </w:r>
          </w:p>
        </w:tc>
      </w:tr>
      <w:tr w:rsidR="00D2077C" w:rsidRPr="00D2077C" w14:paraId="6950A8A7" w14:textId="77777777" w:rsidTr="350069B3">
        <w:tc>
          <w:tcPr>
            <w:tcW w:w="825" w:type="dxa"/>
            <w:vAlign w:val="center"/>
            <w:hideMark/>
          </w:tcPr>
          <w:p w14:paraId="60ECE2B3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1</w:t>
            </w:r>
          </w:p>
        </w:tc>
        <w:tc>
          <w:tcPr>
            <w:tcW w:w="2289" w:type="dxa"/>
            <w:vAlign w:val="center"/>
            <w:hideMark/>
          </w:tcPr>
          <w:p w14:paraId="7AC1D7B9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Przedmiot zamówienia</w:t>
            </w:r>
          </w:p>
        </w:tc>
        <w:tc>
          <w:tcPr>
            <w:tcW w:w="6520" w:type="dxa"/>
            <w:hideMark/>
          </w:tcPr>
          <w:p w14:paraId="05F7B14F" w14:textId="77777777" w:rsidR="0013644A" w:rsidRDefault="008E3985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E3985">
              <w:rPr>
                <w:rFonts w:ascii="Tahoma" w:hAnsi="Tahoma" w:cs="Tahoma"/>
              </w:rPr>
              <w:t xml:space="preserve">Przedmiotem zamówienia jest dostawa 1 fabrycznie nowego, kompletnego serwera fizycznego przeznaczonego do pracy w środowisku serwerowym, przystosowanego do montażu w szafie </w:t>
            </w:r>
            <w:proofErr w:type="spellStart"/>
            <w:r w:rsidRPr="008E3985">
              <w:rPr>
                <w:rFonts w:ascii="Tahoma" w:hAnsi="Tahoma" w:cs="Tahoma"/>
              </w:rPr>
              <w:t>rack</w:t>
            </w:r>
            <w:proofErr w:type="spellEnd"/>
            <w:r w:rsidRPr="008E3985">
              <w:rPr>
                <w:rFonts w:ascii="Tahoma" w:hAnsi="Tahoma" w:cs="Tahoma"/>
              </w:rPr>
              <w:t xml:space="preserve"> 19”, wraz z elementami niezbędnymi do jego uruchomienia i eksploatacji w infrastrukturze teleinformatycznej Zamawiającego. </w:t>
            </w:r>
          </w:p>
          <w:p w14:paraId="36020F9A" w14:textId="73B1324A" w:rsidR="0013644A" w:rsidRDefault="0013644A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13644A">
              <w:rPr>
                <w:rFonts w:ascii="Tahoma" w:hAnsi="Tahoma" w:cs="Tahoma"/>
              </w:rPr>
              <w:t xml:space="preserve">Serwer będzie wykorzystywany na potrzeby utrzymania systemów bezpieczeństwa wdrażanych w ramach tego samego zamówienia, w szczególności: systemu monitorowania infrastruktury opartego o oprogramowanie open </w:t>
            </w:r>
            <w:proofErr w:type="spellStart"/>
            <w:r w:rsidRPr="0013644A">
              <w:rPr>
                <w:rFonts w:ascii="Tahoma" w:hAnsi="Tahoma" w:cs="Tahoma"/>
              </w:rPr>
              <w:t>source</w:t>
            </w:r>
            <w:proofErr w:type="spellEnd"/>
            <w:r w:rsidRPr="0013644A">
              <w:rPr>
                <w:rFonts w:ascii="Tahoma" w:hAnsi="Tahoma" w:cs="Tahoma"/>
              </w:rPr>
              <w:t xml:space="preserve">, systemu NAC typu open </w:t>
            </w:r>
            <w:proofErr w:type="spellStart"/>
            <w:r w:rsidRPr="0013644A">
              <w:rPr>
                <w:rFonts w:ascii="Tahoma" w:hAnsi="Tahoma" w:cs="Tahoma"/>
              </w:rPr>
              <w:t>source</w:t>
            </w:r>
            <w:proofErr w:type="spellEnd"/>
            <w:r w:rsidRPr="0013644A">
              <w:rPr>
                <w:rFonts w:ascii="Tahoma" w:hAnsi="Tahoma" w:cs="Tahoma"/>
              </w:rPr>
              <w:t xml:space="preserve">, systemu ITSM typu open </w:t>
            </w:r>
            <w:proofErr w:type="spellStart"/>
            <w:r w:rsidRPr="0013644A">
              <w:rPr>
                <w:rFonts w:ascii="Tahoma" w:hAnsi="Tahoma" w:cs="Tahoma"/>
              </w:rPr>
              <w:t>source</w:t>
            </w:r>
            <w:proofErr w:type="spellEnd"/>
            <w:r w:rsidRPr="0013644A">
              <w:rPr>
                <w:rFonts w:ascii="Tahoma" w:hAnsi="Tahoma" w:cs="Tahoma"/>
              </w:rPr>
              <w:t xml:space="preserve">, menedżera logów opartego o oprogramowanie open </w:t>
            </w:r>
            <w:proofErr w:type="spellStart"/>
            <w:r w:rsidRPr="0013644A">
              <w:rPr>
                <w:rFonts w:ascii="Tahoma" w:hAnsi="Tahoma" w:cs="Tahoma"/>
              </w:rPr>
              <w:t>source</w:t>
            </w:r>
            <w:proofErr w:type="spellEnd"/>
            <w:r w:rsidRPr="0013644A">
              <w:rPr>
                <w:rFonts w:ascii="Tahoma" w:hAnsi="Tahoma" w:cs="Tahoma"/>
              </w:rPr>
              <w:t xml:space="preserve">, a także do współpracy z systemem NAS, NGFW oraz </w:t>
            </w:r>
            <w:proofErr w:type="spellStart"/>
            <w:r w:rsidRPr="0013644A">
              <w:rPr>
                <w:rFonts w:ascii="Tahoma" w:hAnsi="Tahoma" w:cs="Tahoma"/>
              </w:rPr>
              <w:t>zarządzalnym</w:t>
            </w:r>
            <w:proofErr w:type="spellEnd"/>
            <w:r w:rsidRPr="0013644A">
              <w:rPr>
                <w:rFonts w:ascii="Tahoma" w:hAnsi="Tahoma" w:cs="Tahoma"/>
              </w:rPr>
              <w:t xml:space="preserve"> przełącznikiem sieciowym z obsługą VLAN i 802.1X.</w:t>
            </w:r>
            <w:r w:rsidR="008E3985" w:rsidRPr="008E3985">
              <w:rPr>
                <w:rFonts w:ascii="Tahoma" w:hAnsi="Tahoma" w:cs="Tahoma"/>
              </w:rPr>
              <w:t xml:space="preserve"> </w:t>
            </w:r>
          </w:p>
          <w:p w14:paraId="797DC738" w14:textId="0A59E710" w:rsidR="0013644A" w:rsidRPr="00D2077C" w:rsidRDefault="008E3985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E3985">
              <w:rPr>
                <w:rFonts w:ascii="Tahoma" w:hAnsi="Tahoma" w:cs="Tahoma"/>
              </w:rPr>
              <w:t>Oferowane urządzenie musi być fabrycznie nowe, kompletne</w:t>
            </w:r>
            <w:r>
              <w:rPr>
                <w:rFonts w:ascii="Tahoma" w:hAnsi="Tahoma" w:cs="Tahoma"/>
              </w:rPr>
              <w:t xml:space="preserve"> </w:t>
            </w:r>
            <w:r w:rsidRPr="008E3985">
              <w:rPr>
                <w:rFonts w:ascii="Tahoma" w:hAnsi="Tahoma" w:cs="Tahoma"/>
              </w:rPr>
              <w:t>i być zdolne do pracy ciągłej w środowisku serwerowym.</w:t>
            </w:r>
          </w:p>
        </w:tc>
      </w:tr>
      <w:tr w:rsidR="00D2077C" w:rsidRPr="00D2077C" w14:paraId="0AD3DE41" w14:textId="77777777" w:rsidTr="350069B3">
        <w:tc>
          <w:tcPr>
            <w:tcW w:w="825" w:type="dxa"/>
            <w:vAlign w:val="center"/>
            <w:hideMark/>
          </w:tcPr>
          <w:p w14:paraId="5662EB81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2</w:t>
            </w:r>
          </w:p>
        </w:tc>
        <w:tc>
          <w:tcPr>
            <w:tcW w:w="2289" w:type="dxa"/>
            <w:vAlign w:val="center"/>
            <w:hideMark/>
          </w:tcPr>
          <w:p w14:paraId="2BF18FBA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Liczba serwerów</w:t>
            </w:r>
          </w:p>
        </w:tc>
        <w:tc>
          <w:tcPr>
            <w:tcW w:w="6520" w:type="dxa"/>
            <w:hideMark/>
          </w:tcPr>
          <w:p w14:paraId="6D23A091" w14:textId="4044027F" w:rsidR="00D2077C" w:rsidRPr="00D2077C" w:rsidRDefault="008E3985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E3985">
              <w:rPr>
                <w:rFonts w:ascii="Tahoma" w:hAnsi="Tahoma" w:cs="Tahoma"/>
              </w:rPr>
              <w:t>Dostarczone rozwiązanie musi obejmować 1 serwer fizyczny.</w:t>
            </w:r>
          </w:p>
        </w:tc>
      </w:tr>
      <w:tr w:rsidR="00D2077C" w:rsidRPr="00D2077C" w14:paraId="434622BC" w14:textId="77777777" w:rsidTr="350069B3">
        <w:tc>
          <w:tcPr>
            <w:tcW w:w="825" w:type="dxa"/>
            <w:vAlign w:val="center"/>
            <w:hideMark/>
          </w:tcPr>
          <w:p w14:paraId="7D021596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lastRenderedPageBreak/>
              <w:t>3</w:t>
            </w:r>
          </w:p>
        </w:tc>
        <w:tc>
          <w:tcPr>
            <w:tcW w:w="2289" w:type="dxa"/>
            <w:vAlign w:val="center"/>
            <w:hideMark/>
          </w:tcPr>
          <w:p w14:paraId="5403219D" w14:textId="135FE403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Architektura rozwiązania</w:t>
            </w:r>
          </w:p>
        </w:tc>
        <w:tc>
          <w:tcPr>
            <w:tcW w:w="6520" w:type="dxa"/>
            <w:hideMark/>
          </w:tcPr>
          <w:p w14:paraId="172D6346" w14:textId="29CD4006" w:rsidR="007C4B7A" w:rsidRPr="008E3985" w:rsidRDefault="008E3985" w:rsidP="350069B3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E3985">
              <w:rPr>
                <w:rFonts w:ascii="Tahoma" w:hAnsi="Tahoma" w:cs="Tahoma"/>
              </w:rPr>
              <w:t xml:space="preserve">Serwer będzie pełnił funkcję platformy sprzętowej dla usług i komponentów systemów bezpieczeństwa wdrażanych w ramach zamówienia. Zamawiający dopuszcza uruchomienie tych komponentów bezpośrednio na systemie operacyjnym, w środowisku </w:t>
            </w:r>
            <w:proofErr w:type="spellStart"/>
            <w:r w:rsidRPr="008E3985">
              <w:rPr>
                <w:rFonts w:ascii="Tahoma" w:hAnsi="Tahoma" w:cs="Tahoma"/>
              </w:rPr>
              <w:t>wirtualizacyjnym</w:t>
            </w:r>
            <w:proofErr w:type="spellEnd"/>
            <w:r w:rsidRPr="008E3985">
              <w:rPr>
                <w:rFonts w:ascii="Tahoma" w:hAnsi="Tahoma" w:cs="Tahoma"/>
              </w:rPr>
              <w:t xml:space="preserve">, kontenerowym albo mieszanym, zgodnie z projektem wdrożenia opracowanym przez Wykonawcę. Serwer musi umożliwiać uruchomienie lub obsługę komponentów zarządzających, analitycznych, rejestrujących, integracyjnych i pomocniczych dla systemu monitorowania infrastruktury, systemu NAC, systemu ITSM oraz menedżera logów. </w:t>
            </w:r>
            <w:r w:rsidR="004C4C4B" w:rsidRPr="004C4C4B">
              <w:rPr>
                <w:rFonts w:ascii="Tahoma" w:hAnsi="Tahoma" w:cs="Tahoma"/>
              </w:rPr>
              <w:t>Dane robocze, archiwalne, kopie zapasowe, repozytoria logów lub inne zasoby danych mogą być przechowywane na lokalnych dyskach serwera albo w systemie NAS dostarczanym i wdrażanym w ramach niniejszego zamówienia, zgodnie z projektem wdrożenia.</w:t>
            </w:r>
            <w:r w:rsidRPr="008E3985">
              <w:rPr>
                <w:rFonts w:ascii="Tahoma" w:hAnsi="Tahoma" w:cs="Tahoma"/>
              </w:rPr>
              <w:t xml:space="preserve"> </w:t>
            </w:r>
          </w:p>
        </w:tc>
      </w:tr>
      <w:tr w:rsidR="00D2077C" w:rsidRPr="00D2077C" w14:paraId="2E4F2EA5" w14:textId="77777777" w:rsidTr="350069B3">
        <w:tc>
          <w:tcPr>
            <w:tcW w:w="825" w:type="dxa"/>
            <w:vAlign w:val="center"/>
            <w:hideMark/>
          </w:tcPr>
          <w:p w14:paraId="74AF69E0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4</w:t>
            </w:r>
          </w:p>
        </w:tc>
        <w:tc>
          <w:tcPr>
            <w:tcW w:w="2289" w:type="dxa"/>
            <w:vAlign w:val="center"/>
            <w:hideMark/>
          </w:tcPr>
          <w:p w14:paraId="087D9F94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Typ serwera</w:t>
            </w:r>
          </w:p>
        </w:tc>
        <w:tc>
          <w:tcPr>
            <w:tcW w:w="6520" w:type="dxa"/>
            <w:hideMark/>
          </w:tcPr>
          <w:p w14:paraId="565FA524" w14:textId="048DD908" w:rsidR="00D2077C" w:rsidRPr="00D2077C" w:rsidRDefault="00CC1B7C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CC1B7C">
              <w:rPr>
                <w:rFonts w:ascii="Tahoma" w:hAnsi="Tahoma" w:cs="Tahoma"/>
              </w:rPr>
              <w:t xml:space="preserve">Serwer w obudowie typu </w:t>
            </w:r>
            <w:proofErr w:type="spellStart"/>
            <w:r w:rsidRPr="00CC1B7C">
              <w:rPr>
                <w:rFonts w:ascii="Tahoma" w:hAnsi="Tahoma" w:cs="Tahoma"/>
              </w:rPr>
              <w:t>rack</w:t>
            </w:r>
            <w:proofErr w:type="spellEnd"/>
            <w:r w:rsidRPr="00CC1B7C">
              <w:rPr>
                <w:rFonts w:ascii="Tahoma" w:hAnsi="Tahoma" w:cs="Tahoma"/>
              </w:rPr>
              <w:t>, przeznaczony do pracy w środowisku serwerowym, przystosowany do montażu w standardowej szafie teleinformatycznej 19”, zaprojektowany do pracy ciągłej i zastosowań związanych z obsługą usług infrastrukturalnych, aplikacyjnych, bezpieczeństwa, monitorowania, rejestrowania zdarzeń, zarządzania usługami IT lub środowisk wirtualnych.</w:t>
            </w:r>
          </w:p>
        </w:tc>
      </w:tr>
      <w:tr w:rsidR="00D2077C" w:rsidRPr="00D2077C" w14:paraId="5573AD48" w14:textId="77777777" w:rsidTr="350069B3">
        <w:tc>
          <w:tcPr>
            <w:tcW w:w="825" w:type="dxa"/>
            <w:vAlign w:val="center"/>
            <w:hideMark/>
          </w:tcPr>
          <w:p w14:paraId="2EBD3E3E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5</w:t>
            </w:r>
          </w:p>
        </w:tc>
        <w:tc>
          <w:tcPr>
            <w:tcW w:w="2289" w:type="dxa"/>
            <w:vAlign w:val="center"/>
            <w:hideMark/>
          </w:tcPr>
          <w:p w14:paraId="2D09A33F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Obudowa</w:t>
            </w:r>
          </w:p>
        </w:tc>
        <w:tc>
          <w:tcPr>
            <w:tcW w:w="6520" w:type="dxa"/>
            <w:hideMark/>
          </w:tcPr>
          <w:p w14:paraId="65C86FBE" w14:textId="3DEF3EA8" w:rsidR="00D2077C" w:rsidRPr="00D2077C" w:rsidRDefault="00D2077C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 xml:space="preserve">Obudowa przystosowana do montażu w standardowej szafie </w:t>
            </w:r>
            <w:proofErr w:type="spellStart"/>
            <w:r w:rsidRPr="0A8052FF">
              <w:rPr>
                <w:rFonts w:ascii="Tahoma" w:hAnsi="Tahoma" w:cs="Tahoma"/>
              </w:rPr>
              <w:t>rack</w:t>
            </w:r>
            <w:proofErr w:type="spellEnd"/>
            <w:r w:rsidRPr="0A8052FF">
              <w:rPr>
                <w:rFonts w:ascii="Tahoma" w:hAnsi="Tahoma" w:cs="Tahoma"/>
              </w:rPr>
              <w:t xml:space="preserve"> 19”, umożliwiająca instalację wszystkich wymaganych komponentów wewnętrznych oraz zapewniająca odpowiednią cyrkulację powietrza i warunki pracy w środowisku centrum przetwarzania danych. Konstrukcja musi umożliwiać wygodny dostęp serwisowy oraz montaż przy użyciu dedykowanych szyn instalacyjnych dostarczonych wraz z serwerem.</w:t>
            </w:r>
          </w:p>
        </w:tc>
      </w:tr>
      <w:tr w:rsidR="00D2077C" w:rsidRPr="00D2077C" w14:paraId="5DCDECA7" w14:textId="77777777" w:rsidTr="350069B3">
        <w:tc>
          <w:tcPr>
            <w:tcW w:w="825" w:type="dxa"/>
            <w:vAlign w:val="center"/>
            <w:hideMark/>
          </w:tcPr>
          <w:p w14:paraId="51CB7427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lastRenderedPageBreak/>
              <w:t>6</w:t>
            </w:r>
          </w:p>
        </w:tc>
        <w:tc>
          <w:tcPr>
            <w:tcW w:w="2289" w:type="dxa"/>
            <w:vAlign w:val="center"/>
            <w:hideMark/>
          </w:tcPr>
          <w:p w14:paraId="0533E393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Procesor</w:t>
            </w:r>
          </w:p>
        </w:tc>
        <w:tc>
          <w:tcPr>
            <w:tcW w:w="6520" w:type="dxa"/>
            <w:hideMark/>
          </w:tcPr>
          <w:p w14:paraId="32AE24FE" w14:textId="18E5320E" w:rsidR="00D2077C" w:rsidRPr="008F56B8" w:rsidRDefault="008F56B8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F56B8">
              <w:rPr>
                <w:rFonts w:ascii="Tahoma" w:hAnsi="Tahoma" w:cs="Tahoma"/>
              </w:rPr>
              <w:t xml:space="preserve">Serwer musi być wyposażony w co najmniej 1 procesor klasy serwerowej, zgodny z oferowaną platformą sprzętową, przeznaczony do pracy ciągłej w środowiskach serwerowych, wielozadaniowych i </w:t>
            </w:r>
            <w:proofErr w:type="spellStart"/>
            <w:r w:rsidRPr="008F56B8">
              <w:rPr>
                <w:rFonts w:ascii="Tahoma" w:hAnsi="Tahoma" w:cs="Tahoma"/>
              </w:rPr>
              <w:t>wirtualizacyjnych</w:t>
            </w:r>
            <w:proofErr w:type="spellEnd"/>
            <w:r w:rsidRPr="008F56B8">
              <w:rPr>
                <w:rFonts w:ascii="Tahoma" w:hAnsi="Tahoma" w:cs="Tahoma"/>
              </w:rPr>
              <w:t>, zgodny z architekturą x86-64.</w:t>
            </w:r>
          </w:p>
        </w:tc>
      </w:tr>
      <w:tr w:rsidR="00D2077C" w:rsidRPr="00D2077C" w14:paraId="6987E5C4" w14:textId="77777777" w:rsidTr="350069B3">
        <w:tc>
          <w:tcPr>
            <w:tcW w:w="825" w:type="dxa"/>
            <w:vAlign w:val="center"/>
            <w:hideMark/>
          </w:tcPr>
          <w:p w14:paraId="2B509CA7" w14:textId="76C54787" w:rsidR="00D2077C" w:rsidRPr="00D2077C" w:rsidRDefault="00B51707" w:rsidP="00B11F7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</w:t>
            </w:r>
          </w:p>
        </w:tc>
        <w:tc>
          <w:tcPr>
            <w:tcW w:w="2289" w:type="dxa"/>
            <w:vAlign w:val="center"/>
            <w:hideMark/>
          </w:tcPr>
          <w:p w14:paraId="4E968517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Pamięć RAM</w:t>
            </w:r>
          </w:p>
        </w:tc>
        <w:tc>
          <w:tcPr>
            <w:tcW w:w="6520" w:type="dxa"/>
            <w:hideMark/>
          </w:tcPr>
          <w:p w14:paraId="7F7C95B3" w14:textId="4044AE21" w:rsidR="00D2077C" w:rsidRPr="00D2077C" w:rsidRDefault="001C79E0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Serwer musi być wyposażony w zainstalowaną pamięć operacyjną RAM o łącznej pojemności nie mniejszej niż 32 GB. Zastosowana pamięć musi być kompatybilna z oferowaną platformą sprzętową oraz umożliwiać dalszą rozbudowę.</w:t>
            </w:r>
          </w:p>
        </w:tc>
      </w:tr>
      <w:tr w:rsidR="00D2077C" w:rsidRPr="00D2077C" w14:paraId="2FCCB20E" w14:textId="77777777" w:rsidTr="350069B3">
        <w:tc>
          <w:tcPr>
            <w:tcW w:w="825" w:type="dxa"/>
            <w:vAlign w:val="center"/>
            <w:hideMark/>
          </w:tcPr>
          <w:p w14:paraId="1D868638" w14:textId="4260260C" w:rsidR="00D2077C" w:rsidRPr="00D2077C" w:rsidRDefault="00B51707" w:rsidP="00B11F7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</w:t>
            </w:r>
          </w:p>
        </w:tc>
        <w:tc>
          <w:tcPr>
            <w:tcW w:w="2289" w:type="dxa"/>
            <w:vAlign w:val="center"/>
            <w:hideMark/>
          </w:tcPr>
          <w:p w14:paraId="4CD7C90A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Typ pamięci</w:t>
            </w:r>
          </w:p>
        </w:tc>
        <w:tc>
          <w:tcPr>
            <w:tcW w:w="6520" w:type="dxa"/>
            <w:hideMark/>
          </w:tcPr>
          <w:p w14:paraId="0D487567" w14:textId="2BF542C4" w:rsidR="00D2077C" w:rsidRPr="00D2077C" w:rsidRDefault="001C79E0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Serwer musi obsługiwać pamięć operacyjną typu zgodnego z architekturą oferowanego modelu, przeznaczoną do zastosowań serwerowych, zapewniającą kompatybilność z płytą główną i procesorem. Zastosowany typ pamięci musi wspierać funkcje wykrywania i korekcji błędów.</w:t>
            </w:r>
          </w:p>
        </w:tc>
      </w:tr>
      <w:tr w:rsidR="00D2077C" w:rsidRPr="00D2077C" w14:paraId="48364065" w14:textId="77777777" w:rsidTr="350069B3">
        <w:tc>
          <w:tcPr>
            <w:tcW w:w="825" w:type="dxa"/>
            <w:vAlign w:val="center"/>
            <w:hideMark/>
          </w:tcPr>
          <w:p w14:paraId="5AD7A16B" w14:textId="6C6091BA" w:rsidR="00D2077C" w:rsidRPr="00D2077C" w:rsidRDefault="00B51707" w:rsidP="00B11F7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</w:t>
            </w:r>
          </w:p>
        </w:tc>
        <w:tc>
          <w:tcPr>
            <w:tcW w:w="2289" w:type="dxa"/>
            <w:vAlign w:val="center"/>
            <w:hideMark/>
          </w:tcPr>
          <w:p w14:paraId="1D587A03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Maksymalna rozbudowa pamięci</w:t>
            </w:r>
          </w:p>
        </w:tc>
        <w:tc>
          <w:tcPr>
            <w:tcW w:w="6520" w:type="dxa"/>
            <w:hideMark/>
          </w:tcPr>
          <w:p w14:paraId="664D8D65" w14:textId="0D7EE873" w:rsidR="00D2077C" w:rsidRPr="00D2077C" w:rsidRDefault="001C79E0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Serwer musi umożliwiać rozbudowę pamięci operacyjnej RAM do poziomu co najmniej 128 GB, przy wykorzystaniu dostępnych slotów pamięci na płycie głównej, zgodnie z architekturą oferowanego modelu, bez konieczności wymiany podstawowych komponentów serwera.</w:t>
            </w:r>
          </w:p>
        </w:tc>
      </w:tr>
      <w:tr w:rsidR="00D2077C" w:rsidRPr="00D2077C" w14:paraId="6FF56F03" w14:textId="77777777" w:rsidTr="350069B3">
        <w:tc>
          <w:tcPr>
            <w:tcW w:w="825" w:type="dxa"/>
            <w:vAlign w:val="center"/>
            <w:hideMark/>
          </w:tcPr>
          <w:p w14:paraId="0742DCCD" w14:textId="65205EEB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1</w:t>
            </w:r>
            <w:r w:rsidR="003D42CD">
              <w:rPr>
                <w:rFonts w:ascii="Tahoma" w:hAnsi="Tahoma" w:cs="Tahoma"/>
              </w:rPr>
              <w:t>0</w:t>
            </w:r>
          </w:p>
        </w:tc>
        <w:tc>
          <w:tcPr>
            <w:tcW w:w="2289" w:type="dxa"/>
            <w:vAlign w:val="center"/>
            <w:hideMark/>
          </w:tcPr>
          <w:p w14:paraId="2B1D61FE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Dyski (konfiguracja i typ)</w:t>
            </w:r>
          </w:p>
        </w:tc>
        <w:tc>
          <w:tcPr>
            <w:tcW w:w="6520" w:type="dxa"/>
            <w:hideMark/>
          </w:tcPr>
          <w:p w14:paraId="2145059F" w14:textId="2C587BC2" w:rsidR="00D2077C" w:rsidRPr="00D2077C" w:rsidRDefault="00CF289E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CF289E">
              <w:rPr>
                <w:rFonts w:ascii="Tahoma" w:hAnsi="Tahoma" w:cs="Tahoma"/>
              </w:rPr>
              <w:t xml:space="preserve">Serwer musi być wyposażony w dyski w konfiguracji umożliwiającej utworzenie macierzy RAID 1, obejmującej co najmniej 2 dyski o pojemności minimum </w:t>
            </w:r>
            <w:r w:rsidR="00281041">
              <w:rPr>
                <w:rFonts w:ascii="Tahoma" w:hAnsi="Tahoma" w:cs="Tahoma"/>
              </w:rPr>
              <w:t>480</w:t>
            </w:r>
            <w:r w:rsidRPr="00CF289E">
              <w:rPr>
                <w:rFonts w:ascii="Tahoma" w:hAnsi="Tahoma" w:cs="Tahoma"/>
              </w:rPr>
              <w:t xml:space="preserve"> GB każdy, przeznaczone do pracy w środowisku serwerowym. Lokalna przestrzeń dyskowa serwera przeznaczona jest w szczególności na system operacyjny, środowisko wirtualizacji, maszyny wirtualne lub kontenery oraz podstawowe dane robocze. Repozytoria logów, dane archiwalne, kopie zapasowe oraz większe wolumeny danych powinny być przechowywane na systemie NAS </w:t>
            </w:r>
            <w:r w:rsidRPr="00CF289E">
              <w:rPr>
                <w:rFonts w:ascii="Tahoma" w:hAnsi="Tahoma" w:cs="Tahoma"/>
              </w:rPr>
              <w:lastRenderedPageBreak/>
              <w:t>dostarczanym i wdrażanym w ramach zamówienia, zgodnie z projektem wdrożenia.</w:t>
            </w:r>
          </w:p>
        </w:tc>
      </w:tr>
      <w:tr w:rsidR="00D2077C" w:rsidRPr="00D2077C" w14:paraId="57CE7774" w14:textId="77777777" w:rsidTr="350069B3">
        <w:tc>
          <w:tcPr>
            <w:tcW w:w="825" w:type="dxa"/>
            <w:vAlign w:val="center"/>
            <w:hideMark/>
          </w:tcPr>
          <w:p w14:paraId="35B0C685" w14:textId="0EC682ED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lastRenderedPageBreak/>
              <w:t>1</w:t>
            </w:r>
            <w:r w:rsidR="003D42CD">
              <w:rPr>
                <w:rFonts w:ascii="Tahoma" w:hAnsi="Tahoma" w:cs="Tahoma"/>
              </w:rPr>
              <w:t>1</w:t>
            </w:r>
          </w:p>
        </w:tc>
        <w:tc>
          <w:tcPr>
            <w:tcW w:w="2289" w:type="dxa"/>
            <w:vAlign w:val="center"/>
            <w:hideMark/>
          </w:tcPr>
          <w:p w14:paraId="59BC9CAE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Liczba zatok dyskowych</w:t>
            </w:r>
          </w:p>
        </w:tc>
        <w:tc>
          <w:tcPr>
            <w:tcW w:w="6520" w:type="dxa"/>
            <w:hideMark/>
          </w:tcPr>
          <w:p w14:paraId="33D39A2D" w14:textId="30140B4B" w:rsidR="00D2077C" w:rsidRPr="00D2077C" w:rsidRDefault="001C79E0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Serwer musi być wyposażony w co najmniej 4 zatoki dyskowe typu hot-</w:t>
            </w:r>
            <w:proofErr w:type="spellStart"/>
            <w:r w:rsidRPr="0A8052FF">
              <w:rPr>
                <w:rFonts w:ascii="Tahoma" w:hAnsi="Tahoma" w:cs="Tahoma"/>
              </w:rPr>
              <w:t>swap</w:t>
            </w:r>
            <w:proofErr w:type="spellEnd"/>
            <w:r w:rsidRPr="0A8052FF">
              <w:rPr>
                <w:rFonts w:ascii="Tahoma" w:hAnsi="Tahoma" w:cs="Tahoma"/>
              </w:rPr>
              <w:t>, przystosowane do instalacji dysków w standardzie 2.5” lub 3.5”, zgodnie z architekturą oferowanego modelu, umożliwiające rozbudowę przestrzeni dyskowej bez konieczności wyłączania urządzenia.</w:t>
            </w:r>
          </w:p>
        </w:tc>
      </w:tr>
      <w:tr w:rsidR="00D2077C" w:rsidRPr="00D2077C" w14:paraId="4E7A1DA3" w14:textId="77777777" w:rsidTr="350069B3">
        <w:tc>
          <w:tcPr>
            <w:tcW w:w="825" w:type="dxa"/>
            <w:vAlign w:val="center"/>
            <w:hideMark/>
          </w:tcPr>
          <w:p w14:paraId="26C98571" w14:textId="4B3953F8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1</w:t>
            </w:r>
            <w:r w:rsidR="003D42CD">
              <w:rPr>
                <w:rFonts w:ascii="Tahoma" w:hAnsi="Tahoma" w:cs="Tahoma"/>
              </w:rPr>
              <w:t>2</w:t>
            </w:r>
          </w:p>
        </w:tc>
        <w:tc>
          <w:tcPr>
            <w:tcW w:w="2289" w:type="dxa"/>
            <w:vAlign w:val="center"/>
            <w:hideMark/>
          </w:tcPr>
          <w:p w14:paraId="1C1113E6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Interfejsy sieciowe</w:t>
            </w:r>
          </w:p>
        </w:tc>
        <w:tc>
          <w:tcPr>
            <w:tcW w:w="6520" w:type="dxa"/>
            <w:hideMark/>
          </w:tcPr>
          <w:p w14:paraId="5721FF15" w14:textId="77777777" w:rsidR="009D512C" w:rsidRDefault="009D512C" w:rsidP="350069B3">
            <w:pPr>
              <w:spacing w:line="276" w:lineRule="auto"/>
              <w:jc w:val="both"/>
              <w:rPr>
                <w:rFonts w:ascii="Tahoma" w:eastAsia="Tahoma" w:hAnsi="Tahoma" w:cs="Tahoma"/>
              </w:rPr>
            </w:pPr>
            <w:r w:rsidRPr="009D512C">
              <w:rPr>
                <w:rFonts w:ascii="Tahoma" w:eastAsia="Tahoma" w:hAnsi="Tahoma" w:cs="Tahoma"/>
              </w:rPr>
              <w:t xml:space="preserve">Serwer musi być wyposażony w co najmniej jeden aktywny port sieciowy Ethernet 10 </w:t>
            </w:r>
            <w:proofErr w:type="spellStart"/>
            <w:r w:rsidRPr="009D512C">
              <w:rPr>
                <w:rFonts w:ascii="Tahoma" w:eastAsia="Tahoma" w:hAnsi="Tahoma" w:cs="Tahoma"/>
              </w:rPr>
              <w:t>Gb</w:t>
            </w:r>
            <w:proofErr w:type="spellEnd"/>
            <w:r w:rsidRPr="009D512C">
              <w:rPr>
                <w:rFonts w:ascii="Tahoma" w:eastAsia="Tahoma" w:hAnsi="Tahoma" w:cs="Tahoma"/>
              </w:rPr>
              <w:t xml:space="preserve">/s oraz co najmniej dwa aktywne porty Ethernet 1 </w:t>
            </w:r>
            <w:proofErr w:type="spellStart"/>
            <w:r w:rsidRPr="009D512C">
              <w:rPr>
                <w:rFonts w:ascii="Tahoma" w:eastAsia="Tahoma" w:hAnsi="Tahoma" w:cs="Tahoma"/>
              </w:rPr>
              <w:t>Gb</w:t>
            </w:r>
            <w:proofErr w:type="spellEnd"/>
            <w:r w:rsidRPr="009D512C">
              <w:rPr>
                <w:rFonts w:ascii="Tahoma" w:eastAsia="Tahoma" w:hAnsi="Tahoma" w:cs="Tahoma"/>
              </w:rPr>
              <w:t xml:space="preserve">/s. Dopuszcza się interfejs 10 </w:t>
            </w:r>
            <w:proofErr w:type="spellStart"/>
            <w:r w:rsidRPr="009D512C">
              <w:rPr>
                <w:rFonts w:ascii="Tahoma" w:eastAsia="Tahoma" w:hAnsi="Tahoma" w:cs="Tahoma"/>
              </w:rPr>
              <w:t>Gb</w:t>
            </w:r>
            <w:proofErr w:type="spellEnd"/>
            <w:r w:rsidRPr="009D512C">
              <w:rPr>
                <w:rFonts w:ascii="Tahoma" w:eastAsia="Tahoma" w:hAnsi="Tahoma" w:cs="Tahoma"/>
              </w:rPr>
              <w:t xml:space="preserve">/s w standardzie RJ-45 albo SFP+, pod warunkiem dostarczenia elementów niezbędnych do jego połączenia z systemem NAS lub przełącznikiem. Serwer musi umożliwiać późniejszą rozbudowę o dodatkowy port lub kartę 10 </w:t>
            </w:r>
            <w:proofErr w:type="spellStart"/>
            <w:r w:rsidRPr="009D512C">
              <w:rPr>
                <w:rFonts w:ascii="Tahoma" w:eastAsia="Tahoma" w:hAnsi="Tahoma" w:cs="Tahoma"/>
              </w:rPr>
              <w:t>Gb</w:t>
            </w:r>
            <w:proofErr w:type="spellEnd"/>
            <w:r w:rsidRPr="009D512C">
              <w:rPr>
                <w:rFonts w:ascii="Tahoma" w:eastAsia="Tahoma" w:hAnsi="Tahoma" w:cs="Tahoma"/>
              </w:rPr>
              <w:t>/s.</w:t>
            </w:r>
          </w:p>
          <w:p w14:paraId="622AA73C" w14:textId="26564857" w:rsidR="00D2077C" w:rsidRDefault="004C4C4B" w:rsidP="350069B3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4C4C4B">
              <w:rPr>
                <w:rFonts w:ascii="Tahoma" w:hAnsi="Tahoma" w:cs="Tahoma"/>
              </w:rPr>
              <w:t>Interfejsy sieciowe muszą umożliwiać realizację odrębnych funkcji komunikacyjnych, w szczególności dla ruchu zarządczego, ruchu usługowego/</w:t>
            </w:r>
            <w:proofErr w:type="spellStart"/>
            <w:r w:rsidRPr="004C4C4B">
              <w:rPr>
                <w:rFonts w:ascii="Tahoma" w:hAnsi="Tahoma" w:cs="Tahoma"/>
              </w:rPr>
              <w:t>wirtualizacyjnego</w:t>
            </w:r>
            <w:proofErr w:type="spellEnd"/>
            <w:r w:rsidRPr="004C4C4B">
              <w:rPr>
                <w:rFonts w:ascii="Tahoma" w:hAnsi="Tahoma" w:cs="Tahoma"/>
              </w:rPr>
              <w:t>, ruchu monitorowania i logowania oraz komunikacji z urządzeniem NAS i innymi elementami infrastruktury objętej zamówieniem, zgodnie z przyjętą architekturą wdrożenia.</w:t>
            </w:r>
          </w:p>
          <w:p w14:paraId="56351BD8" w14:textId="27545FC8" w:rsidR="006414F9" w:rsidRPr="00D2077C" w:rsidRDefault="004C4C4B" w:rsidP="350069B3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4C4C4B">
              <w:rPr>
                <w:rFonts w:ascii="Tahoma" w:hAnsi="Tahoma" w:cs="Tahoma"/>
              </w:rPr>
              <w:t xml:space="preserve">Interfejsy sieciowe serwera muszą być kompatybilne z urządzeniem NAS, </w:t>
            </w:r>
            <w:proofErr w:type="spellStart"/>
            <w:r w:rsidRPr="004C4C4B">
              <w:rPr>
                <w:rFonts w:ascii="Tahoma" w:hAnsi="Tahoma" w:cs="Tahoma"/>
              </w:rPr>
              <w:t>zarządzalnym</w:t>
            </w:r>
            <w:proofErr w:type="spellEnd"/>
            <w:r w:rsidRPr="004C4C4B">
              <w:rPr>
                <w:rFonts w:ascii="Tahoma" w:hAnsi="Tahoma" w:cs="Tahoma"/>
              </w:rPr>
              <w:t xml:space="preserve"> przełącznikiem sieciowym z obsługą VLAN i 802.1X, urządzeniem NGFW oraz pozostałymi elementami infrastruktury dostarczanymi lub wdrażanymi w ramach niniejszego zamówienia.</w:t>
            </w:r>
          </w:p>
        </w:tc>
      </w:tr>
      <w:tr w:rsidR="00D2077C" w:rsidRPr="00D2077C" w14:paraId="7B7FC327" w14:textId="77777777" w:rsidTr="350069B3">
        <w:tc>
          <w:tcPr>
            <w:tcW w:w="825" w:type="dxa"/>
            <w:vAlign w:val="center"/>
            <w:hideMark/>
          </w:tcPr>
          <w:p w14:paraId="3DCFCCD5" w14:textId="37D1E79A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1</w:t>
            </w:r>
            <w:r w:rsidR="003D42CD">
              <w:rPr>
                <w:rFonts w:ascii="Tahoma" w:hAnsi="Tahoma" w:cs="Tahoma"/>
              </w:rPr>
              <w:t>3</w:t>
            </w:r>
          </w:p>
        </w:tc>
        <w:tc>
          <w:tcPr>
            <w:tcW w:w="2289" w:type="dxa"/>
            <w:vAlign w:val="center"/>
            <w:hideMark/>
          </w:tcPr>
          <w:p w14:paraId="67F1E051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Możliwość rozbudowy sieci</w:t>
            </w:r>
          </w:p>
        </w:tc>
        <w:tc>
          <w:tcPr>
            <w:tcW w:w="6520" w:type="dxa"/>
            <w:hideMark/>
          </w:tcPr>
          <w:p w14:paraId="45377491" w14:textId="4E9DF86E" w:rsidR="00CC3373" w:rsidRPr="00D2077C" w:rsidRDefault="00082B36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082B36">
              <w:rPr>
                <w:rFonts w:ascii="Tahoma" w:hAnsi="Tahoma" w:cs="Tahoma"/>
              </w:rPr>
              <w:t xml:space="preserve">Serwer musi umożliwiać rozbudowę funkcji sieciowych poprzez instalację dodatkowych interfejsów komunikacyjnych, w szczególności w zakresie zwiększenia liczby portów, separacji ruchu administracyjnego i usługowego, obsługi dodatkowych segmentów sieci lub zwiększenia przepustowości połączeń. Rozbudowa nie może </w:t>
            </w:r>
            <w:r w:rsidRPr="00082B36">
              <w:rPr>
                <w:rFonts w:ascii="Tahoma" w:hAnsi="Tahoma" w:cs="Tahoma"/>
              </w:rPr>
              <w:lastRenderedPageBreak/>
              <w:t>wymagać wymiany całego serwera i musi być realizowana z wykorzystaniem rozwiązań przewidzianych przez producenta oferowanej platformy sprzętowej.</w:t>
            </w:r>
          </w:p>
        </w:tc>
      </w:tr>
      <w:tr w:rsidR="00D2077C" w:rsidRPr="00D2077C" w14:paraId="369164BC" w14:textId="77777777" w:rsidTr="350069B3">
        <w:tc>
          <w:tcPr>
            <w:tcW w:w="825" w:type="dxa"/>
            <w:vAlign w:val="center"/>
            <w:hideMark/>
          </w:tcPr>
          <w:p w14:paraId="6F6E9F42" w14:textId="6E470524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lastRenderedPageBreak/>
              <w:t>1</w:t>
            </w:r>
            <w:r w:rsidR="003D42CD">
              <w:rPr>
                <w:rFonts w:ascii="Tahoma" w:hAnsi="Tahoma" w:cs="Tahoma"/>
              </w:rPr>
              <w:t>4</w:t>
            </w:r>
          </w:p>
        </w:tc>
        <w:tc>
          <w:tcPr>
            <w:tcW w:w="2289" w:type="dxa"/>
            <w:vAlign w:val="center"/>
            <w:hideMark/>
          </w:tcPr>
          <w:p w14:paraId="01E09CFE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Porty I/O</w:t>
            </w:r>
          </w:p>
        </w:tc>
        <w:tc>
          <w:tcPr>
            <w:tcW w:w="6520" w:type="dxa"/>
            <w:hideMark/>
          </w:tcPr>
          <w:p w14:paraId="20F3730C" w14:textId="1F55F633" w:rsidR="00D2077C" w:rsidRPr="00D2077C" w:rsidRDefault="00540EA9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Serwer musi być wyposażony w porty wejścia/wyjścia umożliwiające podłączenie urządzeń peryferyjnych oraz obsługę serwisową, w tym co najmniej: 2 porty USB, 1 port wideo oraz porty wymagane do zarządzania i diagnostyki, zgodnie z architekturą oferowanego modelu.</w:t>
            </w:r>
          </w:p>
        </w:tc>
      </w:tr>
      <w:tr w:rsidR="00D2077C" w:rsidRPr="00D2077C" w14:paraId="3F632EE4" w14:textId="77777777" w:rsidTr="350069B3">
        <w:tc>
          <w:tcPr>
            <w:tcW w:w="825" w:type="dxa"/>
            <w:vAlign w:val="center"/>
            <w:hideMark/>
          </w:tcPr>
          <w:p w14:paraId="02D254D2" w14:textId="690A92FD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1</w:t>
            </w:r>
            <w:r w:rsidR="003D42CD">
              <w:rPr>
                <w:rFonts w:ascii="Tahoma" w:hAnsi="Tahoma" w:cs="Tahoma"/>
              </w:rPr>
              <w:t>5</w:t>
            </w:r>
          </w:p>
        </w:tc>
        <w:tc>
          <w:tcPr>
            <w:tcW w:w="2289" w:type="dxa"/>
            <w:vAlign w:val="center"/>
            <w:hideMark/>
          </w:tcPr>
          <w:p w14:paraId="5A0CAB91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Zarządzanie zdalne</w:t>
            </w:r>
          </w:p>
        </w:tc>
        <w:tc>
          <w:tcPr>
            <w:tcW w:w="6520" w:type="dxa"/>
            <w:hideMark/>
          </w:tcPr>
          <w:p w14:paraId="60579EA0" w14:textId="77777777" w:rsidR="00082B36" w:rsidRDefault="00082B36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082B36">
              <w:rPr>
                <w:rFonts w:ascii="Tahoma" w:hAnsi="Tahoma" w:cs="Tahoma"/>
              </w:rPr>
              <w:t xml:space="preserve">Serwer musi być wyposażony w mechanizm zarządzania zdalnego typu out-of-band albo równoważny mechanizm zarządzania sprzętowego, niezależny od systemu operacyjnego, umożliwiający co najmniej: zdalny dostęp administracyjny do funkcji zarządzania, monitorowanie stanu sprzętu, zarządzanie zasilaniem oraz wykonywanie podstawowych operacji diagnostycznych i administracyjnych. </w:t>
            </w:r>
          </w:p>
          <w:p w14:paraId="331ECB1F" w14:textId="0F9EF632" w:rsidR="00075E8B" w:rsidRPr="00D2077C" w:rsidRDefault="00082B36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082B36">
              <w:rPr>
                <w:rFonts w:ascii="Tahoma" w:hAnsi="Tahoma" w:cs="Tahoma"/>
              </w:rPr>
              <w:t>Dopuszcza się realizację zarządzania przez dedykowany port fizyczny, port współdzielony albo inny mechanizm przewidziany przez producenta oferowanej platformy, pod warunkiem zapewnienia bezpiecznej administracji.</w:t>
            </w:r>
          </w:p>
        </w:tc>
      </w:tr>
      <w:tr w:rsidR="00D2077C" w:rsidRPr="00D2077C" w14:paraId="4D0BB005" w14:textId="77777777" w:rsidTr="350069B3">
        <w:tc>
          <w:tcPr>
            <w:tcW w:w="825" w:type="dxa"/>
            <w:vAlign w:val="center"/>
            <w:hideMark/>
          </w:tcPr>
          <w:p w14:paraId="5B0AB75E" w14:textId="40712D90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1</w:t>
            </w:r>
            <w:r w:rsidR="003D42CD">
              <w:rPr>
                <w:rFonts w:ascii="Tahoma" w:hAnsi="Tahoma" w:cs="Tahoma"/>
              </w:rPr>
              <w:t>6</w:t>
            </w:r>
          </w:p>
        </w:tc>
        <w:tc>
          <w:tcPr>
            <w:tcW w:w="2289" w:type="dxa"/>
            <w:vAlign w:val="center"/>
            <w:hideMark/>
          </w:tcPr>
          <w:p w14:paraId="4529897C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Funkcje zarządzania i monitoringu</w:t>
            </w:r>
          </w:p>
        </w:tc>
        <w:tc>
          <w:tcPr>
            <w:tcW w:w="6520" w:type="dxa"/>
            <w:hideMark/>
          </w:tcPr>
          <w:p w14:paraId="424DBE3A" w14:textId="77777777" w:rsidR="00CC3373" w:rsidRDefault="00CC3373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Serwer musi zapewniać funkcje zarządzania i monitoringu umożliwiające co najmniej: bieżące monitorowanie parametrów pracy (temperatura, zasilanie, wentylatory, dyski), rejestrowanie zdarzeń sprzętowych, generowanie alertów oraz integrację z zewnętrznymi systemami zarządzania.</w:t>
            </w:r>
            <w:r>
              <w:br/>
            </w:r>
            <w:r w:rsidRPr="0A8052FF">
              <w:rPr>
                <w:rFonts w:ascii="Tahoma" w:hAnsi="Tahoma" w:cs="Tahoma"/>
              </w:rPr>
              <w:t>Rozwiązanie musi umożliwiać przekazywanie informacji o stanie pracy i zdarzeniach do zewnętrznych systemów monitorowania lub bezpieczeństwa, z wykorzystaniem mechanizmów komunikacji i integracji.</w:t>
            </w:r>
          </w:p>
          <w:p w14:paraId="658C28F2" w14:textId="01F88A54" w:rsidR="00CF289E" w:rsidRPr="00D2077C" w:rsidRDefault="00CF289E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CF289E">
              <w:rPr>
                <w:rFonts w:ascii="Tahoma" w:hAnsi="Tahoma" w:cs="Tahoma"/>
              </w:rPr>
              <w:lastRenderedPageBreak/>
              <w:t xml:space="preserve">Integracja z systemem monitorowania infrastruktury oraz menedżerem logów musi być możliwa co najmniej z wykorzystaniem mechanizmów udostępnianych przez producenta serwera, takich jak </w:t>
            </w:r>
            <w:r>
              <w:rPr>
                <w:rFonts w:ascii="Tahoma" w:hAnsi="Tahoma" w:cs="Tahoma"/>
              </w:rPr>
              <w:t xml:space="preserve">np.: </w:t>
            </w:r>
            <w:r w:rsidRPr="00CF289E">
              <w:rPr>
                <w:rFonts w:ascii="Tahoma" w:hAnsi="Tahoma" w:cs="Tahoma"/>
              </w:rPr>
              <w:t xml:space="preserve">SNMP, </w:t>
            </w:r>
            <w:proofErr w:type="spellStart"/>
            <w:r w:rsidRPr="00CF289E">
              <w:rPr>
                <w:rFonts w:ascii="Tahoma" w:hAnsi="Tahoma" w:cs="Tahoma"/>
              </w:rPr>
              <w:t>syslog</w:t>
            </w:r>
            <w:proofErr w:type="spellEnd"/>
            <w:r w:rsidRPr="00CF289E">
              <w:rPr>
                <w:rFonts w:ascii="Tahoma" w:hAnsi="Tahoma" w:cs="Tahoma"/>
              </w:rPr>
              <w:t>, API lub równoważne mechanizmy monitorowania i przekazywania zdarzeń. Jeżeli do wykorzystania wymaganych funkcji monitorowania lub zarządzania konieczne są dodatkowe licencje, muszą one zostać dostarczone w ramach ceny oferty.</w:t>
            </w:r>
          </w:p>
        </w:tc>
      </w:tr>
      <w:tr w:rsidR="00D2077C" w:rsidRPr="00D2077C" w14:paraId="733A89D0" w14:textId="77777777" w:rsidTr="350069B3">
        <w:tc>
          <w:tcPr>
            <w:tcW w:w="825" w:type="dxa"/>
            <w:vAlign w:val="center"/>
            <w:hideMark/>
          </w:tcPr>
          <w:p w14:paraId="546C7D11" w14:textId="49D6392E" w:rsidR="00D2077C" w:rsidRPr="00D2077C" w:rsidRDefault="00B51707" w:rsidP="00B11F7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</w:t>
            </w:r>
            <w:r w:rsidR="003D42CD">
              <w:rPr>
                <w:rFonts w:ascii="Tahoma" w:hAnsi="Tahoma" w:cs="Tahoma"/>
              </w:rPr>
              <w:t>7</w:t>
            </w:r>
          </w:p>
        </w:tc>
        <w:tc>
          <w:tcPr>
            <w:tcW w:w="2289" w:type="dxa"/>
            <w:vAlign w:val="center"/>
            <w:hideMark/>
          </w:tcPr>
          <w:p w14:paraId="6106D96E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Zasilanie i redundancja</w:t>
            </w:r>
          </w:p>
        </w:tc>
        <w:tc>
          <w:tcPr>
            <w:tcW w:w="6520" w:type="dxa"/>
            <w:hideMark/>
          </w:tcPr>
          <w:p w14:paraId="3E0E2443" w14:textId="77777777" w:rsidR="00D2077C" w:rsidRDefault="00540EA9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Serwer musi być wyposażony w zasilanie redundantne, realizowane przez co najmniej 2 zasilacze hot-plug pracujące w układzie nadmiarowym, zapewniające ciągłość pracy urządzenia w przypadku awarii jednego z nich. Zastosowane rozwiązanie musi być zgodne z architekturą oferowanego modelu oraz umożliwiać wymianę uszkodzonego zasilacza bez konieczności wyłączania serwera.</w:t>
            </w:r>
          </w:p>
          <w:p w14:paraId="5ED02C26" w14:textId="4AE2D9CB" w:rsidR="00CC3373" w:rsidRPr="00D2077C" w:rsidRDefault="00CC3373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Zastosowane zasilacze oraz sposób zasilania serwera muszą być kompatybilne z systemem zasilania awaryjnego UPS, w zakresie niezbędnym do zapewnienia bezpiecznej pracy i podtrzymania zasilania.</w:t>
            </w:r>
          </w:p>
        </w:tc>
      </w:tr>
      <w:tr w:rsidR="00D2077C" w:rsidRPr="00D2077C" w14:paraId="2D4F3F26" w14:textId="77777777" w:rsidTr="350069B3">
        <w:tc>
          <w:tcPr>
            <w:tcW w:w="825" w:type="dxa"/>
            <w:vAlign w:val="center"/>
            <w:hideMark/>
          </w:tcPr>
          <w:p w14:paraId="27C5F2DD" w14:textId="33008767" w:rsidR="00D2077C" w:rsidRPr="00D2077C" w:rsidRDefault="003D42CD" w:rsidP="00B11F7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18</w:t>
            </w:r>
          </w:p>
        </w:tc>
        <w:tc>
          <w:tcPr>
            <w:tcW w:w="2289" w:type="dxa"/>
            <w:vAlign w:val="center"/>
            <w:hideMark/>
          </w:tcPr>
          <w:p w14:paraId="7002DD53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System chłodzenia</w:t>
            </w:r>
          </w:p>
        </w:tc>
        <w:tc>
          <w:tcPr>
            <w:tcW w:w="6520" w:type="dxa"/>
            <w:hideMark/>
          </w:tcPr>
          <w:p w14:paraId="38F1BF93" w14:textId="5E18C6A0" w:rsidR="00D2077C" w:rsidRPr="00D2077C" w:rsidRDefault="00540EA9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Serwer musi być wyposażony w system chłodzenia przystosowany do pracy ciągłej w środowisku serwerowym.</w:t>
            </w:r>
          </w:p>
        </w:tc>
      </w:tr>
      <w:tr w:rsidR="00D2077C" w:rsidRPr="00D2077C" w14:paraId="3686C239" w14:textId="77777777" w:rsidTr="350069B3">
        <w:tc>
          <w:tcPr>
            <w:tcW w:w="825" w:type="dxa"/>
            <w:vAlign w:val="center"/>
            <w:hideMark/>
          </w:tcPr>
          <w:p w14:paraId="543658FD" w14:textId="1F214921" w:rsidR="00D2077C" w:rsidRPr="00D2077C" w:rsidRDefault="003D42CD" w:rsidP="00B11F7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19</w:t>
            </w:r>
          </w:p>
        </w:tc>
        <w:tc>
          <w:tcPr>
            <w:tcW w:w="2289" w:type="dxa"/>
            <w:vAlign w:val="center"/>
            <w:hideMark/>
          </w:tcPr>
          <w:p w14:paraId="4400C6FD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Obsługiwane systemy / wirtualizacja</w:t>
            </w:r>
          </w:p>
        </w:tc>
        <w:tc>
          <w:tcPr>
            <w:tcW w:w="6520" w:type="dxa"/>
            <w:hideMark/>
          </w:tcPr>
          <w:p w14:paraId="6CDEB305" w14:textId="59AA4F50" w:rsidR="00CF289E" w:rsidRPr="00D2077C" w:rsidRDefault="00CF289E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CF289E">
              <w:rPr>
                <w:rFonts w:ascii="Tahoma" w:hAnsi="Tahoma" w:cs="Tahoma"/>
              </w:rPr>
              <w:t>Serwer musi wspierać instalację i eksploatację open-</w:t>
            </w:r>
            <w:proofErr w:type="spellStart"/>
            <w:r w:rsidRPr="00CF289E">
              <w:rPr>
                <w:rFonts w:ascii="Tahoma" w:hAnsi="Tahoma" w:cs="Tahoma"/>
              </w:rPr>
              <w:t>source’owego</w:t>
            </w:r>
            <w:proofErr w:type="spellEnd"/>
            <w:r w:rsidRPr="00CF289E">
              <w:rPr>
                <w:rFonts w:ascii="Tahoma" w:hAnsi="Tahoma" w:cs="Tahoma"/>
              </w:rPr>
              <w:t xml:space="preserve"> systemu wirtualizacji wdrażanego w ramach niniejszego zamówienia oraz umożliwiać uruchamianie maszyn wirtualnych lub kontenerów przeznaczonych dla komponentów systemu monitorowania infrastruktury, NAC, ITSM oraz menedżera logów. Oferowana platforma sprzętowa musi wspierać sprzętowe mechanizmy </w:t>
            </w:r>
            <w:r w:rsidRPr="00CF289E">
              <w:rPr>
                <w:rFonts w:ascii="Tahoma" w:hAnsi="Tahoma" w:cs="Tahoma"/>
              </w:rPr>
              <w:lastRenderedPageBreak/>
              <w:t>wirtualizacji procesora, obsługę pamięci z korekcją błędów oraz stabilną pracę ciągłą w środowisku serwerowym.</w:t>
            </w:r>
          </w:p>
        </w:tc>
      </w:tr>
      <w:tr w:rsidR="00CC3373" w:rsidRPr="00D2077C" w14:paraId="5519CE9B" w14:textId="77777777" w:rsidTr="350069B3">
        <w:tc>
          <w:tcPr>
            <w:tcW w:w="825" w:type="dxa"/>
            <w:vAlign w:val="center"/>
          </w:tcPr>
          <w:p w14:paraId="662C2EC4" w14:textId="0F178ED7" w:rsidR="00CC3373" w:rsidRPr="00D2077C" w:rsidRDefault="00CC3373" w:rsidP="00B11F7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2</w:t>
            </w:r>
            <w:r w:rsidR="003D42CD">
              <w:rPr>
                <w:rFonts w:ascii="Tahoma" w:hAnsi="Tahoma" w:cs="Tahoma"/>
              </w:rPr>
              <w:t>0</w:t>
            </w:r>
          </w:p>
        </w:tc>
        <w:tc>
          <w:tcPr>
            <w:tcW w:w="2289" w:type="dxa"/>
            <w:vAlign w:val="center"/>
          </w:tcPr>
          <w:p w14:paraId="480B0F30" w14:textId="08BDC509" w:rsidR="00CC3373" w:rsidRPr="00D2077C" w:rsidRDefault="00CC3373" w:rsidP="00B11F75">
            <w:pPr>
              <w:rPr>
                <w:rFonts w:ascii="Tahoma" w:hAnsi="Tahoma" w:cs="Tahoma"/>
              </w:rPr>
            </w:pPr>
            <w:r w:rsidRPr="00CC3373">
              <w:rPr>
                <w:rFonts w:ascii="Tahoma" w:hAnsi="Tahoma" w:cs="Tahoma"/>
              </w:rPr>
              <w:t>Kompatybilność z pozostałymi elementami zamówienia</w:t>
            </w:r>
          </w:p>
        </w:tc>
        <w:tc>
          <w:tcPr>
            <w:tcW w:w="6520" w:type="dxa"/>
          </w:tcPr>
          <w:p w14:paraId="3EDE45E2" w14:textId="37772F6B" w:rsidR="004C4C4B" w:rsidRDefault="004C4C4B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4C4C4B">
              <w:rPr>
                <w:rFonts w:ascii="Tahoma" w:hAnsi="Tahoma" w:cs="Tahoma"/>
              </w:rPr>
              <w:t xml:space="preserve">Oferowany serwer musi być kompatybilny z pozostałymi elementami infrastruktury dostarczanymi lub wdrażanymi w ramach tego samego zamówienia, w szczególności z systemem monitorowania infrastruktury open </w:t>
            </w:r>
            <w:proofErr w:type="spellStart"/>
            <w:r w:rsidRPr="004C4C4B">
              <w:rPr>
                <w:rFonts w:ascii="Tahoma" w:hAnsi="Tahoma" w:cs="Tahoma"/>
              </w:rPr>
              <w:t>source</w:t>
            </w:r>
            <w:proofErr w:type="spellEnd"/>
            <w:r w:rsidRPr="004C4C4B">
              <w:rPr>
                <w:rFonts w:ascii="Tahoma" w:hAnsi="Tahoma" w:cs="Tahoma"/>
              </w:rPr>
              <w:t xml:space="preserve">,  systemem NAC open </w:t>
            </w:r>
            <w:proofErr w:type="spellStart"/>
            <w:r w:rsidRPr="004C4C4B">
              <w:rPr>
                <w:rFonts w:ascii="Tahoma" w:hAnsi="Tahoma" w:cs="Tahoma"/>
              </w:rPr>
              <w:t>source</w:t>
            </w:r>
            <w:proofErr w:type="spellEnd"/>
            <w:r w:rsidRPr="004C4C4B">
              <w:rPr>
                <w:rFonts w:ascii="Tahoma" w:hAnsi="Tahoma" w:cs="Tahoma"/>
              </w:rPr>
              <w:t xml:space="preserve">, systemem ITSM open </w:t>
            </w:r>
            <w:proofErr w:type="spellStart"/>
            <w:r w:rsidRPr="004C4C4B">
              <w:rPr>
                <w:rFonts w:ascii="Tahoma" w:hAnsi="Tahoma" w:cs="Tahoma"/>
              </w:rPr>
              <w:t>source</w:t>
            </w:r>
            <w:proofErr w:type="spellEnd"/>
            <w:r w:rsidRPr="004C4C4B">
              <w:rPr>
                <w:rFonts w:ascii="Tahoma" w:hAnsi="Tahoma" w:cs="Tahoma"/>
              </w:rPr>
              <w:t xml:space="preserve">, menedżerem logów open </w:t>
            </w:r>
            <w:proofErr w:type="spellStart"/>
            <w:r w:rsidRPr="004C4C4B">
              <w:rPr>
                <w:rFonts w:ascii="Tahoma" w:hAnsi="Tahoma" w:cs="Tahoma"/>
              </w:rPr>
              <w:t>source</w:t>
            </w:r>
            <w:proofErr w:type="spellEnd"/>
            <w:r w:rsidRPr="004C4C4B">
              <w:rPr>
                <w:rFonts w:ascii="Tahoma" w:hAnsi="Tahoma" w:cs="Tahoma"/>
              </w:rPr>
              <w:t xml:space="preserve">, systemem NAS, urządzeniem NGFW oraz </w:t>
            </w:r>
            <w:proofErr w:type="spellStart"/>
            <w:r w:rsidRPr="004C4C4B">
              <w:rPr>
                <w:rFonts w:ascii="Tahoma" w:hAnsi="Tahoma" w:cs="Tahoma"/>
              </w:rPr>
              <w:t>zarządzalnym</w:t>
            </w:r>
            <w:proofErr w:type="spellEnd"/>
            <w:r w:rsidRPr="004C4C4B">
              <w:rPr>
                <w:rFonts w:ascii="Tahoma" w:hAnsi="Tahoma" w:cs="Tahoma"/>
              </w:rPr>
              <w:t xml:space="preserve"> przełącznikiem sieciowym z obsługą VLAN i 802.1X.</w:t>
            </w:r>
            <w:r w:rsidR="00232399" w:rsidRPr="00232399">
              <w:rPr>
                <w:rFonts w:ascii="Tahoma" w:hAnsi="Tahoma" w:cs="Tahoma"/>
              </w:rPr>
              <w:t xml:space="preserve"> </w:t>
            </w:r>
          </w:p>
          <w:p w14:paraId="7959C85C" w14:textId="77777777" w:rsidR="00CC3373" w:rsidRDefault="004C4C4B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4C4C4B">
              <w:rPr>
                <w:rFonts w:ascii="Tahoma" w:hAnsi="Tahoma" w:cs="Tahoma"/>
              </w:rPr>
              <w:t>Kompatybilność obejmuje co najmniej możliwość wspólnego uruchomienia, konfiguracji, komunikacji sieciowej, administrowania, monitorowania, przekazywania logów i zdarzeń oraz eksploatacji tych elementów zgodnie z projektem wdrożenia.</w:t>
            </w:r>
          </w:p>
          <w:p w14:paraId="6B52732F" w14:textId="75D84A3A" w:rsidR="00CF289E" w:rsidRPr="00CF289E" w:rsidRDefault="00CF289E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CF289E">
              <w:rPr>
                <w:rFonts w:ascii="Tahoma" w:hAnsi="Tahoma" w:cs="Tahoma"/>
              </w:rPr>
              <w:t>Wykonawca zobowiązany jest dostarczyć wszystkie elementy połączeniowe, montażowe, konfiguracyjne i licencyjne dotyczące oferowanego serwera, jeżeli są wymagane do jego uruchomienia, podłączenia, zarządzania, monitorowania i eksploatacji w przyjętej architekturze rozwiązania.</w:t>
            </w:r>
          </w:p>
        </w:tc>
      </w:tr>
      <w:tr w:rsidR="00D2077C" w:rsidRPr="00D2077C" w14:paraId="14AC051C" w14:textId="77777777" w:rsidTr="350069B3">
        <w:tc>
          <w:tcPr>
            <w:tcW w:w="825" w:type="dxa"/>
            <w:vAlign w:val="center"/>
            <w:hideMark/>
          </w:tcPr>
          <w:p w14:paraId="6AD5E4D6" w14:textId="5343B2F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2</w:t>
            </w:r>
            <w:r w:rsidR="003D42CD">
              <w:rPr>
                <w:rFonts w:ascii="Tahoma" w:hAnsi="Tahoma" w:cs="Tahoma"/>
              </w:rPr>
              <w:t>1</w:t>
            </w:r>
          </w:p>
        </w:tc>
        <w:tc>
          <w:tcPr>
            <w:tcW w:w="2289" w:type="dxa"/>
            <w:vAlign w:val="center"/>
            <w:hideMark/>
          </w:tcPr>
          <w:p w14:paraId="2AB8E7AB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Bezpieczeństwo sprzętowe</w:t>
            </w:r>
          </w:p>
        </w:tc>
        <w:tc>
          <w:tcPr>
            <w:tcW w:w="6520" w:type="dxa"/>
            <w:hideMark/>
          </w:tcPr>
          <w:p w14:paraId="129C63C4" w14:textId="1A54ED38" w:rsidR="00D2077C" w:rsidRPr="00D2077C" w:rsidRDefault="004C51B1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350069B3">
              <w:rPr>
                <w:rFonts w:ascii="Tahoma" w:hAnsi="Tahoma" w:cs="Tahoma"/>
              </w:rPr>
              <w:t>Serwer musi być wyposażony w mechanizmy bezpieczeństwa sprzętowego wspierające ochronę integralności uruchamiania oraz tożsamości platformy, w tym co najmniej moduł TPM w wersji 2</w:t>
            </w:r>
            <w:r w:rsidR="4B2AB055" w:rsidRPr="350069B3">
              <w:rPr>
                <w:rFonts w:ascii="Tahoma" w:hAnsi="Tahoma" w:cs="Tahoma"/>
              </w:rPr>
              <w:t>.0</w:t>
            </w:r>
            <w:r w:rsidRPr="350069B3">
              <w:rPr>
                <w:rFonts w:ascii="Tahoma" w:hAnsi="Tahoma" w:cs="Tahoma"/>
              </w:rPr>
              <w:t xml:space="preserve">. Rozwiązanie musi umożliwiać stosowanie zabezpieczeń wymaganych dla środowisk serwerowych i </w:t>
            </w:r>
            <w:proofErr w:type="spellStart"/>
            <w:r w:rsidRPr="350069B3">
              <w:rPr>
                <w:rFonts w:ascii="Tahoma" w:hAnsi="Tahoma" w:cs="Tahoma"/>
              </w:rPr>
              <w:t>wirtualizacyjnych</w:t>
            </w:r>
            <w:proofErr w:type="spellEnd"/>
            <w:r w:rsidRPr="350069B3">
              <w:rPr>
                <w:rFonts w:ascii="Tahoma" w:hAnsi="Tahoma" w:cs="Tahoma"/>
              </w:rPr>
              <w:t>.</w:t>
            </w:r>
          </w:p>
        </w:tc>
      </w:tr>
      <w:tr w:rsidR="00D2077C" w:rsidRPr="00D2077C" w14:paraId="0119E653" w14:textId="77777777" w:rsidTr="350069B3">
        <w:tc>
          <w:tcPr>
            <w:tcW w:w="825" w:type="dxa"/>
            <w:vAlign w:val="center"/>
            <w:hideMark/>
          </w:tcPr>
          <w:p w14:paraId="264CD1C6" w14:textId="0E03022B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2</w:t>
            </w:r>
            <w:r w:rsidR="003D42CD">
              <w:rPr>
                <w:rFonts w:ascii="Tahoma" w:hAnsi="Tahoma" w:cs="Tahoma"/>
              </w:rPr>
              <w:t>2</w:t>
            </w:r>
          </w:p>
        </w:tc>
        <w:tc>
          <w:tcPr>
            <w:tcW w:w="2289" w:type="dxa"/>
            <w:vAlign w:val="center"/>
            <w:hideMark/>
          </w:tcPr>
          <w:p w14:paraId="6C186128" w14:textId="19C50F80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 xml:space="preserve">Gwarancja </w:t>
            </w:r>
          </w:p>
        </w:tc>
        <w:tc>
          <w:tcPr>
            <w:tcW w:w="6520" w:type="dxa"/>
            <w:hideMark/>
          </w:tcPr>
          <w:p w14:paraId="7E543FA0" w14:textId="5D37B905" w:rsidR="00E726E5" w:rsidRPr="00D2077C" w:rsidRDefault="009D512C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9D512C">
              <w:rPr>
                <w:rFonts w:ascii="Tahoma" w:hAnsi="Tahoma" w:cs="Tahoma"/>
              </w:rPr>
              <w:t xml:space="preserve">Serwer musi być objęty gwarancją producenta lub wykonawcy przez okres 36 miesięcy, realizowaną w miejscu instalacji. Czas reakcji serwisu nie może przekroczyć dwóch dni roboczych od przyjęcia zgłoszenia. Zamawiający </w:t>
            </w:r>
            <w:r w:rsidRPr="009D512C">
              <w:rPr>
                <w:rFonts w:ascii="Tahoma" w:hAnsi="Tahoma" w:cs="Tahoma"/>
              </w:rPr>
              <w:lastRenderedPageBreak/>
              <w:t>dopuszcza wcześniejszą diagnostykę zdalną. W przypadku konieczności zwrotu uszkodzonego nośnika Wykonawca zapewni możliwość jego bezpiecznego usunięcia, zniszczenia albo pozostawienia u Zamawiającego</w:t>
            </w:r>
            <w:r>
              <w:rPr>
                <w:rFonts w:ascii="Tahoma" w:hAnsi="Tahoma" w:cs="Tahoma"/>
              </w:rPr>
              <w:t xml:space="preserve">, </w:t>
            </w:r>
          </w:p>
        </w:tc>
      </w:tr>
    </w:tbl>
    <w:p w14:paraId="2E59501D" w14:textId="77777777" w:rsidR="00200170" w:rsidRPr="00200170" w:rsidRDefault="00200170" w:rsidP="000A73E2">
      <w:pPr>
        <w:rPr>
          <w:rFonts w:ascii="Tahoma" w:hAnsi="Tahoma" w:cs="Tahoma"/>
        </w:rPr>
      </w:pPr>
    </w:p>
    <w:sectPr w:rsidR="00200170" w:rsidRPr="00200170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38E7D" w14:textId="77777777" w:rsidR="00A772E4" w:rsidRDefault="00A772E4">
      <w:r>
        <w:separator/>
      </w:r>
    </w:p>
  </w:endnote>
  <w:endnote w:type="continuationSeparator" w:id="0">
    <w:p w14:paraId="375E909B" w14:textId="77777777" w:rsidR="00A772E4" w:rsidRDefault="00A77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F71B98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00000">
      <w:rPr>
        <w:rFonts w:asciiTheme="minorHAnsi" w:hAnsiTheme="minorHAnsi" w:cstheme="minorHAnsi"/>
        <w:noProof/>
        <w:sz w:val="10"/>
        <w:szCs w:val="10"/>
      </w:rPr>
      <w:pict w14:anchorId="323B3C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728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21374" w14:textId="77777777" w:rsidR="00A772E4" w:rsidRDefault="00A772E4">
      <w:r>
        <w:separator/>
      </w:r>
    </w:p>
  </w:footnote>
  <w:footnote w:type="continuationSeparator" w:id="0">
    <w:p w14:paraId="39C0983B" w14:textId="77777777" w:rsidR="00A772E4" w:rsidRDefault="00A77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9D9731"/>
    <w:multiLevelType w:val="hybridMultilevel"/>
    <w:tmpl w:val="B2A88AE2"/>
    <w:lvl w:ilvl="0" w:tplc="89F883C6">
      <w:start w:val="1"/>
      <w:numFmt w:val="decimal"/>
      <w:lvlText w:val="%1."/>
      <w:lvlJc w:val="left"/>
      <w:pPr>
        <w:ind w:left="720" w:hanging="360"/>
      </w:pPr>
    </w:lvl>
    <w:lvl w:ilvl="1" w:tplc="A816FF76">
      <w:start w:val="1"/>
      <w:numFmt w:val="lowerLetter"/>
      <w:lvlText w:val="%2."/>
      <w:lvlJc w:val="left"/>
      <w:pPr>
        <w:ind w:left="1440" w:hanging="360"/>
      </w:pPr>
    </w:lvl>
    <w:lvl w:ilvl="2" w:tplc="EBE8C1DE">
      <w:start w:val="1"/>
      <w:numFmt w:val="lowerRoman"/>
      <w:lvlText w:val="%3."/>
      <w:lvlJc w:val="right"/>
      <w:pPr>
        <w:ind w:left="2160" w:hanging="180"/>
      </w:pPr>
    </w:lvl>
    <w:lvl w:ilvl="3" w:tplc="EAA44198">
      <w:start w:val="1"/>
      <w:numFmt w:val="decimal"/>
      <w:lvlText w:val="%4."/>
      <w:lvlJc w:val="left"/>
      <w:pPr>
        <w:ind w:left="2880" w:hanging="360"/>
      </w:pPr>
    </w:lvl>
    <w:lvl w:ilvl="4" w:tplc="DF5C4E46">
      <w:start w:val="1"/>
      <w:numFmt w:val="lowerLetter"/>
      <w:lvlText w:val="%5."/>
      <w:lvlJc w:val="left"/>
      <w:pPr>
        <w:ind w:left="3600" w:hanging="360"/>
      </w:pPr>
    </w:lvl>
    <w:lvl w:ilvl="5" w:tplc="45FEADE2">
      <w:start w:val="1"/>
      <w:numFmt w:val="lowerRoman"/>
      <w:lvlText w:val="%6."/>
      <w:lvlJc w:val="right"/>
      <w:pPr>
        <w:ind w:left="4320" w:hanging="180"/>
      </w:pPr>
    </w:lvl>
    <w:lvl w:ilvl="6" w:tplc="486A9FB8">
      <w:start w:val="1"/>
      <w:numFmt w:val="decimal"/>
      <w:lvlText w:val="%7."/>
      <w:lvlJc w:val="left"/>
      <w:pPr>
        <w:ind w:left="5040" w:hanging="360"/>
      </w:pPr>
    </w:lvl>
    <w:lvl w:ilvl="7" w:tplc="EA241810">
      <w:start w:val="1"/>
      <w:numFmt w:val="lowerLetter"/>
      <w:lvlText w:val="%8."/>
      <w:lvlJc w:val="left"/>
      <w:pPr>
        <w:ind w:left="5760" w:hanging="360"/>
      </w:pPr>
    </w:lvl>
    <w:lvl w:ilvl="8" w:tplc="A264493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521607">
    <w:abstractNumId w:val="13"/>
  </w:num>
  <w:num w:numId="2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83521561">
    <w:abstractNumId w:val="9"/>
  </w:num>
  <w:num w:numId="5" w16cid:durableId="907615826">
    <w:abstractNumId w:val="6"/>
  </w:num>
  <w:num w:numId="6" w16cid:durableId="397635744">
    <w:abstractNumId w:val="16"/>
  </w:num>
  <w:num w:numId="7" w16cid:durableId="1648318210">
    <w:abstractNumId w:val="14"/>
  </w:num>
  <w:num w:numId="8" w16cid:durableId="331833269">
    <w:abstractNumId w:val="15"/>
  </w:num>
  <w:num w:numId="9" w16cid:durableId="162362834">
    <w:abstractNumId w:val="0"/>
  </w:num>
  <w:num w:numId="10" w16cid:durableId="493955748">
    <w:abstractNumId w:val="1"/>
  </w:num>
  <w:num w:numId="11" w16cid:durableId="1613436086">
    <w:abstractNumId w:val="12"/>
  </w:num>
  <w:num w:numId="12" w16cid:durableId="7873616">
    <w:abstractNumId w:val="8"/>
  </w:num>
  <w:num w:numId="13" w16cid:durableId="1726102718">
    <w:abstractNumId w:val="17"/>
  </w:num>
  <w:num w:numId="14" w16cid:durableId="333580693">
    <w:abstractNumId w:val="11"/>
  </w:num>
  <w:num w:numId="15" w16cid:durableId="1335911795">
    <w:abstractNumId w:val="7"/>
  </w:num>
  <w:num w:numId="16" w16cid:durableId="736320308">
    <w:abstractNumId w:val="5"/>
  </w:num>
  <w:num w:numId="17" w16cid:durableId="1160580737">
    <w:abstractNumId w:val="4"/>
  </w:num>
  <w:num w:numId="18" w16cid:durableId="13002635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1903"/>
    <w:rsid w:val="00010FC6"/>
    <w:rsid w:val="0004603C"/>
    <w:rsid w:val="00064345"/>
    <w:rsid w:val="00065C40"/>
    <w:rsid w:val="00075E8B"/>
    <w:rsid w:val="00082B36"/>
    <w:rsid w:val="00094EF6"/>
    <w:rsid w:val="000A73E2"/>
    <w:rsid w:val="000C84AD"/>
    <w:rsid w:val="000E21EF"/>
    <w:rsid w:val="000E31A9"/>
    <w:rsid w:val="000E45A5"/>
    <w:rsid w:val="0010162A"/>
    <w:rsid w:val="00104F41"/>
    <w:rsid w:val="001259A8"/>
    <w:rsid w:val="0013644A"/>
    <w:rsid w:val="001561C5"/>
    <w:rsid w:val="001C03E8"/>
    <w:rsid w:val="001C79E0"/>
    <w:rsid w:val="001F4B42"/>
    <w:rsid w:val="001F5390"/>
    <w:rsid w:val="00200170"/>
    <w:rsid w:val="00214307"/>
    <w:rsid w:val="00232399"/>
    <w:rsid w:val="00236218"/>
    <w:rsid w:val="002571F6"/>
    <w:rsid w:val="00262901"/>
    <w:rsid w:val="00281041"/>
    <w:rsid w:val="002B08FC"/>
    <w:rsid w:val="002B40F4"/>
    <w:rsid w:val="002D66BB"/>
    <w:rsid w:val="002E6BDD"/>
    <w:rsid w:val="002F66E8"/>
    <w:rsid w:val="00310274"/>
    <w:rsid w:val="003134FE"/>
    <w:rsid w:val="003165EB"/>
    <w:rsid w:val="0032350E"/>
    <w:rsid w:val="003816DA"/>
    <w:rsid w:val="00382CBC"/>
    <w:rsid w:val="00385FFB"/>
    <w:rsid w:val="003A38B6"/>
    <w:rsid w:val="003C1C09"/>
    <w:rsid w:val="003D42CD"/>
    <w:rsid w:val="003D4CBC"/>
    <w:rsid w:val="003D644F"/>
    <w:rsid w:val="00412555"/>
    <w:rsid w:val="00482EA3"/>
    <w:rsid w:val="004844AD"/>
    <w:rsid w:val="004C4C4B"/>
    <w:rsid w:val="004C51B1"/>
    <w:rsid w:val="004E62F6"/>
    <w:rsid w:val="005115C2"/>
    <w:rsid w:val="00540EA9"/>
    <w:rsid w:val="005776A5"/>
    <w:rsid w:val="005871A1"/>
    <w:rsid w:val="0058722E"/>
    <w:rsid w:val="005A056A"/>
    <w:rsid w:val="005B7917"/>
    <w:rsid w:val="005E22E2"/>
    <w:rsid w:val="006414F9"/>
    <w:rsid w:val="00665108"/>
    <w:rsid w:val="00670180"/>
    <w:rsid w:val="006760F1"/>
    <w:rsid w:val="006911E6"/>
    <w:rsid w:val="006A37FF"/>
    <w:rsid w:val="006D19B4"/>
    <w:rsid w:val="006E040C"/>
    <w:rsid w:val="007021C9"/>
    <w:rsid w:val="007077F2"/>
    <w:rsid w:val="00735813"/>
    <w:rsid w:val="00760990"/>
    <w:rsid w:val="00761B48"/>
    <w:rsid w:val="00763802"/>
    <w:rsid w:val="00780D75"/>
    <w:rsid w:val="007C4B7A"/>
    <w:rsid w:val="00814622"/>
    <w:rsid w:val="00840D2D"/>
    <w:rsid w:val="00863B80"/>
    <w:rsid w:val="00863D3F"/>
    <w:rsid w:val="00880051"/>
    <w:rsid w:val="0088784C"/>
    <w:rsid w:val="008C4DE6"/>
    <w:rsid w:val="008D7C6A"/>
    <w:rsid w:val="008E3985"/>
    <w:rsid w:val="008F56B8"/>
    <w:rsid w:val="00924460"/>
    <w:rsid w:val="009823C9"/>
    <w:rsid w:val="009A5797"/>
    <w:rsid w:val="009B56F9"/>
    <w:rsid w:val="009B7B29"/>
    <w:rsid w:val="009D512C"/>
    <w:rsid w:val="00A044EF"/>
    <w:rsid w:val="00A069B7"/>
    <w:rsid w:val="00A228FA"/>
    <w:rsid w:val="00A25198"/>
    <w:rsid w:val="00A27692"/>
    <w:rsid w:val="00A32D5A"/>
    <w:rsid w:val="00A34049"/>
    <w:rsid w:val="00A40375"/>
    <w:rsid w:val="00A42564"/>
    <w:rsid w:val="00A618CA"/>
    <w:rsid w:val="00A772E4"/>
    <w:rsid w:val="00A834F4"/>
    <w:rsid w:val="00A8394D"/>
    <w:rsid w:val="00A955D5"/>
    <w:rsid w:val="00A97B93"/>
    <w:rsid w:val="00AA1F56"/>
    <w:rsid w:val="00AD274B"/>
    <w:rsid w:val="00AE404F"/>
    <w:rsid w:val="00AF261E"/>
    <w:rsid w:val="00AF3CB9"/>
    <w:rsid w:val="00AF4EB4"/>
    <w:rsid w:val="00B02C1C"/>
    <w:rsid w:val="00B066B2"/>
    <w:rsid w:val="00B11ECF"/>
    <w:rsid w:val="00B11F75"/>
    <w:rsid w:val="00B371AE"/>
    <w:rsid w:val="00B37C91"/>
    <w:rsid w:val="00B51707"/>
    <w:rsid w:val="00B546E9"/>
    <w:rsid w:val="00B615FE"/>
    <w:rsid w:val="00B619ED"/>
    <w:rsid w:val="00B673BB"/>
    <w:rsid w:val="00B82EF6"/>
    <w:rsid w:val="00BC79CC"/>
    <w:rsid w:val="00C029AA"/>
    <w:rsid w:val="00C06AC7"/>
    <w:rsid w:val="00C0733F"/>
    <w:rsid w:val="00C13123"/>
    <w:rsid w:val="00C14A13"/>
    <w:rsid w:val="00C24F21"/>
    <w:rsid w:val="00C3461A"/>
    <w:rsid w:val="00C41A18"/>
    <w:rsid w:val="00C56A07"/>
    <w:rsid w:val="00C6529D"/>
    <w:rsid w:val="00C661AB"/>
    <w:rsid w:val="00C965EE"/>
    <w:rsid w:val="00CA4211"/>
    <w:rsid w:val="00CA518A"/>
    <w:rsid w:val="00CB53C1"/>
    <w:rsid w:val="00CC1B7C"/>
    <w:rsid w:val="00CC3373"/>
    <w:rsid w:val="00CC431D"/>
    <w:rsid w:val="00CD6A18"/>
    <w:rsid w:val="00CF104D"/>
    <w:rsid w:val="00CF1AB9"/>
    <w:rsid w:val="00CF289E"/>
    <w:rsid w:val="00D2077C"/>
    <w:rsid w:val="00D41B7F"/>
    <w:rsid w:val="00D93BDC"/>
    <w:rsid w:val="00DC0C56"/>
    <w:rsid w:val="00DD59C4"/>
    <w:rsid w:val="00E1663C"/>
    <w:rsid w:val="00E541A7"/>
    <w:rsid w:val="00E634DB"/>
    <w:rsid w:val="00E66751"/>
    <w:rsid w:val="00E726E5"/>
    <w:rsid w:val="00E81AAD"/>
    <w:rsid w:val="00E82DDD"/>
    <w:rsid w:val="00EA5546"/>
    <w:rsid w:val="00EB2B68"/>
    <w:rsid w:val="00EB7791"/>
    <w:rsid w:val="00EC0B79"/>
    <w:rsid w:val="00EE312E"/>
    <w:rsid w:val="00F6134F"/>
    <w:rsid w:val="00F753C2"/>
    <w:rsid w:val="00F8620F"/>
    <w:rsid w:val="00FE3AD8"/>
    <w:rsid w:val="00FF5508"/>
    <w:rsid w:val="0A2CB6B1"/>
    <w:rsid w:val="0A8052FF"/>
    <w:rsid w:val="0C0B67D8"/>
    <w:rsid w:val="1AC2D98B"/>
    <w:rsid w:val="1EFAD5DC"/>
    <w:rsid w:val="1FE7A7C5"/>
    <w:rsid w:val="28F1233D"/>
    <w:rsid w:val="2FB674B6"/>
    <w:rsid w:val="305E7565"/>
    <w:rsid w:val="350069B3"/>
    <w:rsid w:val="42D65683"/>
    <w:rsid w:val="4B2AB055"/>
    <w:rsid w:val="664AE2BF"/>
    <w:rsid w:val="7D26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2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8</Pages>
  <Words>1335</Words>
  <Characters>9521</Characters>
  <Application>Microsoft Office Word</Application>
  <DocSecurity>0</DocSecurity>
  <Lines>272</Lines>
  <Paragraphs>88</Paragraphs>
  <ScaleCrop>false</ScaleCrop>
  <Company>MRR</Company>
  <LinksUpToDate>false</LinksUpToDate>
  <CharactersWithSpaces>10768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Artur Gusta</cp:lastModifiedBy>
  <cp:revision>37</cp:revision>
  <cp:lastPrinted>2018-03-26T09:55:00Z</cp:lastPrinted>
  <dcterms:created xsi:type="dcterms:W3CDTF">2026-04-14T12:11:00Z</dcterms:created>
  <dcterms:modified xsi:type="dcterms:W3CDTF">2026-08-11T18:26:00Z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