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96.00000000000001" w:lineRule="auto"/>
        <w:ind w:right="612"/>
        <w:jc w:val="center"/>
        <w:rPr>
          <w:sz w:val="22"/>
          <w:szCs w:val="22"/>
        </w:rPr>
      </w:pPr>
      <w:bookmarkStart w:colFirst="0" w:colLast="0" w:name="_heading=h.a55iryish6bd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left"/>
        <w:tblLayout w:type="fixed"/>
        <w:tblLook w:val="0000"/>
      </w:tblPr>
      <w:tblGrid>
        <w:gridCol w:w="2785"/>
        <w:gridCol w:w="7"/>
        <w:gridCol w:w="6280"/>
        <w:tblGridChange w:id="0">
          <w:tblGrid>
            <w:gridCol w:w="2785"/>
            <w:gridCol w:w="7"/>
            <w:gridCol w:w="628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leader="none" w:pos="2880"/>
              </w:tabs>
              <w:spacing w:after="0" w:lineRule="auto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NAZWA ZAMÓWIENIA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3">
            <w:pPr>
              <w:spacing w:after="160"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„Budowa Punktu Selektywnej Zbiórki Odpadów Komunalnych - Poprawa efektywności energetycznej nowego PSZOK”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after="0" w:lineRule="auto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NAZWA I ADRES ZAMAWIAJĄCEGO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6">
            <w:pPr>
              <w:ind w:left="567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                                              </w:t>
            </w:r>
          </w:p>
          <w:p w:rsidR="00000000" w:rsidDel="00000000" w:rsidP="00000000" w:rsidRDefault="00000000" w:rsidRPr="00000000" w14:paraId="00000007">
            <w:pPr>
              <w:spacing w:after="160"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Eko-Skarbimierz Sp. z o.o., ul. Akacjowa 9, </w:t>
              <w:br w:type="textWrapping"/>
              <w:t xml:space="preserve">49-318 Skarbimierz-Osiedle</w:t>
            </w:r>
          </w:p>
        </w:tc>
      </w:tr>
      <w:tr>
        <w:trPr>
          <w:cantSplit w:val="0"/>
          <w:trHeight w:val="11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Rule="auto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ADRES INWESTYCJI</w:t>
            </w:r>
          </w:p>
          <w:p w:rsidR="00000000" w:rsidDel="00000000" w:rsidP="00000000" w:rsidRDefault="00000000" w:rsidRPr="00000000" w14:paraId="0000000A">
            <w:pPr>
              <w:spacing w:after="0" w:lineRule="auto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Rule="auto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C">
            <w:pPr>
              <w:spacing w:after="160" w:line="259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Skarbimierz-Osiedle, ul. Wierzbowa 31, dz. nr 92/17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2880"/>
              </w:tabs>
              <w:spacing w:after="0" w:lineRule="auto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KOD CPV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1148"/>
              </w:tabs>
              <w:ind w:left="2772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Grupa:</w:t>
              <w:tab/>
            </w:r>
          </w:p>
          <w:p w:rsidR="00000000" w:rsidDel="00000000" w:rsidP="00000000" w:rsidRDefault="00000000" w:rsidRPr="00000000" w14:paraId="00000010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09331200-0 Słoneczne moduły fotoelektryczne</w:t>
            </w:r>
          </w:p>
          <w:p w:rsidR="00000000" w:rsidDel="00000000" w:rsidP="00000000" w:rsidRDefault="00000000" w:rsidRPr="00000000" w14:paraId="00000011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09332000-5 Instalacje słoneczne</w:t>
            </w:r>
          </w:p>
          <w:p w:rsidR="00000000" w:rsidDel="00000000" w:rsidP="00000000" w:rsidRDefault="00000000" w:rsidRPr="00000000" w14:paraId="00000012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45310000-3 Roboty instalacyjne elektryczne</w:t>
            </w:r>
          </w:p>
          <w:p w:rsidR="00000000" w:rsidDel="00000000" w:rsidP="00000000" w:rsidRDefault="00000000" w:rsidRPr="00000000" w14:paraId="00000013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45311000-0 Roboty w zakresie okablowania oraz instalacji elektrycznych</w:t>
            </w:r>
          </w:p>
          <w:p w:rsidR="00000000" w:rsidDel="00000000" w:rsidP="00000000" w:rsidRDefault="00000000" w:rsidRPr="00000000" w14:paraId="00000014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45315300-1 Instalacje zasilania elektrycznego</w:t>
            </w:r>
          </w:p>
          <w:p w:rsidR="00000000" w:rsidDel="00000000" w:rsidP="00000000" w:rsidRDefault="00000000" w:rsidRPr="00000000" w14:paraId="00000015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45315600-4 Instalacje niskiego napięcia</w:t>
            </w:r>
          </w:p>
          <w:p w:rsidR="00000000" w:rsidDel="00000000" w:rsidP="00000000" w:rsidRDefault="00000000" w:rsidRPr="00000000" w14:paraId="00000016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45232200-4 Roboty pomocnicze w zakresie linii energetycznych</w:t>
            </w:r>
          </w:p>
          <w:p w:rsidR="00000000" w:rsidDel="00000000" w:rsidP="00000000" w:rsidRDefault="00000000" w:rsidRPr="00000000" w14:paraId="00000017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45233222-1 Roboty budowlane w zakresie układania chodników i asfaltowania / roboty nawierzchniowe w zakresie mającym zastosowanie</w:t>
            </w:r>
          </w:p>
          <w:p w:rsidR="00000000" w:rsidDel="00000000" w:rsidP="00000000" w:rsidRDefault="00000000" w:rsidRPr="00000000" w14:paraId="00000018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71320000-7 Usługi inżynieryjne w zakresie projektowania</w:t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71323100-9 Usługi projektowania systemów zasilania energią elektryczną</w:t>
            </w:r>
          </w:p>
          <w:p w:rsidR="00000000" w:rsidDel="00000000" w:rsidP="00000000" w:rsidRDefault="00000000" w:rsidRPr="00000000" w14:paraId="0000001A">
            <w:pPr>
              <w:tabs>
                <w:tab w:val="left" w:leader="none" w:pos="1148"/>
              </w:tabs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51112000-0 Usługi instalowania sprzętu do sterowania i przesyłu energii elektrycznej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1148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tabs>
                <w:tab w:val="left" w:leader="none" w:pos="1148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tabs>
                <w:tab w:val="left" w:leader="none" w:pos="2880"/>
              </w:tabs>
              <w:spacing w:before="96.00000000000001" w:lineRule="auto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OGÓLNY SPIS ZAWARTOŚĆI PFU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(szczegółowy spis zawartości znajduje się we wskazanych obok częściach PFU)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PFU-1 CZĘŚĆ OPISOWA </w:t>
            </w:r>
          </w:p>
          <w:p w:rsidR="00000000" w:rsidDel="00000000" w:rsidP="00000000" w:rsidRDefault="00000000" w:rsidRPr="00000000" w14:paraId="00000020">
            <w:pPr>
              <w:tabs>
                <w:tab w:val="center" w:leader="none" w:pos="4536"/>
                <w:tab w:val="right" w:leader="none" w:pos="9072"/>
              </w:tabs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PFU-2 WARUNKI WYKONANIA I ODBIORU ROBÓT BUDOWLANYCH</w:t>
            </w:r>
          </w:p>
          <w:p w:rsidR="00000000" w:rsidDel="00000000" w:rsidP="00000000" w:rsidRDefault="00000000" w:rsidRPr="00000000" w14:paraId="00000021">
            <w:pPr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PFU-3 CZĘŚĆ INFORMACYJNA </w:t>
              <w:br w:type="textWrapping"/>
              <w:t xml:space="preserve">PROGRAMU FUNKCJONALNO-UŻYTKOWEGO</w:t>
            </w:r>
          </w:p>
          <w:p w:rsidR="00000000" w:rsidDel="00000000" w:rsidP="00000000" w:rsidRDefault="00000000" w:rsidRPr="00000000" w14:paraId="00000022">
            <w:pPr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WC WYKAZ CEN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2880"/>
              </w:tabs>
              <w:spacing w:after="0" w:lineRule="auto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1148"/>
              </w:tabs>
              <w:spacing w:after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96.00000000000001" w:lineRule="auto"/>
        <w:ind w:right="612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96.00000000000001" w:lineRule="auto"/>
        <w:ind w:right="612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96.00000000000001" w:lineRule="auto"/>
        <w:ind w:right="612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before="96.00000000000001" w:lineRule="auto"/>
        <w:ind w:right="612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1"/>
        <w:widowControl w:val="1"/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Wstęp</w:t>
      </w:r>
    </w:p>
    <w:p w:rsidR="00000000" w:rsidDel="00000000" w:rsidP="00000000" w:rsidRDefault="00000000" w:rsidRPr="00000000" w14:paraId="0000002D">
      <w:pPr>
        <w:pStyle w:val="Heading2"/>
        <w:widowControl w:val="1"/>
        <w:numPr>
          <w:ilvl w:val="1"/>
          <w:numId w:val="1"/>
        </w:numPr>
        <w:ind w:left="567" w:hanging="567"/>
        <w:rPr/>
      </w:pPr>
      <w:r w:rsidDel="00000000" w:rsidR="00000000" w:rsidRPr="00000000">
        <w:rPr>
          <w:rtl w:val="0"/>
        </w:rPr>
        <w:t xml:space="preserve">Zakres pozycji</w:t>
      </w:r>
    </w:p>
    <w:bookmarkStart w:colFirst="0" w:colLast="0" w:name="bookmark=id.hds4r2z95nn" w:id="1"/>
    <w:bookmarkEnd w:id="1"/>
    <w:bookmarkStart w:colFirst="0" w:colLast="0" w:name="bookmark=id.crqphhnsodru" w:id="2"/>
    <w:bookmarkEnd w:id="2"/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Wykaz Cen (WC) należy odczytywać w powiązaniu ze wszystkimi dokumentami zawartymi w Specyfikacji Warunków Zamówienia. Uważa się, że Wykonawca dokładnie zapoznał się ze szczegółowym zakresem Robót, które należy zaprojektować i wykonać oraz ze sposobem ich wykonania.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Całość Robót ma być wykonana zgodnie z określeniem przedmiotu zamówienia i wymogami Zamawiającego opisanymi w SWZ.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Opisy pozycji podane w poszczególnych pozycjach Wykazu cen nie powinny być traktowane jako ograniczenie zobowiązań Wykonawcy wynikających z Kontraktu. Stanowią one jedynie skrótowe oznaczenie Robót, które są w pełni opisane w SWZ zgodnie z referencją podaną w tabeli Wykazu Cen.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Cena ryczałtowa danej pozycji winna uwzględniać wszystkie Materiały, czynności, wymagania i badania niezbędne do właściwego wykonania i odbioru Robót wycenionych w danej pozycji bez względu na to, czy zostało to szczegółowo wymienione w SWZ czy też nie.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Cena ryczałtowa zaproponowana przez Wykonawcę za daną pozycję w Wykazie Cen jest ostateczna i wyklucza możliwość żądania dodatkowej zapłaty za wykonane Roboty objęte tą pozycją.</w:t>
      </w:r>
    </w:p>
    <w:p w:rsidR="00000000" w:rsidDel="00000000" w:rsidP="00000000" w:rsidRDefault="00000000" w:rsidRPr="00000000" w14:paraId="00000033">
      <w:pPr>
        <w:pStyle w:val="Heading2"/>
        <w:widowControl w:val="1"/>
        <w:numPr>
          <w:ilvl w:val="1"/>
          <w:numId w:val="1"/>
        </w:numPr>
        <w:ind w:left="567" w:hanging="567"/>
        <w:rPr/>
      </w:pPr>
      <w:r w:rsidDel="00000000" w:rsidR="00000000" w:rsidRPr="00000000">
        <w:rPr>
          <w:rtl w:val="0"/>
        </w:rPr>
        <w:t xml:space="preserve">Wycenianie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Wszystkie pozycje powinny mieć ceny wyrażone w PLN.</w:t>
      </w:r>
    </w:p>
    <w:p w:rsidR="00000000" w:rsidDel="00000000" w:rsidP="00000000" w:rsidRDefault="00000000" w:rsidRPr="00000000" w14:paraId="0000003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Przy wycenianiu prac należy posługiwać się definicją ceny w rozumieniu art. 3 ust. 1 pkt 1) Ustawy z dnia 9 maja 2014 r. o informowaniu o cenach towarów i usług.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Wyceniając poszczególne pozycje, należy odnosić się do Umowy, PFU w celu uzyskania pełnych wskazówek, informacji lub opisów Robót i zastosowanych Materiałów, Urządzeń.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Oczywistym jest też, że Roboty muszą być wykonane według zasad fachowego wykonawstwa </w:t>
        <w:br w:type="textWrapping"/>
        <w:t xml:space="preserve">i wskazówek Inspektora Nadzoru. Podstawą płatności będzie ryczałt za wykonane roboty i prace zapłacony zgodnie z zapisami zawartymi w Umowie.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Ceny powinny być wpisane obok każdej pozycji Wykazu Cen. Pozycje w Wykazie Cen, przy których nie umieszczono żadnej ceny, nie będą zapłacone przez Zamawiającego po wykonaniu i będzie się uważało, że koszt ich wykonania został wliczony w ceny innych pozycji Wykazu Cen.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Wszystkie ceny należy podawać z dokładnością do dwóch miejsc po przecinku.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bCs w:val="1"/>
          <w:rtl w:val="0"/>
        </w:rPr>
        <w:t xml:space="preserve">Do cen nie należy wliczać podatku VAT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Cena ryczałtowa wskazana w każdej pozycji Wykazu Cen będzie obejmowała wszystkie czynności, wymagania i badania składające się na jej wykonanie, zgodnie z zapisami zawartymi w pkt. 9 poszczególnych WW.</w:t>
      </w:r>
    </w:p>
    <w:p w:rsidR="00000000" w:rsidDel="00000000" w:rsidP="00000000" w:rsidRDefault="00000000" w:rsidRPr="00000000" w14:paraId="0000003E">
      <w:pPr>
        <w:pStyle w:val="Heading2"/>
        <w:widowControl w:val="1"/>
        <w:numPr>
          <w:ilvl w:val="1"/>
          <w:numId w:val="1"/>
        </w:numPr>
        <w:ind w:left="567" w:hanging="567"/>
        <w:rPr/>
      </w:pPr>
      <w:r w:rsidDel="00000000" w:rsidR="00000000" w:rsidRPr="00000000">
        <w:rPr>
          <w:rtl w:val="0"/>
        </w:rPr>
        <w:t xml:space="preserve">Płatności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Ogólne wymagania dotyczące podstaw płatności oraz wyceny Robót są zawarte w WW-00 Wymagania Ogólne - Wymagania Zamawiającego.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Wyceniony Wykaz Cen jest integralną częścią dokumentów Umowy.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Roboty będą wycenione ryczałtowo. Cena ryczałtowa zaproponowana przez Wykonawcę za daną pozycję w Wycenionym Wykazie Cen jest ostateczna i wyklucza możliwość żądania dodatkowej zapłaty za wykonane Roboty objęte tą pozycją, poza przypadkami określonymi w Umowie.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Ceny ryczałtowe powinny zawierać (ale nie powinny się tylko do tego ograniczać): robociznę, transport, testowanie, kontrolę jakości, materiały, zabezpieczenie, utrzymanie, użytkowanie i naprawy całego sprzętu, urządzeń czy narzędzi, wykonanie i utrzymanie wszystkich robót tymczasowych każdego rodzaju i prac towarzyszących oraz wykonanie wszelkich czynności, jakie mogą być niezbędne dla prawidłowego wykonania Umowy. Koszty wszystkich prac, które muszą po sobie następować dla zapewnienia odpowiedniej jakości wykonania, należy ująć w tej czy innej pozycji.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Uwzględniając w cenach ryczałtowych roboty tymczasowe i prace towarzyszące należy wziąć pod uwagę fakt, że materiały, które będą do tych robót wykorzystane, zostaną częściowo lub w całości zwrócone Wykonawcy.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Ceny podane w Wycenionym Wykazie Cen podane przez Wykonawcę muszą pokryć wszystkie koszty wykonania Robót i koszty związane z wypełnienia obowiązków wynikających z Umowy i wszystkich innych zobowiązań i wymagań związanych z prowadzeniem Robót wyspecyfikowanych w Umowie.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Cena wskazana w każdej pozycji Wykazu Cen będzie obejmowała wszystkie czynności, wymagania i badania składające się na jej wykonanie, a w szczególności: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1068" w:hanging="360"/>
        <w:rPr/>
      </w:pPr>
      <w:r w:rsidDel="00000000" w:rsidR="00000000" w:rsidRPr="00000000">
        <w:rPr>
          <w:u w:val="single"/>
          <w:rtl w:val="0"/>
        </w:rPr>
        <w:t xml:space="preserve">opracowanie projektu Robót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koszty pracy personelu Wykonawcy zaangażowanego w opracowanie wszelkich niezbędnych dokumentów i opracowań stanowiących projekt Robót,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koszty pośrednie związane z opracowaniem Dokumentów Wykonawcy w tym w szczególności koszty prowadzenia biura, koszty pracy sprzętu, materiałów eksploatacyjnych i programowania niezbędnego do wykonania dokumentacji projektowej niezbędnej do wykonania i odbioru Robót budowlanych objętych niniejszym Kontraktem.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koszty powielenia i dostarczenia Inspektorowi nadzoru Dokumentów Wykonawcy w wymaganych Kontraktem liczbach egzemplarzy (wersja elektroniczna i papierowa),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uzyskanie wszelkich niezbędnych map, uzgodnień i decyzji.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1068" w:hanging="360"/>
        <w:rPr/>
      </w:pPr>
      <w:r w:rsidDel="00000000" w:rsidR="00000000" w:rsidRPr="00000000">
        <w:rPr>
          <w:u w:val="single"/>
          <w:rtl w:val="0"/>
        </w:rPr>
        <w:t xml:space="preserve">wykonanie Robót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robociznę bezpośrednią,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wartość użytych i wbudowanych Materiałów wraz z kosztami ich zakupu, magazynowania, ewentualnych ubytków i transportu na Teren Budowy,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wartość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urządzeń podstawowych: moduły PV, konstrukcja, falownik/inwerter, magazyn energii, stacja ładowania, EMS, SZR i układy pomiarowe;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wartość rozdzielnic, zabezpieczeń, kabli, tras kablowych, przepustów i robót ziemnych; przygotowania podłoża pod PV oraz oznakowania miejsca EV; uruchomienia, konfiguracji, testów, pomiarów i szkoleń;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wartość pracy Sprzętu wraz z kosztami jednorazowymi (sprowadzenie Sprzętu na Teren Budowy i z powrotem, montaż i demontaż na stanowisku pracy),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koszty pośrednie, w skład których wchodzą: płace personelu i kierownictwa budowy, pracowników nadzoru i laboratorium, koszty urządzenia i eksploatacji zaplecza budowy (w tym doprowadzenie energii i wody, budowa dróg dojazdowych itp.), koszty dotyczące oznakowania Robót, wydatki dotyczące bhp, usługi obce na rzecz budowy, opłaty za dzierżawę placów i bocznic, ekspertyzy dotyczące wykonanych Robót, oraz koszty ogólne przedsiębiorstwa Wykonawcy i inne,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koszty wszystkich tymczasowych budowli, urządzeń, robót itp. niezbędnych do wykonania Robót Stałych, przeprowadzenia Prób Końcowych,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koszty uzyskania i utrzymania ubezpieczeń i gwarancji wymaganych Kontraktem,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zysk kalkulacyjny zawierający ewentualne ryzyko Wykonawcy z tytułu innych wydatków mogących wystąpić w czasie realizacji Robót w okresie gwarancyjnym,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podatki obliczane zgodnie z obowiązującymi przepisami. 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widowControl w:val="1"/>
        <w:numPr>
          <w:ilvl w:val="1"/>
          <w:numId w:val="1"/>
        </w:numPr>
        <w:ind w:left="567" w:hanging="567"/>
        <w:rPr/>
      </w:pPr>
      <w:r w:rsidDel="00000000" w:rsidR="00000000" w:rsidRPr="00000000">
        <w:rPr>
          <w:rtl w:val="0"/>
        </w:rPr>
        <w:t xml:space="preserve">Spis działów Wykazu cen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940.0" w:type="dxa"/>
        <w:jc w:val="left"/>
        <w:tblInd w:w="-15.0" w:type="dxa"/>
        <w:tblLayout w:type="fixed"/>
        <w:tblLook w:val="0400"/>
      </w:tblPr>
      <w:tblGrid>
        <w:gridCol w:w="2310"/>
        <w:gridCol w:w="6630"/>
        <w:tblGridChange w:id="0">
          <w:tblGrid>
            <w:gridCol w:w="2310"/>
            <w:gridCol w:w="6630"/>
          </w:tblGrid>
        </w:tblGridChange>
      </w:tblGrid>
      <w:tr>
        <w:trPr>
          <w:cantSplit w:val="0"/>
          <w:trHeight w:val="8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Oznaczenie części Wykazu cen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elementu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Prace projektowe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Roboty budowlano-montażowe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Dostawa i montaż instalacji fotowoltaicznej (PV) na gruncie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Dostawa i montaż magazynu energii (BESS) 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Dostawa i montaż falownika hybrydowego</w:t>
            </w:r>
          </w:p>
          <w:p w:rsidR="00000000" w:rsidDel="00000000" w:rsidP="00000000" w:rsidRDefault="00000000" w:rsidRPr="00000000" w14:paraId="00000066">
            <w:pPr>
              <w:spacing w:after="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Dostawa i montaż stacji ładowania pojazdów elektrycznych (EV)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Wykonanie systemów sterowania, zarządzania energią (EMS) i zasilania rezerwowego (SZR)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Prace ziemne, okablowanie oraz przygotowanie podłoża pod instalację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Prace towarzyszące, pomiary, szkolenia i dokumentacja powykonawcza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pBdr>
        <w:top w:color="000000" w:space="0" w:sz="4" w:val="single"/>
      </w:pBdr>
      <w:tabs>
        <w:tab w:val="center" w:leader="none" w:pos="4536"/>
        <w:tab w:val="right" w:leader="none" w:pos="9072"/>
      </w:tabs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sz w:val="16"/>
        <w:szCs w:val="16"/>
        <w:rtl w:val="0"/>
      </w:rPr>
      <w:t xml:space="preserve">Zamówienie pn.: „Budowa Punktu Selektywnej Zbiórki Odpadów Komunalnych - Poprawa efektywności energetycznej nowego PSZOK”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color="000000" w:space="1" w:sz="6" w:val="single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Wykaz cen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</w:t>
      <w:tab/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432" w:hanging="432"/>
      </w:pPr>
      <w:rPr/>
    </w:lvl>
    <w:lvl w:ilvl="1">
      <w:start w:val="1"/>
      <w:numFmt w:val="decimal"/>
      <w:lvlText w:val="%1.%2"/>
      <w:lvlJc w:val="left"/>
      <w:pPr>
        <w:ind w:left="576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1134" w:hanging="113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1068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l"/>
      </w:rPr>
    </w:rPrDefault>
    <w:pPrDefault>
      <w:pPr>
        <w:spacing w:after="12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0"/>
      <w:ind w:left="432" w:hanging="432"/>
      <w:jc w:val="left"/>
    </w:pPr>
    <w:rPr>
      <w:b w:val="1"/>
      <w:bCs w:val="1"/>
      <w:smallCaps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widowControl w:val="0"/>
      <w:ind w:left="576" w:hanging="576"/>
      <w:jc w:val="left"/>
    </w:pPr>
    <w:rPr>
      <w:b w:val="1"/>
      <w:bCs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widowControl w:val="0"/>
      <w:spacing w:after="60" w:before="240" w:lineRule="auto"/>
      <w:ind w:left="720" w:hanging="720"/>
      <w:jc w:val="left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widowControl w:val="0"/>
      <w:spacing w:after="60" w:before="240" w:lineRule="auto"/>
      <w:ind w:left="1134" w:hanging="1134"/>
      <w:jc w:val="left"/>
    </w:pPr>
    <w:rPr>
      <w:u w:val="single"/>
    </w:rPr>
  </w:style>
  <w:style w:type="paragraph" w:styleId="Heading5">
    <w:name w:val="heading 5"/>
    <w:basedOn w:val="Normal"/>
    <w:next w:val="Normal"/>
    <w:pPr>
      <w:widowControl w:val="0"/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widowControl w:val="0"/>
      <w:spacing w:after="60" w:before="240" w:lineRule="auto"/>
      <w:ind w:left="1152" w:hanging="1152"/>
    </w:pPr>
    <w:rPr>
      <w:i w:val="1"/>
      <w:iCs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U2Hzp9OFlQoR3iKJDmJlUGGKdw==">CgMxLjAyDmguYTU1aXJ5aXNoNmJkMg5pZC5oZHM0cjJ6OTVubjIPaWQuY3JxcGhobnNvZHJ1OAByITFtNFZxUWtPU3ROa1VaOXpMX2t3MW9LS00yRDc2UFhGNA==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