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2F7A55" w14:textId="77777777" w:rsidR="00E315AA" w:rsidRPr="008E2B54" w:rsidRDefault="00000000">
      <w:pPr>
        <w:jc w:val="right"/>
        <w:rPr>
          <w:rFonts w:asciiTheme="majorHAnsi" w:hAnsiTheme="majorHAnsi"/>
        </w:rPr>
      </w:pPr>
      <w:r w:rsidRPr="008E2B54">
        <w:rPr>
          <w:rFonts w:asciiTheme="majorHAnsi" w:hAnsiTheme="majorHAnsi"/>
        </w:rPr>
        <w:t>Załącznik nr 2A do SWZ</w:t>
      </w:r>
    </w:p>
    <w:p w14:paraId="05BDA0AC" w14:textId="6832E9AE" w:rsidR="533E2019" w:rsidRPr="008E2B54" w:rsidRDefault="533E2019" w:rsidP="533E2019">
      <w:pPr>
        <w:spacing w:line="259" w:lineRule="auto"/>
        <w:rPr>
          <w:rFonts w:asciiTheme="majorHAnsi" w:eastAsia="Aptos" w:hAnsiTheme="majorHAnsi" w:cs="Aptos"/>
          <w:szCs w:val="22"/>
        </w:rPr>
      </w:pPr>
      <w:r w:rsidRPr="008E2B54">
        <w:rPr>
          <w:rFonts w:asciiTheme="majorHAnsi" w:eastAsia="Aptos Display" w:hAnsiTheme="majorHAnsi" w:cs="Aptos Display"/>
          <w:b/>
          <w:bCs/>
          <w:szCs w:val="22"/>
        </w:rPr>
        <w:t xml:space="preserve">Znak postępowania: </w:t>
      </w:r>
      <w:r w:rsidR="00EB32BE" w:rsidRPr="008E2B54">
        <w:rPr>
          <w:rFonts w:asciiTheme="majorHAnsi" w:eastAsia="Aptos Display" w:hAnsiTheme="majorHAnsi" w:cs="Aptos Display"/>
          <w:b/>
          <w:bCs/>
          <w:szCs w:val="22"/>
        </w:rPr>
        <w:t>2</w:t>
      </w:r>
      <w:r w:rsidRPr="008E2B54">
        <w:rPr>
          <w:rFonts w:asciiTheme="majorHAnsi" w:eastAsia="Aptos Display" w:hAnsiTheme="majorHAnsi" w:cs="Aptos Display"/>
          <w:b/>
          <w:bCs/>
          <w:szCs w:val="22"/>
        </w:rPr>
        <w:t>/CW/ZP/2026</w:t>
      </w:r>
    </w:p>
    <w:p w14:paraId="7A777163" w14:textId="07EF2E88" w:rsidR="533E2019" w:rsidRPr="008E2B54" w:rsidRDefault="533E2019" w:rsidP="533E2019">
      <w:pPr>
        <w:jc w:val="center"/>
        <w:rPr>
          <w:rFonts w:asciiTheme="majorHAnsi" w:hAnsiTheme="majorHAnsi"/>
          <w:b/>
          <w:bCs/>
        </w:rPr>
      </w:pPr>
    </w:p>
    <w:p w14:paraId="5EBBAE39" w14:textId="77777777" w:rsidR="00E315AA" w:rsidRPr="008E2B54" w:rsidRDefault="00000000">
      <w:pPr>
        <w:jc w:val="center"/>
        <w:rPr>
          <w:rFonts w:asciiTheme="majorHAnsi" w:hAnsiTheme="majorHAnsi"/>
          <w:b/>
          <w:bCs/>
        </w:rPr>
      </w:pPr>
      <w:r w:rsidRPr="008E2B54">
        <w:rPr>
          <w:rFonts w:asciiTheme="majorHAnsi" w:hAnsiTheme="majorHAnsi"/>
          <w:b/>
          <w:bCs/>
        </w:rPr>
        <w:t xml:space="preserve">WYKAZ WYMAGANYCH </w:t>
      </w:r>
    </w:p>
    <w:p w14:paraId="7C36BD57" w14:textId="77777777" w:rsidR="00E315AA" w:rsidRPr="008E2B54" w:rsidRDefault="00000000">
      <w:pPr>
        <w:jc w:val="center"/>
        <w:rPr>
          <w:rFonts w:asciiTheme="majorHAnsi" w:hAnsiTheme="majorHAnsi"/>
          <w:b/>
          <w:bCs/>
        </w:rPr>
      </w:pPr>
      <w:r w:rsidRPr="008E2B54">
        <w:rPr>
          <w:rFonts w:asciiTheme="majorHAnsi" w:hAnsiTheme="majorHAnsi"/>
          <w:b/>
          <w:bCs/>
        </w:rPr>
        <w:t>Przedmiotowych środków dowodowych</w:t>
      </w:r>
    </w:p>
    <w:tbl>
      <w:tblPr>
        <w:tblStyle w:val="Tabela-Siatka"/>
        <w:tblW w:w="5003" w:type="pct"/>
        <w:tblInd w:w="-5" w:type="dxa"/>
        <w:tblLayout w:type="fixed"/>
        <w:tblLook w:val="04A0" w:firstRow="1" w:lastRow="0" w:firstColumn="1" w:lastColumn="0" w:noHBand="0" w:noVBand="1"/>
      </w:tblPr>
      <w:tblGrid>
        <w:gridCol w:w="417"/>
        <w:gridCol w:w="3074"/>
        <w:gridCol w:w="5576"/>
      </w:tblGrid>
      <w:tr w:rsidR="00E315AA" w:rsidRPr="008E2B54" w14:paraId="251E0C8C" w14:textId="77777777" w:rsidTr="00EB32BE">
        <w:trPr>
          <w:trHeight w:val="553"/>
        </w:trPr>
        <w:tc>
          <w:tcPr>
            <w:tcW w:w="417" w:type="dxa"/>
            <w:shd w:val="clear" w:color="auto" w:fill="DAE9F7" w:themeFill="text2" w:themeFillTint="1A"/>
            <w:vAlign w:val="center"/>
          </w:tcPr>
          <w:p w14:paraId="09C9AD33" w14:textId="77777777" w:rsidR="00E315AA" w:rsidRPr="008E2B54" w:rsidRDefault="00000000">
            <w:pPr>
              <w:spacing w:after="0" w:line="240" w:lineRule="auto"/>
              <w:jc w:val="center"/>
              <w:rPr>
                <w:rFonts w:asciiTheme="majorHAnsi" w:hAnsiTheme="majorHAnsi"/>
                <w:b/>
                <w:bCs/>
                <w:sz w:val="18"/>
                <w:szCs w:val="18"/>
              </w:rPr>
            </w:pPr>
            <w:r w:rsidRPr="008E2B54">
              <w:rPr>
                <w:rFonts w:asciiTheme="majorHAnsi" w:eastAsia="Aptos" w:hAnsiTheme="majorHAnsi" w:cs="Arial"/>
                <w:b/>
                <w:bCs/>
                <w:sz w:val="18"/>
                <w:szCs w:val="18"/>
              </w:rPr>
              <w:t>Nr</w:t>
            </w:r>
          </w:p>
        </w:tc>
        <w:tc>
          <w:tcPr>
            <w:tcW w:w="3074" w:type="dxa"/>
            <w:shd w:val="clear" w:color="auto" w:fill="DAE9F7" w:themeFill="text2" w:themeFillTint="1A"/>
            <w:vAlign w:val="center"/>
          </w:tcPr>
          <w:p w14:paraId="1613BEBC" w14:textId="77777777" w:rsidR="00E315AA" w:rsidRPr="008E2B54" w:rsidRDefault="00000000">
            <w:pPr>
              <w:spacing w:after="0" w:line="240" w:lineRule="auto"/>
              <w:jc w:val="center"/>
              <w:rPr>
                <w:rFonts w:asciiTheme="majorHAnsi" w:hAnsiTheme="majorHAnsi"/>
                <w:b/>
                <w:bCs/>
                <w:sz w:val="18"/>
                <w:szCs w:val="18"/>
              </w:rPr>
            </w:pPr>
            <w:r w:rsidRPr="008E2B54">
              <w:rPr>
                <w:rFonts w:asciiTheme="majorHAnsi" w:eastAsia="Aptos" w:hAnsiTheme="majorHAnsi" w:cs="Arial"/>
                <w:b/>
                <w:bCs/>
                <w:sz w:val="18"/>
                <w:szCs w:val="18"/>
              </w:rPr>
              <w:t>Pozycja OPZ</w:t>
            </w:r>
          </w:p>
        </w:tc>
        <w:tc>
          <w:tcPr>
            <w:tcW w:w="5576" w:type="dxa"/>
            <w:shd w:val="clear" w:color="auto" w:fill="DAE9F7" w:themeFill="text2" w:themeFillTint="1A"/>
            <w:vAlign w:val="center"/>
          </w:tcPr>
          <w:p w14:paraId="63763F0B" w14:textId="77777777" w:rsidR="00E315AA" w:rsidRPr="008E2B54" w:rsidRDefault="00000000">
            <w:pPr>
              <w:spacing w:after="0" w:line="240" w:lineRule="auto"/>
              <w:jc w:val="center"/>
              <w:rPr>
                <w:rFonts w:asciiTheme="majorHAnsi" w:hAnsiTheme="majorHAnsi"/>
                <w:b/>
                <w:bCs/>
                <w:sz w:val="18"/>
                <w:szCs w:val="18"/>
              </w:rPr>
            </w:pPr>
            <w:r w:rsidRPr="008E2B54">
              <w:rPr>
                <w:rFonts w:asciiTheme="majorHAnsi" w:eastAsia="Aptos" w:hAnsiTheme="majorHAnsi" w:cs="Arial"/>
                <w:b/>
                <w:bCs/>
                <w:sz w:val="18"/>
                <w:szCs w:val="18"/>
              </w:rPr>
              <w:t>Przedmiotowy środek dowodowy</w:t>
            </w:r>
          </w:p>
        </w:tc>
      </w:tr>
      <w:tr w:rsidR="00E315AA" w:rsidRPr="008E2B54" w14:paraId="0E133DD9" w14:textId="77777777" w:rsidTr="00EB32BE">
        <w:tc>
          <w:tcPr>
            <w:tcW w:w="417" w:type="dxa"/>
            <w:shd w:val="clear" w:color="auto" w:fill="DAE9F7" w:themeFill="text2" w:themeFillTint="1A"/>
            <w:vAlign w:val="center"/>
          </w:tcPr>
          <w:p w14:paraId="649841BE" w14:textId="77777777" w:rsidR="00E315AA" w:rsidRPr="008E2B54" w:rsidRDefault="00000000">
            <w:pPr>
              <w:spacing w:after="0" w:line="240" w:lineRule="auto"/>
              <w:rPr>
                <w:rFonts w:asciiTheme="majorHAnsi" w:hAnsiTheme="majorHAnsi"/>
                <w:b/>
                <w:bCs/>
                <w:sz w:val="18"/>
                <w:szCs w:val="18"/>
              </w:rPr>
            </w:pPr>
            <w:r w:rsidRPr="008E2B54">
              <w:rPr>
                <w:rFonts w:asciiTheme="majorHAnsi" w:eastAsia="Aptos" w:hAnsiTheme="majorHAnsi" w:cs="Arial"/>
                <w:b/>
                <w:bCs/>
                <w:sz w:val="18"/>
                <w:szCs w:val="18"/>
              </w:rPr>
              <w:t>1</w:t>
            </w:r>
          </w:p>
        </w:tc>
        <w:tc>
          <w:tcPr>
            <w:tcW w:w="3074" w:type="dxa"/>
          </w:tcPr>
          <w:p w14:paraId="7D2585EB" w14:textId="77777777" w:rsidR="00E315AA" w:rsidRPr="008E2B54" w:rsidRDefault="00000000">
            <w:pPr>
              <w:spacing w:before="120" w:after="120" w:line="240" w:lineRule="auto"/>
              <w:jc w:val="both"/>
              <w:rPr>
                <w:rFonts w:asciiTheme="majorHAnsi" w:hAnsiTheme="majorHAnsi"/>
                <w:sz w:val="18"/>
                <w:szCs w:val="18"/>
              </w:rPr>
            </w:pPr>
            <w:r w:rsidRPr="008E2B54">
              <w:rPr>
                <w:rFonts w:asciiTheme="majorHAnsi" w:eastAsia="Aptos" w:hAnsiTheme="majorHAnsi" w:cs="Arial"/>
                <w:sz w:val="18"/>
                <w:szCs w:val="18"/>
              </w:rPr>
              <w:t>Serwer do wdrożenia rozwiązań z zakresu bezpieczeństwa, HA, zarządzania uprawnieniami i wirtualizacji</w:t>
            </w:r>
          </w:p>
        </w:tc>
        <w:tc>
          <w:tcPr>
            <w:tcW w:w="5576" w:type="dxa"/>
          </w:tcPr>
          <w:p w14:paraId="2B6BD46B" w14:textId="77777777" w:rsidR="00E315AA" w:rsidRPr="008E2B54" w:rsidRDefault="00000000">
            <w:pPr>
              <w:spacing w:before="120" w:after="120" w:line="240" w:lineRule="auto"/>
              <w:jc w:val="both"/>
              <w:rPr>
                <w:rFonts w:asciiTheme="majorHAnsi" w:hAnsiTheme="majorHAnsi"/>
                <w:sz w:val="18"/>
                <w:szCs w:val="18"/>
              </w:rPr>
            </w:pPr>
            <w:r w:rsidRPr="008E2B54">
              <w:rPr>
                <w:rFonts w:asciiTheme="majorHAnsi" w:eastAsia="Aptos" w:hAnsiTheme="majorHAnsi" w:cs="Arial"/>
                <w:sz w:val="18"/>
                <w:szCs w:val="18"/>
              </w:rPr>
              <w:t>Karta katalogowa, karta produktu, specyfikacja techniczna lub inna dokumentacja producenta oferowanego serwera, potwierdzająca wymagane parametry. W zakresie parametrów niewskazanych w dokumentacji producenta dopuszcza się oświadczenie producenta, jego autoryzowanego przedstawiciela, dystrybutora, importera lub podmiotu działającego w oficjalnym kanale dystrybucji. Dopuszcza się także wydruk wyniku testu SPEC lub inny dokument potwierdzający wydajność procesora, dokument licencyjny albo oświadczenie producenta lub dystrybutora potwierdzające zakres systemu operacyjnego i licencji dostępowych oraz dokument potwierdzający warunki gwarancji i wsparcia np. oświadczenie producenta lub autoryzowanego producenta.</w:t>
            </w:r>
          </w:p>
        </w:tc>
      </w:tr>
      <w:tr w:rsidR="00E315AA" w:rsidRPr="008E2B54" w14:paraId="1B36A6CF" w14:textId="77777777" w:rsidTr="00EB32BE">
        <w:tc>
          <w:tcPr>
            <w:tcW w:w="417" w:type="dxa"/>
            <w:shd w:val="clear" w:color="auto" w:fill="DAE9F7" w:themeFill="text2" w:themeFillTint="1A"/>
            <w:vAlign w:val="center"/>
          </w:tcPr>
          <w:p w14:paraId="18F999B5" w14:textId="77777777" w:rsidR="00E315AA" w:rsidRPr="008E2B54" w:rsidRDefault="00000000">
            <w:pPr>
              <w:spacing w:after="0" w:line="240" w:lineRule="auto"/>
              <w:rPr>
                <w:rFonts w:asciiTheme="majorHAnsi" w:hAnsiTheme="majorHAnsi"/>
                <w:b/>
                <w:bCs/>
                <w:sz w:val="18"/>
                <w:szCs w:val="18"/>
              </w:rPr>
            </w:pPr>
            <w:r w:rsidRPr="008E2B54">
              <w:rPr>
                <w:rFonts w:asciiTheme="majorHAnsi" w:eastAsia="Aptos" w:hAnsiTheme="majorHAnsi" w:cs="Arial"/>
                <w:b/>
                <w:bCs/>
                <w:sz w:val="18"/>
                <w:szCs w:val="18"/>
              </w:rPr>
              <w:t>2</w:t>
            </w:r>
          </w:p>
        </w:tc>
        <w:tc>
          <w:tcPr>
            <w:tcW w:w="3074" w:type="dxa"/>
          </w:tcPr>
          <w:p w14:paraId="195F5B5E" w14:textId="77777777" w:rsidR="00E315AA" w:rsidRPr="008E2B54" w:rsidRDefault="00000000">
            <w:pPr>
              <w:spacing w:before="120" w:after="120" w:line="240" w:lineRule="auto"/>
              <w:jc w:val="both"/>
              <w:rPr>
                <w:rFonts w:asciiTheme="majorHAnsi" w:hAnsiTheme="majorHAnsi"/>
                <w:sz w:val="18"/>
                <w:szCs w:val="18"/>
              </w:rPr>
            </w:pPr>
            <w:r w:rsidRPr="008E2B54">
              <w:rPr>
                <w:rFonts w:asciiTheme="majorHAnsi" w:eastAsia="Aptos" w:hAnsiTheme="majorHAnsi" w:cs="Arial"/>
                <w:sz w:val="18"/>
                <w:szCs w:val="18"/>
              </w:rPr>
              <w:t>Macierz dyskowa dla serwera bezpieczeństwa oraz magazynu logów i danych z monitorowania</w:t>
            </w:r>
          </w:p>
        </w:tc>
        <w:tc>
          <w:tcPr>
            <w:tcW w:w="5576" w:type="dxa"/>
          </w:tcPr>
          <w:p w14:paraId="5394EE21" w14:textId="77777777" w:rsidR="00E315AA" w:rsidRPr="008E2B54" w:rsidRDefault="00000000">
            <w:pPr>
              <w:spacing w:before="120" w:after="120" w:line="240" w:lineRule="auto"/>
              <w:jc w:val="both"/>
              <w:rPr>
                <w:rFonts w:asciiTheme="majorHAnsi" w:hAnsiTheme="majorHAnsi"/>
                <w:sz w:val="18"/>
                <w:szCs w:val="18"/>
              </w:rPr>
            </w:pPr>
            <w:r w:rsidRPr="008E2B54">
              <w:rPr>
                <w:rFonts w:asciiTheme="majorHAnsi" w:eastAsia="Aptos" w:hAnsiTheme="majorHAnsi" w:cs="Arial"/>
                <w:sz w:val="18"/>
                <w:szCs w:val="18"/>
              </w:rPr>
              <w:t>Karta katalogowa, specyfikacja techniczna, instrukcja techniczna lub inna dokumentacja producenta macierzy, potwierdzająca wymagane parametry sprzętowe, funkcjonalne i wydajnościowe. Parametry niewskazane w dokumentacji mogą zostać potwierdzone oświadczeniem producenta, autoryzowanego przedstawiciela, dystrybutora lub importera. Dopuszcza się dokument producenta dotyczący kompatybilności, wydajności, licencji, gwarancji, obsługiwanych systemów, funkcji RAID, replikacji, szyfrowania, RBAC i zarządzania. Dokument potwierdzający warunki gwarancji i wsparcia np. oświadczenie producenta lub autoryzowanego producenta.</w:t>
            </w:r>
          </w:p>
        </w:tc>
      </w:tr>
      <w:tr w:rsidR="00E315AA" w:rsidRPr="008E2B54" w14:paraId="452D605E" w14:textId="77777777" w:rsidTr="00EB32BE">
        <w:tc>
          <w:tcPr>
            <w:tcW w:w="417" w:type="dxa"/>
            <w:shd w:val="clear" w:color="auto" w:fill="DAE9F7" w:themeFill="text2" w:themeFillTint="1A"/>
            <w:vAlign w:val="center"/>
          </w:tcPr>
          <w:p w14:paraId="5FCD5EC4" w14:textId="77777777" w:rsidR="00E315AA" w:rsidRPr="008E2B54" w:rsidRDefault="00000000">
            <w:pPr>
              <w:spacing w:after="0" w:line="240" w:lineRule="auto"/>
              <w:rPr>
                <w:rFonts w:asciiTheme="majorHAnsi" w:hAnsiTheme="majorHAnsi"/>
                <w:b/>
                <w:bCs/>
                <w:sz w:val="18"/>
                <w:szCs w:val="18"/>
              </w:rPr>
            </w:pPr>
            <w:r w:rsidRPr="008E2B54">
              <w:rPr>
                <w:rFonts w:asciiTheme="majorHAnsi" w:eastAsia="Aptos" w:hAnsiTheme="majorHAnsi" w:cs="Arial"/>
                <w:b/>
                <w:bCs/>
                <w:sz w:val="18"/>
                <w:szCs w:val="18"/>
              </w:rPr>
              <w:t>3</w:t>
            </w:r>
          </w:p>
        </w:tc>
        <w:tc>
          <w:tcPr>
            <w:tcW w:w="3074" w:type="dxa"/>
          </w:tcPr>
          <w:p w14:paraId="03942402" w14:textId="7A719000" w:rsidR="00E315AA" w:rsidRPr="008E2B54" w:rsidRDefault="00000000">
            <w:pPr>
              <w:spacing w:before="120" w:after="120" w:line="240" w:lineRule="auto"/>
              <w:jc w:val="both"/>
              <w:rPr>
                <w:rFonts w:asciiTheme="majorHAnsi" w:hAnsiTheme="majorHAnsi"/>
                <w:sz w:val="18"/>
                <w:szCs w:val="18"/>
              </w:rPr>
            </w:pPr>
            <w:r w:rsidRPr="008E2B54">
              <w:rPr>
                <w:rFonts w:asciiTheme="majorHAnsi" w:eastAsia="Aptos" w:hAnsiTheme="majorHAnsi" w:cs="Arial"/>
                <w:sz w:val="18"/>
                <w:szCs w:val="18"/>
              </w:rPr>
              <w:t xml:space="preserve">Serwer kopii zapasowych wraz z usługą lub licencją do </w:t>
            </w:r>
            <w:proofErr w:type="spellStart"/>
            <w:r w:rsidR="00832F5C">
              <w:rPr>
                <w:rFonts w:asciiTheme="majorHAnsi" w:eastAsia="Aptos" w:hAnsiTheme="majorHAnsi" w:cs="Arial"/>
                <w:sz w:val="18"/>
                <w:szCs w:val="18"/>
              </w:rPr>
              <w:t>deduplikacji</w:t>
            </w:r>
            <w:proofErr w:type="spellEnd"/>
          </w:p>
        </w:tc>
        <w:tc>
          <w:tcPr>
            <w:tcW w:w="5576" w:type="dxa"/>
          </w:tcPr>
          <w:p w14:paraId="34D676A6" w14:textId="77777777" w:rsidR="00E315AA" w:rsidRPr="008E2B54" w:rsidRDefault="00000000">
            <w:pPr>
              <w:spacing w:before="120" w:after="120" w:line="240" w:lineRule="auto"/>
              <w:jc w:val="both"/>
              <w:rPr>
                <w:rFonts w:asciiTheme="majorHAnsi" w:hAnsiTheme="majorHAnsi"/>
                <w:sz w:val="18"/>
                <w:szCs w:val="18"/>
              </w:rPr>
            </w:pPr>
            <w:r w:rsidRPr="008E2B54">
              <w:rPr>
                <w:rFonts w:asciiTheme="majorHAnsi" w:eastAsia="Aptos" w:hAnsiTheme="majorHAnsi" w:cs="Arial"/>
                <w:sz w:val="18"/>
                <w:szCs w:val="18"/>
              </w:rPr>
              <w:t>Karta katalogowa, karta produktu lub specyfikacja techniczna producenta serwera. Parametry niewskazane w karcie katalogowej mogą zostać potwierdzone oświadczeniem producenta, autoryzowanego przedstawiciela, dystrybutora lub importera. Dopuszcza się wynik testu SPEC lub równoważny dokument wydajnościowy, dokumentację kontrolera RAID i interfejsów SAS, dokument licencyjny systemu operacyjnego oraz dokument lub oświadczenie określające zakres i okres obowiązywania usługi albo licencji do duplikacji. Dokument potwierdzający warunki gwarancji i wsparcia np. oświadczenie producenta lub autoryzowanego producenta.</w:t>
            </w:r>
          </w:p>
        </w:tc>
      </w:tr>
      <w:tr w:rsidR="00E315AA" w:rsidRPr="008E2B54" w14:paraId="07FC9D7B" w14:textId="77777777" w:rsidTr="00EB32BE">
        <w:tc>
          <w:tcPr>
            <w:tcW w:w="417" w:type="dxa"/>
            <w:shd w:val="clear" w:color="auto" w:fill="DAE9F7" w:themeFill="text2" w:themeFillTint="1A"/>
            <w:vAlign w:val="center"/>
          </w:tcPr>
          <w:p w14:paraId="2598DEE6" w14:textId="77777777" w:rsidR="00E315AA" w:rsidRPr="008E2B54" w:rsidRDefault="00000000">
            <w:pPr>
              <w:spacing w:after="0" w:line="240" w:lineRule="auto"/>
              <w:rPr>
                <w:rFonts w:asciiTheme="majorHAnsi" w:hAnsiTheme="majorHAnsi"/>
                <w:b/>
                <w:bCs/>
                <w:sz w:val="18"/>
                <w:szCs w:val="18"/>
              </w:rPr>
            </w:pPr>
            <w:r w:rsidRPr="008E2B54">
              <w:rPr>
                <w:rFonts w:asciiTheme="majorHAnsi" w:eastAsia="Aptos" w:hAnsiTheme="majorHAnsi" w:cs="Arial"/>
                <w:b/>
                <w:bCs/>
                <w:sz w:val="18"/>
                <w:szCs w:val="18"/>
              </w:rPr>
              <w:t>4</w:t>
            </w:r>
          </w:p>
        </w:tc>
        <w:tc>
          <w:tcPr>
            <w:tcW w:w="3074" w:type="dxa"/>
          </w:tcPr>
          <w:p w14:paraId="6EB7E75F" w14:textId="77777777" w:rsidR="00E315AA" w:rsidRPr="008E2B54" w:rsidRDefault="00000000">
            <w:pPr>
              <w:spacing w:before="120" w:after="120" w:line="240" w:lineRule="auto"/>
              <w:jc w:val="both"/>
              <w:rPr>
                <w:rFonts w:asciiTheme="majorHAnsi" w:hAnsiTheme="majorHAnsi"/>
                <w:sz w:val="18"/>
                <w:szCs w:val="18"/>
              </w:rPr>
            </w:pPr>
            <w:r w:rsidRPr="008E2B54">
              <w:rPr>
                <w:rFonts w:asciiTheme="majorHAnsi" w:eastAsia="Aptos" w:hAnsiTheme="majorHAnsi" w:cs="Arial"/>
                <w:sz w:val="18"/>
                <w:szCs w:val="18"/>
              </w:rPr>
              <w:t>Oprogramowanie do wykonywania kopii zapasowych, w tym deduplikacji</w:t>
            </w:r>
          </w:p>
        </w:tc>
        <w:tc>
          <w:tcPr>
            <w:tcW w:w="5576" w:type="dxa"/>
          </w:tcPr>
          <w:p w14:paraId="25CA43F2" w14:textId="77777777" w:rsidR="00E315AA" w:rsidRPr="008E2B54" w:rsidRDefault="00000000">
            <w:pPr>
              <w:spacing w:before="120" w:after="120" w:line="240" w:lineRule="auto"/>
              <w:jc w:val="both"/>
              <w:rPr>
                <w:rFonts w:asciiTheme="majorHAnsi" w:hAnsiTheme="majorHAnsi"/>
                <w:sz w:val="18"/>
                <w:szCs w:val="18"/>
              </w:rPr>
            </w:pPr>
            <w:r w:rsidRPr="008E2B54">
              <w:rPr>
                <w:rFonts w:asciiTheme="majorHAnsi" w:eastAsia="Aptos" w:hAnsiTheme="majorHAnsi" w:cs="Arial"/>
                <w:sz w:val="18"/>
                <w:szCs w:val="18"/>
              </w:rPr>
              <w:t xml:space="preserve">Karta produktu, dokumentacja funkcjonalna, instrukcja administratora, opis licencjonowania lub inna dokumentacja producenta oprogramowania. Dopuszcza się oświadczenie producenta, autoryzowanego dystrybutora, partnera licencyjnego lub importera potwierdzające parametry, których nie wskazano w dokumentacji publicznej. Dokumenty powinny łącznie potwierdzać liczbę chronionych zasobów, model licencjonowania, </w:t>
            </w:r>
            <w:proofErr w:type="spellStart"/>
            <w:r w:rsidRPr="008E2B54">
              <w:rPr>
                <w:rFonts w:asciiTheme="majorHAnsi" w:eastAsia="Aptos" w:hAnsiTheme="majorHAnsi" w:cs="Arial"/>
                <w:sz w:val="18"/>
                <w:szCs w:val="18"/>
              </w:rPr>
              <w:t>deduplikację</w:t>
            </w:r>
            <w:proofErr w:type="spellEnd"/>
            <w:r w:rsidRPr="008E2B54">
              <w:rPr>
                <w:rFonts w:asciiTheme="majorHAnsi" w:eastAsia="Aptos" w:hAnsiTheme="majorHAnsi" w:cs="Arial"/>
                <w:sz w:val="18"/>
                <w:szCs w:val="18"/>
              </w:rPr>
              <w:t>, retencję, szyfrowanie, odtwarzanie, testowanie kopii, ochronę przed usunięciem oraz obsługę wymaganych środowisk.</w:t>
            </w:r>
          </w:p>
        </w:tc>
      </w:tr>
      <w:tr w:rsidR="00E315AA" w:rsidRPr="008E2B54" w14:paraId="26BA804E" w14:textId="77777777" w:rsidTr="00EB32BE">
        <w:tc>
          <w:tcPr>
            <w:tcW w:w="417" w:type="dxa"/>
            <w:shd w:val="clear" w:color="auto" w:fill="DAE9F7" w:themeFill="text2" w:themeFillTint="1A"/>
            <w:vAlign w:val="center"/>
          </w:tcPr>
          <w:p w14:paraId="78941E47" w14:textId="77777777" w:rsidR="00E315AA" w:rsidRPr="008E2B54" w:rsidRDefault="00000000">
            <w:pPr>
              <w:spacing w:after="0" w:line="240" w:lineRule="auto"/>
              <w:rPr>
                <w:rFonts w:asciiTheme="majorHAnsi" w:hAnsiTheme="majorHAnsi"/>
                <w:b/>
                <w:bCs/>
                <w:sz w:val="18"/>
                <w:szCs w:val="18"/>
              </w:rPr>
            </w:pPr>
            <w:r w:rsidRPr="008E2B54">
              <w:rPr>
                <w:rFonts w:asciiTheme="majorHAnsi" w:eastAsia="Aptos" w:hAnsiTheme="majorHAnsi" w:cs="Arial"/>
                <w:b/>
                <w:bCs/>
                <w:sz w:val="18"/>
                <w:szCs w:val="18"/>
              </w:rPr>
              <w:t>5</w:t>
            </w:r>
          </w:p>
        </w:tc>
        <w:tc>
          <w:tcPr>
            <w:tcW w:w="3074" w:type="dxa"/>
          </w:tcPr>
          <w:p w14:paraId="3893AAC6" w14:textId="77777777" w:rsidR="00E315AA" w:rsidRPr="008E2B54" w:rsidRDefault="00000000">
            <w:pPr>
              <w:spacing w:before="120" w:after="120" w:line="240" w:lineRule="auto"/>
              <w:jc w:val="both"/>
              <w:rPr>
                <w:rFonts w:asciiTheme="majorHAnsi" w:hAnsiTheme="majorHAnsi"/>
                <w:sz w:val="18"/>
                <w:szCs w:val="18"/>
              </w:rPr>
            </w:pPr>
            <w:r w:rsidRPr="008E2B54">
              <w:rPr>
                <w:rFonts w:asciiTheme="majorHAnsi" w:eastAsia="Aptos" w:hAnsiTheme="majorHAnsi" w:cs="Arial"/>
                <w:sz w:val="18"/>
                <w:szCs w:val="18"/>
              </w:rPr>
              <w:t>Rozwiązanie NAS do przechowywania kopii zapasowych i testowania</w:t>
            </w:r>
          </w:p>
        </w:tc>
        <w:tc>
          <w:tcPr>
            <w:tcW w:w="5576" w:type="dxa"/>
          </w:tcPr>
          <w:p w14:paraId="0A37501D" w14:textId="452061A8" w:rsidR="00E315AA" w:rsidRPr="008E2B54" w:rsidRDefault="00000000" w:rsidP="00EB32BE">
            <w:pPr>
              <w:spacing w:before="120" w:after="120" w:line="240" w:lineRule="auto"/>
              <w:jc w:val="both"/>
              <w:rPr>
                <w:rFonts w:asciiTheme="majorHAnsi" w:hAnsiTheme="majorHAnsi"/>
                <w:sz w:val="18"/>
                <w:szCs w:val="18"/>
              </w:rPr>
            </w:pPr>
            <w:r w:rsidRPr="008E2B54">
              <w:rPr>
                <w:rFonts w:asciiTheme="majorHAnsi" w:eastAsia="Aptos" w:hAnsiTheme="majorHAnsi" w:cs="Arial"/>
                <w:sz w:val="18"/>
                <w:szCs w:val="18"/>
              </w:rPr>
              <w:t xml:space="preserve">Karta katalogowa lub dokumentacja techniczna producenta NAS oraz, odpowiednio, dokumentacja oferowanych dysków. Dopuszcza się oświadczenie producenta NAS, producenta dysków, autoryzowanego przedstawiciela, dystrybutora lub importera. Dopuszczalnymi dokumentami są również lista kompatybilności dysków, wydruk wyniku </w:t>
            </w:r>
            <w:r w:rsidRPr="008E2B54">
              <w:rPr>
                <w:rFonts w:asciiTheme="majorHAnsi" w:eastAsia="Aptos" w:hAnsiTheme="majorHAnsi" w:cs="Arial"/>
                <w:sz w:val="18"/>
                <w:szCs w:val="18"/>
              </w:rPr>
              <w:lastRenderedPageBreak/>
              <w:t>CPU Mark, dokumentacja funkcji RAID, szyfrowania, replikacji i integracji z usługami katalogowymi oraz dokument potwierdzający okres gwarancji.</w:t>
            </w:r>
          </w:p>
        </w:tc>
      </w:tr>
      <w:tr w:rsidR="00E315AA" w:rsidRPr="008E2B54" w14:paraId="760BC300" w14:textId="77777777" w:rsidTr="00EB32BE">
        <w:tc>
          <w:tcPr>
            <w:tcW w:w="417" w:type="dxa"/>
            <w:shd w:val="clear" w:color="auto" w:fill="DAE9F7" w:themeFill="text2" w:themeFillTint="1A"/>
            <w:vAlign w:val="center"/>
          </w:tcPr>
          <w:p w14:paraId="29B4EA11" w14:textId="77777777" w:rsidR="00E315AA" w:rsidRPr="008E2B54" w:rsidRDefault="00000000">
            <w:pPr>
              <w:spacing w:after="0" w:line="240" w:lineRule="auto"/>
              <w:rPr>
                <w:rFonts w:asciiTheme="majorHAnsi" w:hAnsiTheme="majorHAnsi"/>
                <w:b/>
                <w:bCs/>
                <w:sz w:val="18"/>
                <w:szCs w:val="18"/>
              </w:rPr>
            </w:pPr>
            <w:r w:rsidRPr="008E2B54">
              <w:rPr>
                <w:rFonts w:asciiTheme="majorHAnsi" w:eastAsia="Aptos" w:hAnsiTheme="majorHAnsi" w:cs="Arial"/>
                <w:b/>
                <w:bCs/>
                <w:sz w:val="18"/>
                <w:szCs w:val="18"/>
              </w:rPr>
              <w:lastRenderedPageBreak/>
              <w:t>6</w:t>
            </w:r>
          </w:p>
        </w:tc>
        <w:tc>
          <w:tcPr>
            <w:tcW w:w="3074" w:type="dxa"/>
          </w:tcPr>
          <w:p w14:paraId="1917002E" w14:textId="77777777" w:rsidR="00E315AA" w:rsidRPr="008E2B54" w:rsidRDefault="00000000">
            <w:pPr>
              <w:spacing w:before="120" w:after="120" w:line="240" w:lineRule="auto"/>
              <w:jc w:val="both"/>
              <w:rPr>
                <w:rFonts w:asciiTheme="majorHAnsi" w:hAnsiTheme="majorHAnsi"/>
                <w:sz w:val="18"/>
                <w:szCs w:val="18"/>
              </w:rPr>
            </w:pPr>
            <w:r w:rsidRPr="008E2B54">
              <w:rPr>
                <w:rFonts w:asciiTheme="majorHAnsi" w:eastAsia="Aptos" w:hAnsiTheme="majorHAnsi" w:cs="Arial"/>
                <w:sz w:val="18"/>
                <w:szCs w:val="18"/>
              </w:rPr>
              <w:t>Streamer do wykonywania kopii zapasowych wraz z kasetami</w:t>
            </w:r>
          </w:p>
        </w:tc>
        <w:tc>
          <w:tcPr>
            <w:tcW w:w="5576" w:type="dxa"/>
          </w:tcPr>
          <w:p w14:paraId="7C66787E" w14:textId="77777777" w:rsidR="00E315AA" w:rsidRPr="008E2B54" w:rsidRDefault="00000000">
            <w:pPr>
              <w:spacing w:before="120" w:after="120" w:line="240" w:lineRule="auto"/>
              <w:jc w:val="both"/>
              <w:rPr>
                <w:rFonts w:asciiTheme="majorHAnsi" w:hAnsiTheme="majorHAnsi"/>
                <w:sz w:val="18"/>
                <w:szCs w:val="18"/>
              </w:rPr>
            </w:pPr>
            <w:r w:rsidRPr="008E2B54">
              <w:rPr>
                <w:rFonts w:asciiTheme="majorHAnsi" w:eastAsia="Aptos" w:hAnsiTheme="majorHAnsi" w:cs="Arial"/>
                <w:sz w:val="18"/>
                <w:szCs w:val="18"/>
              </w:rPr>
              <w:t>Karta katalogowa, specyfikacja techniczna lub instrukcja producenta biblioteki taśmowej i napędu. Parametry niewskazane w dokumentacji mogą zostać potwierdzone oświadczeniem producenta, autoryzowanego przedstawiciela, dystrybutora lub importera. Dopuszcza się listę kompatybilności z oprogramowaniem backupowym, dokumentację szyfrowania i kompresji, specyfikację kaset oraz dokument potwierdzający gwarancję i wsparcie.</w:t>
            </w:r>
          </w:p>
        </w:tc>
      </w:tr>
      <w:tr w:rsidR="00E315AA" w:rsidRPr="008E2B54" w14:paraId="4EDC1B7E" w14:textId="77777777" w:rsidTr="00EB32BE">
        <w:tc>
          <w:tcPr>
            <w:tcW w:w="417" w:type="dxa"/>
            <w:shd w:val="clear" w:color="auto" w:fill="DAE9F7" w:themeFill="text2" w:themeFillTint="1A"/>
            <w:vAlign w:val="center"/>
          </w:tcPr>
          <w:p w14:paraId="75697EEC" w14:textId="77777777" w:rsidR="00E315AA" w:rsidRPr="008E2B54" w:rsidRDefault="00000000">
            <w:pPr>
              <w:spacing w:after="0" w:line="240" w:lineRule="auto"/>
              <w:rPr>
                <w:rFonts w:asciiTheme="majorHAnsi" w:hAnsiTheme="majorHAnsi"/>
                <w:b/>
                <w:bCs/>
                <w:sz w:val="18"/>
                <w:szCs w:val="18"/>
              </w:rPr>
            </w:pPr>
            <w:r w:rsidRPr="008E2B54">
              <w:rPr>
                <w:rFonts w:asciiTheme="majorHAnsi" w:eastAsia="Aptos" w:hAnsiTheme="majorHAnsi" w:cs="Arial"/>
                <w:b/>
                <w:bCs/>
                <w:sz w:val="18"/>
                <w:szCs w:val="18"/>
              </w:rPr>
              <w:t>7</w:t>
            </w:r>
          </w:p>
        </w:tc>
        <w:tc>
          <w:tcPr>
            <w:tcW w:w="3074" w:type="dxa"/>
          </w:tcPr>
          <w:p w14:paraId="67481788" w14:textId="77777777" w:rsidR="00E315AA" w:rsidRPr="008E2B54" w:rsidRDefault="00000000">
            <w:pPr>
              <w:spacing w:before="120" w:after="120" w:line="240" w:lineRule="auto"/>
              <w:jc w:val="both"/>
              <w:rPr>
                <w:rFonts w:asciiTheme="majorHAnsi" w:hAnsiTheme="majorHAnsi"/>
                <w:sz w:val="18"/>
                <w:szCs w:val="18"/>
              </w:rPr>
            </w:pPr>
            <w:r w:rsidRPr="008E2B54">
              <w:rPr>
                <w:rFonts w:asciiTheme="majorHAnsi" w:eastAsia="Aptos" w:hAnsiTheme="majorHAnsi" w:cs="Arial"/>
                <w:sz w:val="18"/>
                <w:szCs w:val="18"/>
              </w:rPr>
              <w:t>Oprogramowanie przeciwdziałające wyciekowi danych DLP</w:t>
            </w:r>
          </w:p>
        </w:tc>
        <w:tc>
          <w:tcPr>
            <w:tcW w:w="5576" w:type="dxa"/>
          </w:tcPr>
          <w:p w14:paraId="032E6B8F" w14:textId="14C16961" w:rsidR="00E315AA" w:rsidRPr="008E2B54" w:rsidRDefault="00000000">
            <w:pPr>
              <w:spacing w:before="120" w:after="120" w:line="240" w:lineRule="auto"/>
              <w:jc w:val="both"/>
              <w:rPr>
                <w:rFonts w:asciiTheme="majorHAnsi" w:hAnsiTheme="majorHAnsi"/>
                <w:sz w:val="18"/>
                <w:szCs w:val="18"/>
              </w:rPr>
            </w:pPr>
            <w:r w:rsidRPr="008E2B54">
              <w:rPr>
                <w:rFonts w:asciiTheme="majorHAnsi" w:eastAsia="Aptos" w:hAnsiTheme="majorHAnsi" w:cs="Arial"/>
                <w:sz w:val="18"/>
                <w:szCs w:val="18"/>
              </w:rPr>
              <w:t>Karta produktu, dokumentacja funkcjonalna, podręcznik administratora lub inna dokumentacja producenta systemu DLP. W zakresie parametrów niewskazanych w dokumentacji dopuszcza się oświadczenie producenta, autoryzowanego przedstawiciela, dystrybutora, importera albo partnera handlowego producenta. Dokumenty powinny potwierdzać liczbę licencji, obsługiwane systemy, kanały kontroli danych, OCR, integrację z Microsoft 365 i SIEM, raportowanie, audyt administratorów oraz okres wsparcia.</w:t>
            </w:r>
          </w:p>
        </w:tc>
      </w:tr>
      <w:tr w:rsidR="00E315AA" w:rsidRPr="008E2B54" w14:paraId="4AAD3431" w14:textId="77777777" w:rsidTr="00EB32BE">
        <w:tc>
          <w:tcPr>
            <w:tcW w:w="417" w:type="dxa"/>
            <w:shd w:val="clear" w:color="auto" w:fill="DAE9F7" w:themeFill="text2" w:themeFillTint="1A"/>
            <w:vAlign w:val="center"/>
          </w:tcPr>
          <w:p w14:paraId="44B0A208" w14:textId="77777777" w:rsidR="00E315AA" w:rsidRPr="008E2B54" w:rsidRDefault="00000000">
            <w:pPr>
              <w:spacing w:after="0" w:line="240" w:lineRule="auto"/>
              <w:rPr>
                <w:rFonts w:asciiTheme="majorHAnsi" w:hAnsiTheme="majorHAnsi"/>
                <w:b/>
                <w:bCs/>
                <w:sz w:val="18"/>
                <w:szCs w:val="18"/>
              </w:rPr>
            </w:pPr>
            <w:r w:rsidRPr="008E2B54">
              <w:rPr>
                <w:rFonts w:asciiTheme="majorHAnsi" w:eastAsia="Aptos" w:hAnsiTheme="majorHAnsi" w:cs="Arial"/>
                <w:b/>
                <w:bCs/>
                <w:sz w:val="18"/>
                <w:szCs w:val="18"/>
              </w:rPr>
              <w:t>8</w:t>
            </w:r>
          </w:p>
        </w:tc>
        <w:tc>
          <w:tcPr>
            <w:tcW w:w="3074" w:type="dxa"/>
          </w:tcPr>
          <w:p w14:paraId="6EB90C24" w14:textId="77777777" w:rsidR="00E315AA" w:rsidRPr="008E2B54" w:rsidRDefault="00000000">
            <w:pPr>
              <w:spacing w:before="120" w:after="120" w:line="240" w:lineRule="auto"/>
              <w:jc w:val="both"/>
              <w:rPr>
                <w:rFonts w:asciiTheme="majorHAnsi" w:hAnsiTheme="majorHAnsi"/>
                <w:sz w:val="18"/>
                <w:szCs w:val="18"/>
              </w:rPr>
            </w:pPr>
            <w:r w:rsidRPr="008E2B54">
              <w:rPr>
                <w:rFonts w:asciiTheme="majorHAnsi" w:eastAsia="Aptos" w:hAnsiTheme="majorHAnsi" w:cs="Arial"/>
                <w:sz w:val="18"/>
                <w:szCs w:val="18"/>
              </w:rPr>
              <w:t>Oprogramowanie antywirusowe, antyspamowe oraz EDR i XDR</w:t>
            </w:r>
          </w:p>
        </w:tc>
        <w:tc>
          <w:tcPr>
            <w:tcW w:w="5576" w:type="dxa"/>
          </w:tcPr>
          <w:p w14:paraId="6C0A3CD9" w14:textId="5AF47040" w:rsidR="00E315AA" w:rsidRPr="008E2B54" w:rsidRDefault="00000000">
            <w:pPr>
              <w:spacing w:before="120" w:after="120" w:line="240" w:lineRule="auto"/>
              <w:jc w:val="both"/>
              <w:rPr>
                <w:rFonts w:asciiTheme="majorHAnsi" w:hAnsiTheme="majorHAnsi"/>
                <w:sz w:val="18"/>
                <w:szCs w:val="18"/>
              </w:rPr>
            </w:pPr>
            <w:r w:rsidRPr="008E2B54">
              <w:rPr>
                <w:rFonts w:asciiTheme="majorHAnsi" w:eastAsia="Aptos" w:hAnsiTheme="majorHAnsi" w:cs="Arial"/>
                <w:sz w:val="18"/>
                <w:szCs w:val="18"/>
              </w:rPr>
              <w:t xml:space="preserve">Karta produktu, dokumentacja techniczna lub funkcjonalna producenta oferowanego rozwiązania. Dopuszcza się oświadczenie producenta, autoryzowanego dystrybutora, przedstawiciela producenta lub partnera licencyjnego potwierdzające parametry niewskazane w dokumentacji publicznej. Dopuszcza się macierz wspieranych systemów, dokumentację funkcji antywirusowych, antyspamowych, EDR, XDR, </w:t>
            </w:r>
            <w:proofErr w:type="spellStart"/>
            <w:r w:rsidRPr="008E2B54">
              <w:rPr>
                <w:rFonts w:asciiTheme="majorHAnsi" w:eastAsia="Aptos" w:hAnsiTheme="majorHAnsi" w:cs="Arial"/>
                <w:sz w:val="18"/>
                <w:szCs w:val="18"/>
              </w:rPr>
              <w:t>sandbox</w:t>
            </w:r>
            <w:proofErr w:type="spellEnd"/>
            <w:r w:rsidRPr="008E2B54">
              <w:rPr>
                <w:rFonts w:asciiTheme="majorHAnsi" w:eastAsia="Aptos" w:hAnsiTheme="majorHAnsi" w:cs="Arial"/>
                <w:sz w:val="18"/>
                <w:szCs w:val="18"/>
              </w:rPr>
              <w:t xml:space="preserve">, </w:t>
            </w:r>
            <w:proofErr w:type="spellStart"/>
            <w:r w:rsidRPr="008E2B54">
              <w:rPr>
                <w:rFonts w:asciiTheme="majorHAnsi" w:eastAsia="Aptos" w:hAnsiTheme="majorHAnsi" w:cs="Arial"/>
                <w:sz w:val="18"/>
                <w:szCs w:val="18"/>
              </w:rPr>
              <w:t>patch</w:t>
            </w:r>
            <w:proofErr w:type="spellEnd"/>
            <w:r w:rsidRPr="008E2B54">
              <w:rPr>
                <w:rFonts w:asciiTheme="majorHAnsi" w:eastAsia="Aptos" w:hAnsiTheme="majorHAnsi" w:cs="Arial"/>
                <w:sz w:val="18"/>
                <w:szCs w:val="18"/>
              </w:rPr>
              <w:t xml:space="preserve"> management i sensorów oraz dokument potwierdzający liczbę licencji, okres subskrypcji i zakres wsparcia.</w:t>
            </w:r>
            <w:r w:rsidR="00EB32BE" w:rsidRPr="008E2B54">
              <w:rPr>
                <w:rFonts w:asciiTheme="majorHAnsi" w:eastAsia="Aptos" w:hAnsiTheme="majorHAnsi" w:cs="Arial"/>
                <w:sz w:val="18"/>
                <w:szCs w:val="18"/>
              </w:rPr>
              <w:t xml:space="preserve"> </w:t>
            </w:r>
            <w:r w:rsidR="00EB32BE" w:rsidRPr="008E2B54">
              <w:rPr>
                <w:rFonts w:asciiTheme="majorHAnsi" w:eastAsia="Aptos" w:hAnsiTheme="majorHAnsi" w:cs="Arial"/>
                <w:sz w:val="18"/>
                <w:szCs w:val="18"/>
              </w:rPr>
              <w:t xml:space="preserve">Dopuszcza się tabelę, wykaz lub macierz kompatybilności potwierdzającą wspierane systemy operacyjne </w:t>
            </w:r>
            <w:r w:rsidR="00EB32BE" w:rsidRPr="008E2B54">
              <w:rPr>
                <w:rFonts w:asciiTheme="majorHAnsi" w:eastAsia="Aptos" w:hAnsiTheme="majorHAnsi" w:cs="Arial"/>
                <w:sz w:val="18"/>
                <w:szCs w:val="18"/>
              </w:rPr>
              <w:br/>
            </w:r>
            <w:r w:rsidR="00EB32BE" w:rsidRPr="008E2B54">
              <w:rPr>
                <w:rFonts w:asciiTheme="majorHAnsi" w:eastAsia="Aptos" w:hAnsiTheme="majorHAnsi" w:cs="Arial"/>
                <w:sz w:val="18"/>
                <w:szCs w:val="18"/>
              </w:rPr>
              <w:t>i środowiska</w:t>
            </w:r>
            <w:r w:rsidR="00EB32BE" w:rsidRPr="008E2B54">
              <w:rPr>
                <w:rFonts w:asciiTheme="majorHAnsi" w:eastAsia="Aptos" w:hAnsiTheme="majorHAnsi" w:cs="Arial"/>
                <w:sz w:val="18"/>
                <w:szCs w:val="18"/>
              </w:rPr>
              <w:t xml:space="preserve">. </w:t>
            </w:r>
          </w:p>
        </w:tc>
      </w:tr>
      <w:tr w:rsidR="00E315AA" w:rsidRPr="008E2B54" w14:paraId="5F148AD5" w14:textId="77777777" w:rsidTr="00EB32BE">
        <w:tc>
          <w:tcPr>
            <w:tcW w:w="417" w:type="dxa"/>
            <w:shd w:val="clear" w:color="auto" w:fill="DAE9F7" w:themeFill="text2" w:themeFillTint="1A"/>
            <w:vAlign w:val="center"/>
          </w:tcPr>
          <w:p w14:paraId="2B2B7304" w14:textId="77777777" w:rsidR="00E315AA" w:rsidRPr="008E2B54" w:rsidRDefault="00000000">
            <w:pPr>
              <w:spacing w:after="0" w:line="240" w:lineRule="auto"/>
              <w:rPr>
                <w:rFonts w:asciiTheme="majorHAnsi" w:hAnsiTheme="majorHAnsi"/>
                <w:b/>
                <w:bCs/>
                <w:sz w:val="18"/>
                <w:szCs w:val="18"/>
              </w:rPr>
            </w:pPr>
            <w:r w:rsidRPr="008E2B54">
              <w:rPr>
                <w:rFonts w:asciiTheme="majorHAnsi" w:eastAsia="Aptos" w:hAnsiTheme="majorHAnsi" w:cs="Arial"/>
                <w:b/>
                <w:bCs/>
                <w:sz w:val="18"/>
                <w:szCs w:val="18"/>
              </w:rPr>
              <w:t>9</w:t>
            </w:r>
          </w:p>
        </w:tc>
        <w:tc>
          <w:tcPr>
            <w:tcW w:w="3074" w:type="dxa"/>
          </w:tcPr>
          <w:p w14:paraId="5871ACCA" w14:textId="77777777" w:rsidR="00E315AA" w:rsidRPr="008E2B54" w:rsidRDefault="00000000">
            <w:pPr>
              <w:spacing w:before="120" w:after="120" w:line="240" w:lineRule="auto"/>
              <w:jc w:val="both"/>
              <w:rPr>
                <w:rFonts w:asciiTheme="majorHAnsi" w:hAnsiTheme="majorHAnsi"/>
                <w:sz w:val="18"/>
                <w:szCs w:val="18"/>
              </w:rPr>
            </w:pPr>
            <w:r w:rsidRPr="008E2B54">
              <w:rPr>
                <w:rFonts w:asciiTheme="majorHAnsi" w:eastAsia="Aptos" w:hAnsiTheme="majorHAnsi" w:cs="Arial"/>
                <w:sz w:val="18"/>
                <w:szCs w:val="18"/>
              </w:rPr>
              <w:t>Rozwiązanie klasy UTM na styku WAN/LAN, rozszerzenie obecnego rozwiązania do HA oraz odnowienie wsparcia</w:t>
            </w:r>
          </w:p>
        </w:tc>
        <w:tc>
          <w:tcPr>
            <w:tcW w:w="5576" w:type="dxa"/>
          </w:tcPr>
          <w:p w14:paraId="6568C476" w14:textId="77777777" w:rsidR="00E315AA" w:rsidRPr="008E2B54" w:rsidRDefault="00000000">
            <w:pPr>
              <w:spacing w:before="120" w:after="120" w:line="240" w:lineRule="auto"/>
              <w:jc w:val="both"/>
              <w:rPr>
                <w:rFonts w:asciiTheme="majorHAnsi" w:hAnsiTheme="majorHAnsi"/>
                <w:sz w:val="18"/>
                <w:szCs w:val="18"/>
              </w:rPr>
            </w:pPr>
            <w:r w:rsidRPr="008E2B54">
              <w:rPr>
                <w:rFonts w:asciiTheme="majorHAnsi" w:eastAsia="Aptos" w:hAnsiTheme="majorHAnsi" w:cs="Arial"/>
                <w:sz w:val="18"/>
                <w:szCs w:val="18"/>
              </w:rPr>
              <w:t>Karta katalogowa, specyfikacja techniczna lub dokumentacja producenta urządzenia UTM/NGFW. Parametry niewskazane w tych dokumentach mogą zostać potwierdzone oświadczeniem producenta, autoryzowanego przedstawiciela, dystrybutora lub importera. Dodatkowo dopuszcza się dokument producenta lub dystrybutora potwierdzający kompatybilność z obecnym urządzeniem Zamawiającego i możliwość pracy w HA, dokument licencyjny, potwierdzenie odnowienia wsparcia oraz dokumentację funkcji IPS, VPN, 2FA, ZTNA i SD-WAN.</w:t>
            </w:r>
          </w:p>
        </w:tc>
      </w:tr>
      <w:tr w:rsidR="00E315AA" w:rsidRPr="008E2B54" w14:paraId="09B258C7" w14:textId="77777777" w:rsidTr="00EB32BE">
        <w:tc>
          <w:tcPr>
            <w:tcW w:w="417" w:type="dxa"/>
            <w:shd w:val="clear" w:color="auto" w:fill="DAE9F7" w:themeFill="text2" w:themeFillTint="1A"/>
            <w:vAlign w:val="center"/>
          </w:tcPr>
          <w:p w14:paraId="5D369756" w14:textId="77777777" w:rsidR="00E315AA" w:rsidRPr="008E2B54" w:rsidRDefault="00000000">
            <w:pPr>
              <w:spacing w:after="0" w:line="240" w:lineRule="auto"/>
              <w:rPr>
                <w:rFonts w:asciiTheme="majorHAnsi" w:hAnsiTheme="majorHAnsi"/>
                <w:b/>
                <w:bCs/>
                <w:sz w:val="18"/>
                <w:szCs w:val="18"/>
              </w:rPr>
            </w:pPr>
            <w:r w:rsidRPr="008E2B54">
              <w:rPr>
                <w:rFonts w:asciiTheme="majorHAnsi" w:eastAsia="Aptos" w:hAnsiTheme="majorHAnsi" w:cs="Arial"/>
                <w:b/>
                <w:bCs/>
                <w:sz w:val="18"/>
                <w:szCs w:val="18"/>
              </w:rPr>
              <w:t>10</w:t>
            </w:r>
          </w:p>
        </w:tc>
        <w:tc>
          <w:tcPr>
            <w:tcW w:w="3074" w:type="dxa"/>
          </w:tcPr>
          <w:p w14:paraId="27F51AC6" w14:textId="77777777" w:rsidR="00E315AA" w:rsidRPr="008E2B54" w:rsidRDefault="00000000">
            <w:pPr>
              <w:spacing w:before="120" w:after="120" w:line="240" w:lineRule="auto"/>
              <w:jc w:val="both"/>
              <w:rPr>
                <w:rFonts w:asciiTheme="majorHAnsi" w:hAnsiTheme="majorHAnsi"/>
                <w:sz w:val="18"/>
                <w:szCs w:val="18"/>
              </w:rPr>
            </w:pPr>
            <w:r w:rsidRPr="008E2B54">
              <w:rPr>
                <w:rFonts w:asciiTheme="majorHAnsi" w:eastAsia="Aptos" w:hAnsiTheme="majorHAnsi" w:cs="Arial"/>
                <w:sz w:val="18"/>
                <w:szCs w:val="18"/>
              </w:rPr>
              <w:t>Rozwiązanie klasy UTM dla połączeń VPN i ochrony styku sieci IT</w:t>
            </w:r>
          </w:p>
        </w:tc>
        <w:tc>
          <w:tcPr>
            <w:tcW w:w="5576" w:type="dxa"/>
          </w:tcPr>
          <w:p w14:paraId="28963829" w14:textId="77777777" w:rsidR="00E315AA" w:rsidRPr="008E2B54" w:rsidRDefault="00000000">
            <w:pPr>
              <w:spacing w:before="120" w:after="120" w:line="240" w:lineRule="auto"/>
              <w:jc w:val="both"/>
              <w:rPr>
                <w:rFonts w:asciiTheme="majorHAnsi" w:hAnsiTheme="majorHAnsi"/>
                <w:sz w:val="18"/>
                <w:szCs w:val="18"/>
              </w:rPr>
            </w:pPr>
            <w:r w:rsidRPr="008E2B54">
              <w:rPr>
                <w:rFonts w:asciiTheme="majorHAnsi" w:eastAsia="Aptos" w:hAnsiTheme="majorHAnsi" w:cs="Arial"/>
                <w:sz w:val="18"/>
                <w:szCs w:val="18"/>
              </w:rPr>
              <w:t xml:space="preserve">Karta katalogowa, karta produktu lub dokumentacja techniczna producenta oferowanego urządzenia. Parametry niewskazane w dokumentacji mogą zostać potwierdzone oświadczeniem producenta, jego autoryzowanego przedstawiciela, dystrybutora lub importera. Dopuszcza się dokumentację wydajności, licencji, liczby obsługiwanych tuneli i sesji, funkcji IPS, VPN, filtrowania, 2FA, ZTNA, SD-WAN, antywirusa i </w:t>
            </w:r>
            <w:proofErr w:type="spellStart"/>
            <w:r w:rsidRPr="008E2B54">
              <w:rPr>
                <w:rFonts w:asciiTheme="majorHAnsi" w:eastAsia="Aptos" w:hAnsiTheme="majorHAnsi" w:cs="Arial"/>
                <w:sz w:val="18"/>
                <w:szCs w:val="18"/>
              </w:rPr>
              <w:t>antyspamu</w:t>
            </w:r>
            <w:proofErr w:type="spellEnd"/>
            <w:r w:rsidRPr="008E2B54">
              <w:rPr>
                <w:rFonts w:asciiTheme="majorHAnsi" w:eastAsia="Aptos" w:hAnsiTheme="majorHAnsi" w:cs="Arial"/>
                <w:sz w:val="18"/>
                <w:szCs w:val="18"/>
              </w:rPr>
              <w:t xml:space="preserve"> oraz dokument potwierdzający gwarancję i wsparcie.</w:t>
            </w:r>
          </w:p>
        </w:tc>
      </w:tr>
      <w:tr w:rsidR="00E315AA" w:rsidRPr="008E2B54" w14:paraId="45CB44BE" w14:textId="77777777" w:rsidTr="00EB32BE">
        <w:tc>
          <w:tcPr>
            <w:tcW w:w="417" w:type="dxa"/>
            <w:shd w:val="clear" w:color="auto" w:fill="DAE9F7" w:themeFill="text2" w:themeFillTint="1A"/>
            <w:vAlign w:val="center"/>
          </w:tcPr>
          <w:p w14:paraId="4737E36C" w14:textId="77777777" w:rsidR="00E315AA" w:rsidRPr="008E2B54" w:rsidRDefault="00000000">
            <w:pPr>
              <w:spacing w:after="0" w:line="240" w:lineRule="auto"/>
              <w:rPr>
                <w:rFonts w:asciiTheme="majorHAnsi" w:hAnsiTheme="majorHAnsi"/>
                <w:b/>
                <w:bCs/>
                <w:sz w:val="18"/>
                <w:szCs w:val="18"/>
              </w:rPr>
            </w:pPr>
            <w:r w:rsidRPr="008E2B54">
              <w:rPr>
                <w:rFonts w:asciiTheme="majorHAnsi" w:eastAsia="Aptos" w:hAnsiTheme="majorHAnsi" w:cs="Arial"/>
                <w:b/>
                <w:bCs/>
                <w:sz w:val="18"/>
                <w:szCs w:val="18"/>
              </w:rPr>
              <w:t>11</w:t>
            </w:r>
          </w:p>
        </w:tc>
        <w:tc>
          <w:tcPr>
            <w:tcW w:w="3074" w:type="dxa"/>
          </w:tcPr>
          <w:p w14:paraId="1CEB3501" w14:textId="77777777" w:rsidR="00E315AA" w:rsidRPr="008E2B54" w:rsidRDefault="00000000">
            <w:pPr>
              <w:spacing w:before="120" w:after="120" w:line="240" w:lineRule="auto"/>
              <w:jc w:val="both"/>
              <w:rPr>
                <w:rFonts w:asciiTheme="majorHAnsi" w:hAnsiTheme="majorHAnsi"/>
                <w:sz w:val="18"/>
                <w:szCs w:val="18"/>
              </w:rPr>
            </w:pPr>
            <w:r w:rsidRPr="008E2B54">
              <w:rPr>
                <w:rFonts w:asciiTheme="majorHAnsi" w:eastAsia="Aptos" w:hAnsiTheme="majorHAnsi" w:cs="Arial"/>
                <w:sz w:val="18"/>
                <w:szCs w:val="18"/>
              </w:rPr>
              <w:t xml:space="preserve">Zarządzalne urządzenia sieciowe umożliwiające segmentację z obsługą VLAN, </w:t>
            </w:r>
            <w:proofErr w:type="spellStart"/>
            <w:r w:rsidRPr="008E2B54">
              <w:rPr>
                <w:rFonts w:asciiTheme="majorHAnsi" w:eastAsia="Aptos" w:hAnsiTheme="majorHAnsi" w:cs="Arial"/>
                <w:sz w:val="18"/>
                <w:szCs w:val="18"/>
              </w:rPr>
              <w:t>MACsec</w:t>
            </w:r>
            <w:proofErr w:type="spellEnd"/>
            <w:r w:rsidRPr="008E2B54">
              <w:rPr>
                <w:rFonts w:asciiTheme="majorHAnsi" w:eastAsia="Aptos" w:hAnsiTheme="majorHAnsi" w:cs="Arial"/>
                <w:sz w:val="18"/>
                <w:szCs w:val="18"/>
              </w:rPr>
              <w:t xml:space="preserve"> i 802.1X</w:t>
            </w:r>
          </w:p>
        </w:tc>
        <w:tc>
          <w:tcPr>
            <w:tcW w:w="5576" w:type="dxa"/>
          </w:tcPr>
          <w:p w14:paraId="4B600AAE" w14:textId="77777777" w:rsidR="00E315AA" w:rsidRPr="008E2B54" w:rsidRDefault="00000000">
            <w:pPr>
              <w:spacing w:before="120" w:after="120" w:line="240" w:lineRule="auto"/>
              <w:jc w:val="both"/>
              <w:rPr>
                <w:rFonts w:asciiTheme="majorHAnsi" w:hAnsiTheme="majorHAnsi"/>
                <w:sz w:val="18"/>
                <w:szCs w:val="18"/>
              </w:rPr>
            </w:pPr>
            <w:r w:rsidRPr="008E2B54">
              <w:rPr>
                <w:rFonts w:asciiTheme="majorHAnsi" w:eastAsia="Aptos" w:hAnsiTheme="majorHAnsi" w:cs="Arial"/>
                <w:sz w:val="18"/>
                <w:szCs w:val="18"/>
              </w:rPr>
              <w:t xml:space="preserve">Karta katalogowa, specyfikacja techniczna lub inna dokumentacja producenta przełącznika. W zakresie parametrów niewskazanych w dokumentacji dopuszcza się oświadczenie producenta, autoryzowanego przedstawiciela, dystrybutora lub importera. Dopuszcza się także dokumentację funkcji </w:t>
            </w:r>
            <w:proofErr w:type="spellStart"/>
            <w:r w:rsidRPr="008E2B54">
              <w:rPr>
                <w:rFonts w:asciiTheme="majorHAnsi" w:eastAsia="Aptos" w:hAnsiTheme="majorHAnsi" w:cs="Arial"/>
                <w:sz w:val="18"/>
                <w:szCs w:val="18"/>
              </w:rPr>
              <w:t>MACsec</w:t>
            </w:r>
            <w:proofErr w:type="spellEnd"/>
            <w:r w:rsidRPr="008E2B54">
              <w:rPr>
                <w:rFonts w:asciiTheme="majorHAnsi" w:eastAsia="Aptos" w:hAnsiTheme="majorHAnsi" w:cs="Arial"/>
                <w:sz w:val="18"/>
                <w:szCs w:val="18"/>
              </w:rPr>
              <w:t xml:space="preserve">, 802.1X, VLAN, routingu, TPM, RADIUS/TACACS+, </w:t>
            </w:r>
            <w:proofErr w:type="spellStart"/>
            <w:r w:rsidRPr="008E2B54">
              <w:rPr>
                <w:rFonts w:asciiTheme="majorHAnsi" w:eastAsia="Aptos" w:hAnsiTheme="majorHAnsi" w:cs="Arial"/>
                <w:sz w:val="18"/>
                <w:szCs w:val="18"/>
              </w:rPr>
              <w:t>stacking</w:t>
            </w:r>
            <w:proofErr w:type="spellEnd"/>
            <w:r w:rsidRPr="008E2B54">
              <w:rPr>
                <w:rFonts w:asciiTheme="majorHAnsi" w:eastAsia="Aptos" w:hAnsiTheme="majorHAnsi" w:cs="Arial"/>
                <w:sz w:val="18"/>
                <w:szCs w:val="18"/>
              </w:rPr>
              <w:t xml:space="preserve"> i parametrów wydajnościowych, deklarację zgodności UE/CE lub dokument równoważny oraz dokument potwierdzający warunki gwarancji i wsparcia.</w:t>
            </w:r>
          </w:p>
        </w:tc>
      </w:tr>
      <w:tr w:rsidR="00E315AA" w:rsidRPr="008E2B54" w14:paraId="79623711" w14:textId="77777777" w:rsidTr="00EB32BE">
        <w:tc>
          <w:tcPr>
            <w:tcW w:w="417" w:type="dxa"/>
            <w:shd w:val="clear" w:color="auto" w:fill="DAE9F7" w:themeFill="text2" w:themeFillTint="1A"/>
            <w:vAlign w:val="center"/>
          </w:tcPr>
          <w:p w14:paraId="4B73E586" w14:textId="77777777" w:rsidR="00E315AA" w:rsidRPr="008E2B54" w:rsidRDefault="00000000">
            <w:pPr>
              <w:spacing w:after="0" w:line="240" w:lineRule="auto"/>
              <w:rPr>
                <w:rFonts w:asciiTheme="majorHAnsi" w:hAnsiTheme="majorHAnsi"/>
                <w:b/>
                <w:bCs/>
                <w:sz w:val="18"/>
                <w:szCs w:val="18"/>
              </w:rPr>
            </w:pPr>
            <w:r w:rsidRPr="008E2B54">
              <w:rPr>
                <w:rFonts w:asciiTheme="majorHAnsi" w:eastAsia="Aptos" w:hAnsiTheme="majorHAnsi" w:cs="Arial"/>
                <w:b/>
                <w:bCs/>
                <w:sz w:val="18"/>
                <w:szCs w:val="18"/>
              </w:rPr>
              <w:t>12</w:t>
            </w:r>
          </w:p>
        </w:tc>
        <w:tc>
          <w:tcPr>
            <w:tcW w:w="3074" w:type="dxa"/>
          </w:tcPr>
          <w:p w14:paraId="4421C40B" w14:textId="77777777" w:rsidR="00E315AA" w:rsidRPr="008E2B54" w:rsidRDefault="00000000">
            <w:pPr>
              <w:spacing w:before="120" w:after="120" w:line="240" w:lineRule="auto"/>
              <w:jc w:val="both"/>
              <w:rPr>
                <w:rFonts w:asciiTheme="majorHAnsi" w:hAnsiTheme="majorHAnsi"/>
                <w:sz w:val="18"/>
                <w:szCs w:val="18"/>
              </w:rPr>
            </w:pPr>
            <w:r w:rsidRPr="008E2B54">
              <w:rPr>
                <w:rFonts w:asciiTheme="majorHAnsi" w:eastAsia="Aptos" w:hAnsiTheme="majorHAnsi" w:cs="Arial"/>
                <w:sz w:val="18"/>
                <w:szCs w:val="18"/>
              </w:rPr>
              <w:t>Klucze sprzętowe U2F/FIDO2 wraz z oprogramowaniem</w:t>
            </w:r>
          </w:p>
        </w:tc>
        <w:tc>
          <w:tcPr>
            <w:tcW w:w="5576" w:type="dxa"/>
          </w:tcPr>
          <w:p w14:paraId="4A112806" w14:textId="77777777" w:rsidR="00E315AA" w:rsidRPr="008E2B54" w:rsidRDefault="00000000">
            <w:pPr>
              <w:spacing w:before="120" w:after="120" w:line="240" w:lineRule="auto"/>
              <w:jc w:val="both"/>
              <w:rPr>
                <w:rFonts w:asciiTheme="majorHAnsi" w:hAnsiTheme="majorHAnsi"/>
                <w:sz w:val="18"/>
                <w:szCs w:val="18"/>
              </w:rPr>
            </w:pPr>
            <w:r w:rsidRPr="008E2B54">
              <w:rPr>
                <w:rFonts w:asciiTheme="majorHAnsi" w:eastAsia="Aptos" w:hAnsiTheme="majorHAnsi" w:cs="Arial"/>
                <w:sz w:val="18"/>
                <w:szCs w:val="18"/>
              </w:rPr>
              <w:t xml:space="preserve">Karta katalogowa, dokumentacja techniczna lub dokumentacja producenta kluczy sprzętowych. Parametry niewskazane w dokumentacji mogą zostać potwierdzone oświadczeniem producenta, autoryzowanego przedstawiciela, dystrybutora lub importera. Dopuszcza się dokument lub </w:t>
            </w:r>
            <w:r w:rsidRPr="008E2B54">
              <w:rPr>
                <w:rFonts w:asciiTheme="majorHAnsi" w:eastAsia="Aptos" w:hAnsiTheme="majorHAnsi" w:cs="Arial"/>
                <w:sz w:val="18"/>
                <w:szCs w:val="18"/>
              </w:rPr>
              <w:lastRenderedPageBreak/>
              <w:t xml:space="preserve">wpis w oficjalnym wykazie produktów potwierdzający zgodność z FIDO2, CTAP i U2F, dokumentację obsługi OATH-TOTP, PIV, </w:t>
            </w:r>
            <w:proofErr w:type="spellStart"/>
            <w:r w:rsidRPr="008E2B54">
              <w:rPr>
                <w:rFonts w:asciiTheme="majorHAnsi" w:eastAsia="Aptos" w:hAnsiTheme="majorHAnsi" w:cs="Arial"/>
                <w:sz w:val="18"/>
                <w:szCs w:val="18"/>
              </w:rPr>
              <w:t>OpenPGP</w:t>
            </w:r>
            <w:proofErr w:type="spellEnd"/>
            <w:r w:rsidRPr="008E2B54">
              <w:rPr>
                <w:rFonts w:asciiTheme="majorHAnsi" w:eastAsia="Aptos" w:hAnsiTheme="majorHAnsi" w:cs="Arial"/>
                <w:sz w:val="18"/>
                <w:szCs w:val="18"/>
              </w:rPr>
              <w:t xml:space="preserve"> i NFC oraz opis oprogramowania lub platformy zarządzającej i dokument gwarancyjny.</w:t>
            </w:r>
          </w:p>
        </w:tc>
      </w:tr>
      <w:tr w:rsidR="00E315AA" w:rsidRPr="008E2B54" w14:paraId="7799E7F9" w14:textId="77777777" w:rsidTr="00EB32BE">
        <w:tc>
          <w:tcPr>
            <w:tcW w:w="417" w:type="dxa"/>
            <w:shd w:val="clear" w:color="auto" w:fill="DAE9F7" w:themeFill="text2" w:themeFillTint="1A"/>
            <w:vAlign w:val="center"/>
          </w:tcPr>
          <w:p w14:paraId="39F18D26" w14:textId="77777777" w:rsidR="00E315AA" w:rsidRPr="008E2B54" w:rsidRDefault="00000000">
            <w:pPr>
              <w:spacing w:after="0" w:line="240" w:lineRule="auto"/>
              <w:rPr>
                <w:rFonts w:asciiTheme="majorHAnsi" w:hAnsiTheme="majorHAnsi"/>
                <w:b/>
                <w:bCs/>
                <w:sz w:val="18"/>
                <w:szCs w:val="18"/>
              </w:rPr>
            </w:pPr>
            <w:r w:rsidRPr="008E2B54">
              <w:rPr>
                <w:rFonts w:asciiTheme="majorHAnsi" w:eastAsia="Aptos" w:hAnsiTheme="majorHAnsi" w:cs="Arial"/>
                <w:b/>
                <w:bCs/>
                <w:sz w:val="18"/>
                <w:szCs w:val="18"/>
              </w:rPr>
              <w:lastRenderedPageBreak/>
              <w:t>13</w:t>
            </w:r>
          </w:p>
        </w:tc>
        <w:tc>
          <w:tcPr>
            <w:tcW w:w="3074" w:type="dxa"/>
          </w:tcPr>
          <w:p w14:paraId="0CBA7CB9" w14:textId="77777777" w:rsidR="00E315AA" w:rsidRPr="008E2B54" w:rsidRDefault="00000000">
            <w:pPr>
              <w:spacing w:before="120" w:after="120" w:line="240" w:lineRule="auto"/>
              <w:jc w:val="both"/>
              <w:rPr>
                <w:rFonts w:asciiTheme="majorHAnsi" w:hAnsiTheme="majorHAnsi"/>
                <w:sz w:val="18"/>
                <w:szCs w:val="18"/>
                <w:lang w:val="en-GB"/>
              </w:rPr>
            </w:pPr>
            <w:r w:rsidRPr="008E2B54">
              <w:rPr>
                <w:rFonts w:asciiTheme="majorHAnsi" w:eastAsia="Aptos" w:hAnsiTheme="majorHAnsi" w:cs="Arial"/>
                <w:sz w:val="18"/>
                <w:szCs w:val="18"/>
                <w:lang w:val="en-GB"/>
              </w:rPr>
              <w:t xml:space="preserve">Access Point Wi-Fi z </w:t>
            </w:r>
            <w:proofErr w:type="spellStart"/>
            <w:r w:rsidRPr="008E2B54">
              <w:rPr>
                <w:rFonts w:asciiTheme="majorHAnsi" w:eastAsia="Aptos" w:hAnsiTheme="majorHAnsi" w:cs="Arial"/>
                <w:sz w:val="18"/>
                <w:szCs w:val="18"/>
                <w:lang w:val="en-GB"/>
              </w:rPr>
              <w:t>obsługą</w:t>
            </w:r>
            <w:proofErr w:type="spellEnd"/>
            <w:r w:rsidRPr="008E2B54">
              <w:rPr>
                <w:rFonts w:asciiTheme="majorHAnsi" w:eastAsia="Aptos" w:hAnsiTheme="majorHAnsi" w:cs="Arial"/>
                <w:sz w:val="18"/>
                <w:szCs w:val="18"/>
                <w:lang w:val="en-GB"/>
              </w:rPr>
              <w:t xml:space="preserve"> 802.1X </w:t>
            </w:r>
            <w:proofErr w:type="spellStart"/>
            <w:r w:rsidRPr="008E2B54">
              <w:rPr>
                <w:rFonts w:asciiTheme="majorHAnsi" w:eastAsia="Aptos" w:hAnsiTheme="majorHAnsi" w:cs="Arial"/>
                <w:sz w:val="18"/>
                <w:szCs w:val="18"/>
                <w:lang w:val="en-GB"/>
              </w:rPr>
              <w:t>i</w:t>
            </w:r>
            <w:proofErr w:type="spellEnd"/>
            <w:r w:rsidRPr="008E2B54">
              <w:rPr>
                <w:rFonts w:asciiTheme="majorHAnsi" w:eastAsia="Aptos" w:hAnsiTheme="majorHAnsi" w:cs="Arial"/>
                <w:sz w:val="18"/>
                <w:szCs w:val="18"/>
                <w:lang w:val="en-GB"/>
              </w:rPr>
              <w:t xml:space="preserve"> WPA3-Enterprise</w:t>
            </w:r>
          </w:p>
        </w:tc>
        <w:tc>
          <w:tcPr>
            <w:tcW w:w="5576" w:type="dxa"/>
          </w:tcPr>
          <w:p w14:paraId="21ACD78B" w14:textId="00499DAE" w:rsidR="00E315AA" w:rsidRPr="008E2B54" w:rsidRDefault="00000000">
            <w:pPr>
              <w:spacing w:before="120" w:after="120" w:line="240" w:lineRule="auto"/>
              <w:jc w:val="both"/>
              <w:rPr>
                <w:rFonts w:asciiTheme="majorHAnsi" w:hAnsiTheme="majorHAnsi"/>
                <w:sz w:val="18"/>
                <w:szCs w:val="18"/>
              </w:rPr>
            </w:pPr>
            <w:r w:rsidRPr="008E2B54">
              <w:rPr>
                <w:rFonts w:asciiTheme="majorHAnsi" w:eastAsia="Aptos" w:hAnsiTheme="majorHAnsi" w:cs="Arial"/>
                <w:sz w:val="18"/>
                <w:szCs w:val="18"/>
              </w:rPr>
              <w:t xml:space="preserve">Karta katalogowa, specyfikacja techniczna lub dokumentacja producenta punktu dostępowego. Parametry niewskazane w dokumentacji mogą zostać potwierdzone oświadczeniem producenta, autoryzowanego przedstawiciela, dystrybutora lub importera. Dopuszcza się dokumentację funkcji Wi-Fi 7, WPA3-Enterprise, 802.1X, RADIUS, </w:t>
            </w:r>
            <w:proofErr w:type="spellStart"/>
            <w:r w:rsidRPr="008E2B54">
              <w:rPr>
                <w:rFonts w:asciiTheme="majorHAnsi" w:eastAsia="Aptos" w:hAnsiTheme="majorHAnsi" w:cs="Arial"/>
                <w:sz w:val="18"/>
                <w:szCs w:val="18"/>
              </w:rPr>
              <w:t>RadSec</w:t>
            </w:r>
            <w:proofErr w:type="spellEnd"/>
            <w:r w:rsidRPr="008E2B54">
              <w:rPr>
                <w:rFonts w:asciiTheme="majorHAnsi" w:eastAsia="Aptos" w:hAnsiTheme="majorHAnsi" w:cs="Arial"/>
                <w:sz w:val="18"/>
                <w:szCs w:val="18"/>
              </w:rPr>
              <w:t xml:space="preserve">, dynamicznego VLAN, </w:t>
            </w:r>
            <w:proofErr w:type="spellStart"/>
            <w:r w:rsidRPr="008E2B54">
              <w:rPr>
                <w:rFonts w:asciiTheme="majorHAnsi" w:eastAsia="Aptos" w:hAnsiTheme="majorHAnsi" w:cs="Arial"/>
                <w:sz w:val="18"/>
                <w:szCs w:val="18"/>
              </w:rPr>
              <w:t>roamingu</w:t>
            </w:r>
            <w:proofErr w:type="spellEnd"/>
            <w:r w:rsidRPr="008E2B54">
              <w:rPr>
                <w:rFonts w:asciiTheme="majorHAnsi" w:eastAsia="Aptos" w:hAnsiTheme="majorHAnsi" w:cs="Arial"/>
                <w:sz w:val="18"/>
                <w:szCs w:val="18"/>
              </w:rPr>
              <w:t>, liczby klientów i parametrów radiowych, deklarację zgodności UE/CE lub dokument równoważny.</w:t>
            </w:r>
          </w:p>
        </w:tc>
      </w:tr>
      <w:tr w:rsidR="00E315AA" w:rsidRPr="008E2B54" w14:paraId="47B7DDD4" w14:textId="77777777" w:rsidTr="00EB32BE">
        <w:tc>
          <w:tcPr>
            <w:tcW w:w="417" w:type="dxa"/>
            <w:shd w:val="clear" w:color="auto" w:fill="DAE9F7" w:themeFill="text2" w:themeFillTint="1A"/>
            <w:vAlign w:val="center"/>
          </w:tcPr>
          <w:p w14:paraId="4E1E336A" w14:textId="77777777" w:rsidR="00E315AA" w:rsidRPr="008E2B54" w:rsidRDefault="00000000">
            <w:pPr>
              <w:spacing w:after="0" w:line="240" w:lineRule="auto"/>
              <w:rPr>
                <w:rFonts w:asciiTheme="majorHAnsi" w:hAnsiTheme="majorHAnsi"/>
                <w:b/>
                <w:bCs/>
                <w:sz w:val="18"/>
                <w:szCs w:val="18"/>
              </w:rPr>
            </w:pPr>
            <w:r w:rsidRPr="008E2B54">
              <w:rPr>
                <w:rFonts w:asciiTheme="majorHAnsi" w:eastAsia="Aptos" w:hAnsiTheme="majorHAnsi" w:cs="Arial"/>
                <w:b/>
                <w:bCs/>
                <w:sz w:val="18"/>
                <w:szCs w:val="18"/>
              </w:rPr>
              <w:t>14</w:t>
            </w:r>
          </w:p>
        </w:tc>
        <w:tc>
          <w:tcPr>
            <w:tcW w:w="3074" w:type="dxa"/>
          </w:tcPr>
          <w:p w14:paraId="745A109E" w14:textId="77777777" w:rsidR="00E315AA" w:rsidRPr="008E2B54" w:rsidRDefault="00000000">
            <w:pPr>
              <w:spacing w:before="120" w:after="120" w:line="240" w:lineRule="auto"/>
              <w:jc w:val="both"/>
              <w:rPr>
                <w:rFonts w:asciiTheme="majorHAnsi" w:hAnsiTheme="majorHAnsi"/>
                <w:sz w:val="18"/>
                <w:szCs w:val="18"/>
              </w:rPr>
            </w:pPr>
            <w:r w:rsidRPr="008E2B54">
              <w:rPr>
                <w:rFonts w:asciiTheme="majorHAnsi" w:eastAsia="Aptos" w:hAnsiTheme="majorHAnsi" w:cs="Arial"/>
                <w:sz w:val="18"/>
                <w:szCs w:val="18"/>
              </w:rPr>
              <w:t>Oprogramowanie do zarządzania uprzywilejowanym dostępem PAM/PIM</w:t>
            </w:r>
          </w:p>
        </w:tc>
        <w:tc>
          <w:tcPr>
            <w:tcW w:w="5576" w:type="dxa"/>
          </w:tcPr>
          <w:p w14:paraId="68B1BA81" w14:textId="77777777" w:rsidR="00E315AA" w:rsidRPr="008E2B54" w:rsidRDefault="00000000">
            <w:pPr>
              <w:spacing w:before="120" w:after="120" w:line="240" w:lineRule="auto"/>
              <w:jc w:val="both"/>
              <w:rPr>
                <w:rFonts w:asciiTheme="majorHAnsi" w:hAnsiTheme="majorHAnsi"/>
                <w:sz w:val="18"/>
                <w:szCs w:val="18"/>
              </w:rPr>
            </w:pPr>
            <w:r w:rsidRPr="008E2B54">
              <w:rPr>
                <w:rFonts w:asciiTheme="majorHAnsi" w:eastAsia="Aptos" w:hAnsiTheme="majorHAnsi" w:cs="Arial"/>
                <w:sz w:val="18"/>
                <w:szCs w:val="18"/>
              </w:rPr>
              <w:t>Karta produktu, dokumentacja funkcjonalna, instrukcja administratora lub inna dokumentacja producenta systemu PAM/PIM. Parametry niewskazane w dokumentacji mogą zostać potwierdzone oświadczeniem producenta, autoryzowanego przedstawiciela, dystrybutora, importera lub partnera producenta. Dopuszcza się dokumentację architektury, modelu licencjonowania, obsługiwanych protokołów, systemów i baz danych oraz funkcji MFA, JIT, rotacji haseł, nagrywania sesji, audytu poleceń, kontroli dostępu i HA.</w:t>
            </w:r>
          </w:p>
        </w:tc>
      </w:tr>
      <w:tr w:rsidR="00E315AA" w:rsidRPr="008E2B54" w14:paraId="0613FAC5" w14:textId="77777777" w:rsidTr="00EB32BE">
        <w:tc>
          <w:tcPr>
            <w:tcW w:w="417" w:type="dxa"/>
            <w:shd w:val="clear" w:color="auto" w:fill="DAE9F7" w:themeFill="text2" w:themeFillTint="1A"/>
            <w:vAlign w:val="center"/>
          </w:tcPr>
          <w:p w14:paraId="33CFEC6B" w14:textId="77777777" w:rsidR="00E315AA" w:rsidRPr="008E2B54" w:rsidRDefault="00000000">
            <w:pPr>
              <w:spacing w:after="0" w:line="240" w:lineRule="auto"/>
              <w:rPr>
                <w:rFonts w:asciiTheme="majorHAnsi" w:hAnsiTheme="majorHAnsi"/>
                <w:b/>
                <w:bCs/>
                <w:sz w:val="18"/>
                <w:szCs w:val="18"/>
              </w:rPr>
            </w:pPr>
            <w:r w:rsidRPr="008E2B54">
              <w:rPr>
                <w:rFonts w:asciiTheme="majorHAnsi" w:eastAsia="Aptos" w:hAnsiTheme="majorHAnsi" w:cs="Arial"/>
                <w:b/>
                <w:bCs/>
                <w:sz w:val="18"/>
                <w:szCs w:val="18"/>
              </w:rPr>
              <w:t>15</w:t>
            </w:r>
          </w:p>
        </w:tc>
        <w:tc>
          <w:tcPr>
            <w:tcW w:w="3074" w:type="dxa"/>
          </w:tcPr>
          <w:p w14:paraId="6E2E0B43" w14:textId="77777777" w:rsidR="00E315AA" w:rsidRPr="008E2B54" w:rsidRDefault="00000000">
            <w:pPr>
              <w:spacing w:before="120" w:after="120" w:line="240" w:lineRule="auto"/>
              <w:jc w:val="both"/>
              <w:rPr>
                <w:rFonts w:asciiTheme="majorHAnsi" w:hAnsiTheme="majorHAnsi"/>
                <w:sz w:val="18"/>
                <w:szCs w:val="18"/>
              </w:rPr>
            </w:pPr>
            <w:r w:rsidRPr="008E2B54">
              <w:rPr>
                <w:rFonts w:asciiTheme="majorHAnsi" w:eastAsia="Aptos" w:hAnsiTheme="majorHAnsi" w:cs="Arial"/>
                <w:sz w:val="18"/>
                <w:szCs w:val="18"/>
              </w:rPr>
              <w:t>Stacja robocza przesiadkowa dla systemów IT/OT/ICS wraz z systemem operacyjnym i monitorami (2 szt.)</w:t>
            </w:r>
          </w:p>
        </w:tc>
        <w:tc>
          <w:tcPr>
            <w:tcW w:w="5576" w:type="dxa"/>
          </w:tcPr>
          <w:p w14:paraId="02EB378F" w14:textId="6E832210" w:rsidR="00E315AA" w:rsidRPr="008E2B54" w:rsidRDefault="00000000">
            <w:pPr>
              <w:spacing w:before="120" w:after="120" w:line="240" w:lineRule="auto"/>
              <w:jc w:val="both"/>
              <w:rPr>
                <w:rFonts w:asciiTheme="majorHAnsi" w:hAnsiTheme="majorHAnsi"/>
                <w:sz w:val="18"/>
                <w:szCs w:val="18"/>
              </w:rPr>
            </w:pPr>
            <w:r w:rsidRPr="008E2B54">
              <w:rPr>
                <w:rFonts w:asciiTheme="majorHAnsi" w:eastAsia="Aptos" w:hAnsiTheme="majorHAnsi" w:cs="Arial"/>
                <w:sz w:val="18"/>
                <w:szCs w:val="18"/>
              </w:rPr>
              <w:t>Karta katalogowa, specyfikacja techniczna lub dokumentacja producenta komputera, monitora i istotnych podzespołów. Parametry niewskazane w dokumentacji mogą zostać potwierdzone oświadczeniem producenta, autoryzowanego przedstawiciela, dystrybutora lub importera. Dopuszcza się wydruk wyniku CPU Mark, dokument licencyjny systemu operacyjnego, deklarację zgodności UE/CE, certyfikaty lub dokumenty równoważne dotyczące jakości, środowiska, efektywności energetycznej i ergonomii oraz dokument potwierdzający warunki gwarancji.</w:t>
            </w:r>
          </w:p>
        </w:tc>
      </w:tr>
      <w:tr w:rsidR="00E315AA" w:rsidRPr="008E2B54" w14:paraId="7A8859A7" w14:textId="77777777" w:rsidTr="00EB32BE">
        <w:tc>
          <w:tcPr>
            <w:tcW w:w="417" w:type="dxa"/>
            <w:shd w:val="clear" w:color="auto" w:fill="DAE9F7" w:themeFill="text2" w:themeFillTint="1A"/>
            <w:vAlign w:val="center"/>
          </w:tcPr>
          <w:p w14:paraId="0EB5E791" w14:textId="77777777" w:rsidR="00E315AA" w:rsidRPr="008E2B54" w:rsidRDefault="00000000">
            <w:pPr>
              <w:spacing w:after="0" w:line="240" w:lineRule="auto"/>
              <w:rPr>
                <w:rFonts w:asciiTheme="majorHAnsi" w:hAnsiTheme="majorHAnsi"/>
                <w:b/>
                <w:bCs/>
                <w:sz w:val="18"/>
                <w:szCs w:val="18"/>
              </w:rPr>
            </w:pPr>
            <w:r w:rsidRPr="008E2B54">
              <w:rPr>
                <w:rFonts w:asciiTheme="majorHAnsi" w:eastAsia="Aptos" w:hAnsiTheme="majorHAnsi" w:cs="Arial"/>
                <w:b/>
                <w:bCs/>
                <w:sz w:val="18"/>
                <w:szCs w:val="18"/>
              </w:rPr>
              <w:t>16</w:t>
            </w:r>
          </w:p>
        </w:tc>
        <w:tc>
          <w:tcPr>
            <w:tcW w:w="3074" w:type="dxa"/>
          </w:tcPr>
          <w:p w14:paraId="1CC33BCE" w14:textId="77777777" w:rsidR="00E315AA" w:rsidRPr="008E2B54" w:rsidRDefault="00000000">
            <w:pPr>
              <w:spacing w:before="120" w:after="120" w:line="240" w:lineRule="auto"/>
              <w:jc w:val="both"/>
              <w:rPr>
                <w:rFonts w:asciiTheme="majorHAnsi" w:hAnsiTheme="majorHAnsi"/>
                <w:sz w:val="18"/>
                <w:szCs w:val="18"/>
              </w:rPr>
            </w:pPr>
            <w:r w:rsidRPr="008E2B54">
              <w:rPr>
                <w:rFonts w:asciiTheme="majorHAnsi" w:eastAsia="Aptos" w:hAnsiTheme="majorHAnsi" w:cs="Arial"/>
                <w:sz w:val="18"/>
                <w:szCs w:val="18"/>
              </w:rPr>
              <w:t>Przemysłowe rozwiązanie klasy UTM/Firewall z IPS i DPI dla OT/ICS/IIoT</w:t>
            </w:r>
          </w:p>
        </w:tc>
        <w:tc>
          <w:tcPr>
            <w:tcW w:w="5576" w:type="dxa"/>
          </w:tcPr>
          <w:p w14:paraId="21E84FF6" w14:textId="77777777" w:rsidR="00E315AA" w:rsidRPr="008E2B54" w:rsidRDefault="00000000">
            <w:pPr>
              <w:spacing w:before="120" w:after="120" w:line="240" w:lineRule="auto"/>
              <w:jc w:val="both"/>
              <w:rPr>
                <w:rFonts w:asciiTheme="majorHAnsi" w:hAnsiTheme="majorHAnsi"/>
                <w:sz w:val="18"/>
                <w:szCs w:val="18"/>
              </w:rPr>
            </w:pPr>
            <w:r w:rsidRPr="008E2B54">
              <w:rPr>
                <w:rFonts w:asciiTheme="majorHAnsi" w:eastAsia="Aptos" w:hAnsiTheme="majorHAnsi" w:cs="Arial"/>
                <w:sz w:val="18"/>
                <w:szCs w:val="18"/>
              </w:rPr>
              <w:t xml:space="preserve">Karta katalogowa, specyfikacja techniczna lub dokumentacja producenta przemysłowego urządzenia UTM/Firewall. Parametry niewskazane w dokumentacji mogą zostać potwierdzone oświadczeniem producenta, autoryzowanego przedstawiciela, dystrybutora lub importera. Dopuszcza się dokumentację parametrów środowiskowych, bypassu sprzętowego, wydajności, IPS, DPI i obsługiwanych protokołów przemysłowych, certyfikat </w:t>
            </w:r>
            <w:proofErr w:type="spellStart"/>
            <w:r w:rsidRPr="008E2B54">
              <w:rPr>
                <w:rFonts w:asciiTheme="majorHAnsi" w:eastAsia="Aptos" w:hAnsiTheme="majorHAnsi" w:cs="Arial"/>
                <w:sz w:val="18"/>
                <w:szCs w:val="18"/>
              </w:rPr>
              <w:t>Common</w:t>
            </w:r>
            <w:proofErr w:type="spellEnd"/>
            <w:r w:rsidRPr="008E2B54">
              <w:rPr>
                <w:rFonts w:asciiTheme="majorHAnsi" w:eastAsia="Aptos" w:hAnsiTheme="majorHAnsi" w:cs="Arial"/>
                <w:sz w:val="18"/>
                <w:szCs w:val="18"/>
              </w:rPr>
              <w:t xml:space="preserve"> </w:t>
            </w:r>
            <w:proofErr w:type="spellStart"/>
            <w:r w:rsidRPr="008E2B54">
              <w:rPr>
                <w:rFonts w:asciiTheme="majorHAnsi" w:eastAsia="Aptos" w:hAnsiTheme="majorHAnsi" w:cs="Arial"/>
                <w:sz w:val="18"/>
                <w:szCs w:val="18"/>
              </w:rPr>
              <w:t>Criteria</w:t>
            </w:r>
            <w:proofErr w:type="spellEnd"/>
            <w:r w:rsidRPr="008E2B54">
              <w:rPr>
                <w:rFonts w:asciiTheme="majorHAnsi" w:eastAsia="Aptos" w:hAnsiTheme="majorHAnsi" w:cs="Arial"/>
                <w:sz w:val="18"/>
                <w:szCs w:val="18"/>
              </w:rPr>
              <w:t xml:space="preserve">, certyfikat ICSA </w:t>
            </w:r>
            <w:proofErr w:type="spellStart"/>
            <w:r w:rsidRPr="008E2B54">
              <w:rPr>
                <w:rFonts w:asciiTheme="majorHAnsi" w:eastAsia="Aptos" w:hAnsiTheme="majorHAnsi" w:cs="Arial"/>
                <w:sz w:val="18"/>
                <w:szCs w:val="18"/>
              </w:rPr>
              <w:t>Labs</w:t>
            </w:r>
            <w:proofErr w:type="spellEnd"/>
            <w:r w:rsidRPr="008E2B54">
              <w:rPr>
                <w:rFonts w:asciiTheme="majorHAnsi" w:eastAsia="Aptos" w:hAnsiTheme="majorHAnsi" w:cs="Arial"/>
                <w:sz w:val="18"/>
                <w:szCs w:val="18"/>
              </w:rPr>
              <w:t xml:space="preserve"> lub dokument równoważny oraz dokument potwierdzający autoryzowany kanał sprzedaży, licencje, gwarancję i wsparcie.</w:t>
            </w:r>
          </w:p>
        </w:tc>
      </w:tr>
      <w:tr w:rsidR="00E315AA" w:rsidRPr="008E2B54" w14:paraId="3E1E1BA0" w14:textId="77777777" w:rsidTr="00EB32BE">
        <w:tc>
          <w:tcPr>
            <w:tcW w:w="417" w:type="dxa"/>
            <w:shd w:val="clear" w:color="auto" w:fill="DAE9F7" w:themeFill="text2" w:themeFillTint="1A"/>
            <w:vAlign w:val="center"/>
          </w:tcPr>
          <w:p w14:paraId="111B77A1" w14:textId="77777777" w:rsidR="00E315AA" w:rsidRPr="008E2B54" w:rsidRDefault="00000000">
            <w:pPr>
              <w:spacing w:after="0" w:line="240" w:lineRule="auto"/>
              <w:rPr>
                <w:rFonts w:asciiTheme="majorHAnsi" w:hAnsiTheme="majorHAnsi"/>
                <w:b/>
                <w:bCs/>
                <w:sz w:val="18"/>
                <w:szCs w:val="18"/>
              </w:rPr>
            </w:pPr>
            <w:r w:rsidRPr="008E2B54">
              <w:rPr>
                <w:rFonts w:asciiTheme="majorHAnsi" w:eastAsia="Aptos" w:hAnsiTheme="majorHAnsi" w:cs="Arial"/>
                <w:b/>
                <w:bCs/>
                <w:sz w:val="18"/>
                <w:szCs w:val="18"/>
              </w:rPr>
              <w:t>17</w:t>
            </w:r>
          </w:p>
        </w:tc>
        <w:tc>
          <w:tcPr>
            <w:tcW w:w="3074" w:type="dxa"/>
          </w:tcPr>
          <w:p w14:paraId="035DF30F" w14:textId="77777777" w:rsidR="00E315AA" w:rsidRPr="008E2B54" w:rsidRDefault="00000000">
            <w:pPr>
              <w:spacing w:before="120" w:after="120" w:line="240" w:lineRule="auto"/>
              <w:jc w:val="both"/>
              <w:rPr>
                <w:rFonts w:asciiTheme="majorHAnsi" w:hAnsiTheme="majorHAnsi"/>
                <w:sz w:val="18"/>
                <w:szCs w:val="18"/>
              </w:rPr>
            </w:pPr>
            <w:r w:rsidRPr="008E2B54">
              <w:rPr>
                <w:rFonts w:asciiTheme="majorHAnsi" w:eastAsia="Aptos" w:hAnsiTheme="majorHAnsi" w:cs="Arial"/>
                <w:sz w:val="18"/>
                <w:szCs w:val="18"/>
              </w:rPr>
              <w:t>Szafa RACK dla rozwiązań IT/OT/ICS</w:t>
            </w:r>
          </w:p>
        </w:tc>
        <w:tc>
          <w:tcPr>
            <w:tcW w:w="5576" w:type="dxa"/>
          </w:tcPr>
          <w:p w14:paraId="1D78FBA2" w14:textId="77777777" w:rsidR="00E315AA" w:rsidRPr="008E2B54" w:rsidRDefault="00000000">
            <w:pPr>
              <w:spacing w:before="120" w:after="120" w:line="240" w:lineRule="auto"/>
              <w:jc w:val="both"/>
              <w:rPr>
                <w:rFonts w:asciiTheme="majorHAnsi" w:hAnsiTheme="majorHAnsi"/>
                <w:sz w:val="18"/>
                <w:szCs w:val="18"/>
              </w:rPr>
            </w:pPr>
            <w:r w:rsidRPr="008E2B54">
              <w:rPr>
                <w:rFonts w:asciiTheme="majorHAnsi" w:eastAsia="Aptos" w:hAnsiTheme="majorHAnsi" w:cs="Arial"/>
                <w:sz w:val="18"/>
                <w:szCs w:val="18"/>
              </w:rPr>
              <w:t xml:space="preserve">Karta katalogowa, rysunek techniczny, specyfikacja producenta lub inna dokumentacja techniczna szafy i listwy PDU. Parametry niewskazane w dokumentacji mogą zostać potwierdzone oświadczeniem producenta, autoryzowanego przedstawiciela, dystrybutora lub importera. Dopuszcza się deklarację zgodności UE/CE, deklarację </w:t>
            </w:r>
            <w:proofErr w:type="spellStart"/>
            <w:r w:rsidRPr="008E2B54">
              <w:rPr>
                <w:rFonts w:asciiTheme="majorHAnsi" w:eastAsia="Aptos" w:hAnsiTheme="majorHAnsi" w:cs="Arial"/>
                <w:sz w:val="18"/>
                <w:szCs w:val="18"/>
              </w:rPr>
              <w:t>RoHS</w:t>
            </w:r>
            <w:proofErr w:type="spellEnd"/>
            <w:r w:rsidRPr="008E2B54">
              <w:rPr>
                <w:rFonts w:asciiTheme="majorHAnsi" w:eastAsia="Aptos" w:hAnsiTheme="majorHAnsi" w:cs="Arial"/>
                <w:sz w:val="18"/>
                <w:szCs w:val="18"/>
              </w:rPr>
              <w:t xml:space="preserve"> lub dokumenty równoważne oraz dokument potwierdzający okres gwarancji.</w:t>
            </w:r>
          </w:p>
        </w:tc>
      </w:tr>
      <w:tr w:rsidR="00E315AA" w:rsidRPr="008E2B54" w14:paraId="47E4EA3C" w14:textId="77777777" w:rsidTr="00EB32BE">
        <w:tc>
          <w:tcPr>
            <w:tcW w:w="417" w:type="dxa"/>
            <w:shd w:val="clear" w:color="auto" w:fill="DAE9F7" w:themeFill="text2" w:themeFillTint="1A"/>
            <w:vAlign w:val="center"/>
          </w:tcPr>
          <w:p w14:paraId="526D80A2" w14:textId="77777777" w:rsidR="00E315AA" w:rsidRPr="008E2B54" w:rsidRDefault="00000000">
            <w:pPr>
              <w:spacing w:after="0" w:line="240" w:lineRule="auto"/>
              <w:rPr>
                <w:rFonts w:asciiTheme="majorHAnsi" w:hAnsiTheme="majorHAnsi"/>
                <w:b/>
                <w:bCs/>
                <w:sz w:val="18"/>
                <w:szCs w:val="18"/>
              </w:rPr>
            </w:pPr>
            <w:r w:rsidRPr="008E2B54">
              <w:rPr>
                <w:rFonts w:asciiTheme="majorHAnsi" w:eastAsia="Aptos" w:hAnsiTheme="majorHAnsi" w:cs="Arial"/>
                <w:b/>
                <w:bCs/>
                <w:sz w:val="18"/>
                <w:szCs w:val="18"/>
              </w:rPr>
              <w:t>18</w:t>
            </w:r>
          </w:p>
        </w:tc>
        <w:tc>
          <w:tcPr>
            <w:tcW w:w="3074" w:type="dxa"/>
          </w:tcPr>
          <w:p w14:paraId="45C610D5" w14:textId="77777777" w:rsidR="00E315AA" w:rsidRPr="008E2B54" w:rsidRDefault="00000000">
            <w:pPr>
              <w:spacing w:before="120" w:after="120" w:line="240" w:lineRule="auto"/>
              <w:jc w:val="both"/>
              <w:rPr>
                <w:rFonts w:asciiTheme="majorHAnsi" w:hAnsiTheme="majorHAnsi"/>
                <w:sz w:val="18"/>
                <w:szCs w:val="18"/>
              </w:rPr>
            </w:pPr>
            <w:r w:rsidRPr="008E2B54">
              <w:rPr>
                <w:rFonts w:asciiTheme="majorHAnsi" w:eastAsia="Aptos" w:hAnsiTheme="majorHAnsi" w:cs="Arial"/>
                <w:sz w:val="18"/>
                <w:szCs w:val="18"/>
              </w:rPr>
              <w:t>Urządzenia UPS dla produktów i rozwiązań z zakresu cyberbezpieczeństwa</w:t>
            </w:r>
          </w:p>
        </w:tc>
        <w:tc>
          <w:tcPr>
            <w:tcW w:w="5576" w:type="dxa"/>
          </w:tcPr>
          <w:p w14:paraId="0B8F08B3" w14:textId="77777777" w:rsidR="00E315AA" w:rsidRPr="008E2B54" w:rsidRDefault="00000000">
            <w:pPr>
              <w:spacing w:before="120" w:after="120" w:line="240" w:lineRule="auto"/>
              <w:jc w:val="both"/>
              <w:rPr>
                <w:rFonts w:asciiTheme="majorHAnsi" w:hAnsiTheme="majorHAnsi"/>
                <w:sz w:val="18"/>
                <w:szCs w:val="18"/>
              </w:rPr>
            </w:pPr>
            <w:r w:rsidRPr="008E2B54">
              <w:rPr>
                <w:rFonts w:asciiTheme="majorHAnsi" w:eastAsia="Aptos" w:hAnsiTheme="majorHAnsi" w:cs="Arial"/>
                <w:sz w:val="18"/>
                <w:szCs w:val="18"/>
              </w:rPr>
              <w:t>Karta katalogowa, specyfikacja techniczna lub dokumentacja producenta UPS. Parametry niewskazane w dokumentacji mogą zostać potwierdzone oświadczeniem producenta, autoryzowanego przedstawiciela, dystrybutora, importera albo autoryzowanego serwisu. Dopuszcza się tabelę lub wykres czasów podtrzymania, deklarację zgodności UE/CE, certyfikat ISO 9001 albo dokument równoważny, dokumentację komunikacji USB/SNMP, oświadczenie dotyczące oprogramowania monitorującego oraz dokument potwierdzający gwarancję i serwis.</w:t>
            </w:r>
          </w:p>
        </w:tc>
      </w:tr>
    </w:tbl>
    <w:p w14:paraId="6A05A809" w14:textId="77777777" w:rsidR="00E315AA" w:rsidRDefault="00E315AA"/>
    <w:p w14:paraId="26F3E396" w14:textId="77777777" w:rsidR="008E2B54" w:rsidRDefault="008E2B54">
      <w:pPr>
        <w:pStyle w:val="Akapitzlist"/>
        <w:ind w:left="567"/>
        <w:jc w:val="both"/>
        <w:rPr>
          <w:b/>
          <w:bCs/>
        </w:rPr>
      </w:pPr>
    </w:p>
    <w:p w14:paraId="3683ED2A" w14:textId="77777777" w:rsidR="008E2B54" w:rsidRDefault="008E2B54">
      <w:pPr>
        <w:pStyle w:val="Akapitzlist"/>
        <w:ind w:left="567"/>
        <w:jc w:val="both"/>
        <w:rPr>
          <w:b/>
          <w:bCs/>
        </w:rPr>
      </w:pPr>
    </w:p>
    <w:p w14:paraId="107573D9" w14:textId="756ECB8E" w:rsidR="00E315AA" w:rsidRDefault="00000000">
      <w:pPr>
        <w:pStyle w:val="Akapitzlist"/>
        <w:ind w:left="567"/>
        <w:jc w:val="both"/>
        <w:rPr>
          <w:b/>
          <w:bCs/>
        </w:rPr>
      </w:pPr>
      <w:r>
        <w:rPr>
          <w:b/>
          <w:bCs/>
        </w:rPr>
        <w:lastRenderedPageBreak/>
        <w:t xml:space="preserve">INFORMACJE DODATKOWE: </w:t>
      </w:r>
    </w:p>
    <w:p w14:paraId="5A39BBE3" w14:textId="77777777" w:rsidR="00E315AA" w:rsidRDefault="00E315AA">
      <w:pPr>
        <w:pStyle w:val="Akapitzlist"/>
        <w:ind w:left="567"/>
        <w:jc w:val="both"/>
      </w:pPr>
    </w:p>
    <w:p w14:paraId="26B79F1E" w14:textId="384B630C" w:rsidR="00E315AA" w:rsidRPr="008E2B54" w:rsidRDefault="00000000">
      <w:pPr>
        <w:pStyle w:val="Akapitzlist"/>
        <w:numPr>
          <w:ilvl w:val="0"/>
          <w:numId w:val="1"/>
        </w:numPr>
        <w:ind w:left="567"/>
        <w:jc w:val="both"/>
        <w:rPr>
          <w:sz w:val="20"/>
          <w:szCs w:val="22"/>
        </w:rPr>
      </w:pPr>
      <w:r w:rsidRPr="008E2B54">
        <w:rPr>
          <w:sz w:val="20"/>
          <w:szCs w:val="22"/>
        </w:rPr>
        <w:t xml:space="preserve">Zamawiający nie wymaga, aby wszystkie parametry były potwierdzone w jednym dokumencie </w:t>
      </w:r>
      <w:r w:rsidR="008E2B54">
        <w:rPr>
          <w:sz w:val="20"/>
          <w:szCs w:val="22"/>
        </w:rPr>
        <w:br/>
      </w:r>
      <w:r w:rsidRPr="008E2B54">
        <w:rPr>
          <w:sz w:val="20"/>
          <w:szCs w:val="22"/>
        </w:rPr>
        <w:t>ani wyłącznie w publicznej karcie katalogowej producenta. Dopuszcza się złożenie kilku dokumentów, które oceniane łącznie potwierdzają spełnienie wymagania.</w:t>
      </w:r>
    </w:p>
    <w:p w14:paraId="4306B4FA" w14:textId="77777777" w:rsidR="00E315AA" w:rsidRPr="008E2B54" w:rsidRDefault="00000000">
      <w:pPr>
        <w:pStyle w:val="Akapitzlist"/>
        <w:numPr>
          <w:ilvl w:val="0"/>
          <w:numId w:val="1"/>
        </w:numPr>
        <w:ind w:left="567"/>
        <w:jc w:val="both"/>
        <w:rPr>
          <w:sz w:val="20"/>
          <w:szCs w:val="22"/>
        </w:rPr>
      </w:pPr>
      <w:r w:rsidRPr="008E2B54">
        <w:rPr>
          <w:sz w:val="20"/>
          <w:szCs w:val="22"/>
        </w:rPr>
        <w:t>Jeżeli określony parametr nie jest prezentowany w ogólnodostępnej dokumentacji producenta, może zostać potwierdzony oświadczeniem producenta, jego autoryzowanego przedstawiciela, dystrybutora, importera, integratora albo innym równoważnym dokumentem.</w:t>
      </w:r>
    </w:p>
    <w:p w14:paraId="454F5665" w14:textId="77777777" w:rsidR="00E315AA" w:rsidRPr="008E2B54" w:rsidRDefault="00000000">
      <w:pPr>
        <w:pStyle w:val="Akapitzlist"/>
        <w:numPr>
          <w:ilvl w:val="0"/>
          <w:numId w:val="1"/>
        </w:numPr>
        <w:ind w:left="567"/>
        <w:jc w:val="both"/>
        <w:rPr>
          <w:sz w:val="20"/>
          <w:szCs w:val="22"/>
        </w:rPr>
      </w:pPr>
      <w:r w:rsidRPr="008E2B54">
        <w:rPr>
          <w:sz w:val="20"/>
          <w:szCs w:val="22"/>
        </w:rPr>
        <w:t>Dokumenty muszą umożliwiać identyfikację oferowanego produktu, w szczególności jego producenta, nazwy, modelu, wersji, edycji lub konfiguracji, o ile informacje te mają zastosowanie do oferowanego przedmiotu zamówienia.</w:t>
      </w:r>
    </w:p>
    <w:sectPr w:rsidR="00E315AA" w:rsidRPr="008E2B54">
      <w:headerReference w:type="default" r:id="rId7"/>
      <w:footerReference w:type="default" r:id="rId8"/>
      <w:pgSz w:w="11906" w:h="16838"/>
      <w:pgMar w:top="1843" w:right="1417" w:bottom="1417" w:left="1417" w:header="708"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55487C" w14:textId="77777777" w:rsidR="00781CE3" w:rsidRDefault="00781CE3">
      <w:pPr>
        <w:spacing w:after="0" w:line="240" w:lineRule="auto"/>
      </w:pPr>
      <w:r>
        <w:separator/>
      </w:r>
    </w:p>
  </w:endnote>
  <w:endnote w:type="continuationSeparator" w:id="0">
    <w:p w14:paraId="15F9BDF8" w14:textId="77777777" w:rsidR="00781CE3" w:rsidRDefault="00781C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4242299"/>
      <w:docPartObj>
        <w:docPartGallery w:val="Page Numbers (Bottom of Page)"/>
        <w:docPartUnique/>
      </w:docPartObj>
    </w:sdtPr>
    <w:sdtContent>
      <w:p w14:paraId="56271F18" w14:textId="39D000EF" w:rsidR="00B17B05" w:rsidRDefault="00B17B05">
        <w:pPr>
          <w:pStyle w:val="Stopka"/>
        </w:pPr>
        <w:r>
          <w:rPr>
            <w:noProof/>
          </w:rPr>
          <w:drawing>
            <wp:anchor distT="0" distB="0" distL="114300" distR="114300" simplePos="0" relativeHeight="251659264" behindDoc="1" locked="0" layoutInCell="1" allowOverlap="1" wp14:anchorId="3A8414EF" wp14:editId="462612DA">
              <wp:simplePos x="0" y="0"/>
              <wp:positionH relativeFrom="column">
                <wp:posOffset>-161158</wp:posOffset>
              </wp:positionH>
              <wp:positionV relativeFrom="paragraph">
                <wp:posOffset>-44009</wp:posOffset>
              </wp:positionV>
              <wp:extent cx="6146529" cy="711169"/>
              <wp:effectExtent l="0" t="0" r="0" b="0"/>
              <wp:wrapNone/>
              <wp:docPr id="187255352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128886" name="Picture 437128886"/>
                      <pic:cNvPicPr/>
                    </pic:nvPicPr>
                    <pic:blipFill>
                      <a:blip r:embed="rId1">
                        <a:extLst>
                          <a:ext uri="{28A0092B-C50C-407E-A947-70E740481C1C}">
                            <a14:useLocalDpi xmlns:a14="http://schemas.microsoft.com/office/drawing/2010/main"/>
                          </a:ext>
                        </a:extLst>
                      </a:blip>
                      <a:stretch>
                        <a:fillRect/>
                      </a:stretch>
                    </pic:blipFill>
                    <pic:spPr>
                      <a:xfrm>
                        <a:off x="0" y="0"/>
                        <a:ext cx="6146529" cy="711169"/>
                      </a:xfrm>
                      <a:prstGeom prst="rect">
                        <a:avLst/>
                      </a:prstGeom>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r>
          <w:t xml:space="preserve"> </w:t>
        </w:r>
      </w:p>
    </w:sdtContent>
  </w:sdt>
  <w:p w14:paraId="5AE4A057" w14:textId="7F534D78" w:rsidR="00E315AA" w:rsidRDefault="00E315A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C73544" w14:textId="77777777" w:rsidR="00781CE3" w:rsidRDefault="00781CE3">
      <w:pPr>
        <w:spacing w:after="0" w:line="240" w:lineRule="auto"/>
      </w:pPr>
      <w:r>
        <w:separator/>
      </w:r>
    </w:p>
  </w:footnote>
  <w:footnote w:type="continuationSeparator" w:id="0">
    <w:p w14:paraId="1F0713D7" w14:textId="77777777" w:rsidR="00781CE3" w:rsidRDefault="00781C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62426" w14:textId="77777777" w:rsidR="00E315AA" w:rsidRDefault="00000000">
    <w:pPr>
      <w:pStyle w:val="Nagwek"/>
    </w:pPr>
    <w:r>
      <w:rPr>
        <w:noProof/>
      </w:rPr>
      <w:drawing>
        <wp:anchor distT="0" distB="0" distL="0" distR="0" simplePos="0" relativeHeight="5" behindDoc="1" locked="0" layoutInCell="0" allowOverlap="1" wp14:anchorId="17D75853" wp14:editId="07777777">
          <wp:simplePos x="0" y="0"/>
          <wp:positionH relativeFrom="column">
            <wp:posOffset>79375</wp:posOffset>
          </wp:positionH>
          <wp:positionV relativeFrom="paragraph">
            <wp:posOffset>-84455</wp:posOffset>
          </wp:positionV>
          <wp:extent cx="4507865" cy="571500"/>
          <wp:effectExtent l="0" t="0" r="0"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a:picLocks noChangeAspect="1" noChangeArrowheads="1"/>
                  </pic:cNvPicPr>
                </pic:nvPicPr>
                <pic:blipFill>
                  <a:blip r:embed="rId1"/>
                  <a:stretch>
                    <a:fillRect/>
                  </a:stretch>
                </pic:blipFill>
                <pic:spPr bwMode="auto">
                  <a:xfrm>
                    <a:off x="0" y="0"/>
                    <a:ext cx="4507865" cy="571500"/>
                  </a:xfrm>
                  <a:prstGeom prst="rect">
                    <a:avLst/>
                  </a:prstGeom>
                </pic:spPr>
              </pic:pic>
            </a:graphicData>
          </a:graphic>
        </wp:anchor>
      </w:drawing>
    </w:r>
    <w:r>
      <w:rPr>
        <w:noProof/>
      </w:rPr>
      <w:drawing>
        <wp:anchor distT="0" distB="0" distL="0" distR="0" simplePos="0" relativeHeight="9" behindDoc="1" locked="0" layoutInCell="0" allowOverlap="1" wp14:anchorId="5E0B0170" wp14:editId="07777777">
          <wp:simplePos x="0" y="0"/>
          <wp:positionH relativeFrom="column">
            <wp:posOffset>4699000</wp:posOffset>
          </wp:positionH>
          <wp:positionV relativeFrom="paragraph">
            <wp:posOffset>19050</wp:posOffset>
          </wp:positionV>
          <wp:extent cx="779780" cy="473710"/>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pic:cNvPicPr>
                    <a:picLocks noChangeAspect="1" noChangeArrowheads="1"/>
                  </pic:cNvPicPr>
                </pic:nvPicPr>
                <pic:blipFill>
                  <a:blip r:embed="rId2"/>
                  <a:stretch>
                    <a:fillRect/>
                  </a:stretch>
                </pic:blipFill>
                <pic:spPr bwMode="auto">
                  <a:xfrm>
                    <a:off x="0" y="0"/>
                    <a:ext cx="779780" cy="47371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E07705"/>
    <w:multiLevelType w:val="multilevel"/>
    <w:tmpl w:val="A732DCB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57551F12"/>
    <w:multiLevelType w:val="multilevel"/>
    <w:tmpl w:val="3464428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901329045">
    <w:abstractNumId w:val="1"/>
  </w:num>
  <w:num w:numId="2" w16cid:durableId="13940859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533E2019"/>
    <w:rsid w:val="0002703E"/>
    <w:rsid w:val="000D7E0B"/>
    <w:rsid w:val="00116B2F"/>
    <w:rsid w:val="00140D8A"/>
    <w:rsid w:val="001A489A"/>
    <w:rsid w:val="00595D47"/>
    <w:rsid w:val="00701E6B"/>
    <w:rsid w:val="00781CE3"/>
    <w:rsid w:val="007A4CCA"/>
    <w:rsid w:val="00832F5C"/>
    <w:rsid w:val="008E2B54"/>
    <w:rsid w:val="00AA6EE5"/>
    <w:rsid w:val="00B17B05"/>
    <w:rsid w:val="00B3655A"/>
    <w:rsid w:val="00D45492"/>
    <w:rsid w:val="00D472D8"/>
    <w:rsid w:val="00DA29BF"/>
    <w:rsid w:val="00E315AA"/>
    <w:rsid w:val="00EB32BE"/>
    <w:rsid w:val="00FE33A4"/>
    <w:rsid w:val="533E201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6BC643"/>
  <w15:docId w15:val="{E7C1552A-C17F-4052-9436-FF104B601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17FFE"/>
    <w:pPr>
      <w:spacing w:after="160" w:line="276" w:lineRule="auto"/>
    </w:pPr>
    <w:rPr>
      <w:sz w:val="22"/>
    </w:rPr>
  </w:style>
  <w:style w:type="paragraph" w:styleId="Nagwek1">
    <w:name w:val="heading 1"/>
    <w:basedOn w:val="Normalny"/>
    <w:next w:val="Normalny"/>
    <w:link w:val="Nagwek1Znak"/>
    <w:uiPriority w:val="9"/>
    <w:qFormat/>
    <w:rsid w:val="00217FF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217FF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217FFE"/>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217FFE"/>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217FFE"/>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217FFE"/>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217FFE"/>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217FFE"/>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217FFE"/>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qFormat/>
    <w:rsid w:val="00217FFE"/>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qFormat/>
    <w:rsid w:val="00217FFE"/>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qFormat/>
    <w:rsid w:val="00217FFE"/>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qFormat/>
    <w:rsid w:val="00217FFE"/>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qFormat/>
    <w:rsid w:val="00217FFE"/>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qFormat/>
    <w:rsid w:val="00217FFE"/>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qFormat/>
    <w:rsid w:val="00217FFE"/>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qFormat/>
    <w:rsid w:val="00217FFE"/>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qFormat/>
    <w:rsid w:val="00217FFE"/>
    <w:rPr>
      <w:rFonts w:eastAsiaTheme="majorEastAsia" w:cstheme="majorBidi"/>
      <w:color w:val="272727" w:themeColor="text1" w:themeTint="D8"/>
    </w:rPr>
  </w:style>
  <w:style w:type="character" w:customStyle="1" w:styleId="TytuZnak">
    <w:name w:val="Tytuł Znak"/>
    <w:basedOn w:val="Domylnaczcionkaakapitu"/>
    <w:link w:val="Tytu"/>
    <w:uiPriority w:val="10"/>
    <w:qFormat/>
    <w:rsid w:val="00217FFE"/>
    <w:rPr>
      <w:rFonts w:asciiTheme="majorHAnsi" w:eastAsiaTheme="majorEastAsia" w:hAnsiTheme="majorHAnsi" w:cstheme="majorBidi"/>
      <w:spacing w:val="-10"/>
      <w:kern w:val="2"/>
      <w:sz w:val="56"/>
      <w:szCs w:val="56"/>
    </w:rPr>
  </w:style>
  <w:style w:type="character" w:customStyle="1" w:styleId="PodtytuZnak">
    <w:name w:val="Podtytuł Znak"/>
    <w:basedOn w:val="Domylnaczcionkaakapitu"/>
    <w:link w:val="Podtytu"/>
    <w:uiPriority w:val="11"/>
    <w:qFormat/>
    <w:rsid w:val="00217FFE"/>
    <w:rPr>
      <w:rFonts w:eastAsiaTheme="majorEastAsia" w:cstheme="majorBidi"/>
      <w:color w:val="595959" w:themeColor="text1" w:themeTint="A6"/>
      <w:spacing w:val="15"/>
      <w:sz w:val="28"/>
      <w:szCs w:val="28"/>
    </w:rPr>
  </w:style>
  <w:style w:type="character" w:customStyle="1" w:styleId="CytatZnak">
    <w:name w:val="Cytat Znak"/>
    <w:basedOn w:val="Domylnaczcionkaakapitu"/>
    <w:link w:val="Cytat"/>
    <w:uiPriority w:val="29"/>
    <w:qFormat/>
    <w:rsid w:val="00217FFE"/>
    <w:rPr>
      <w:i/>
      <w:iCs/>
      <w:color w:val="404040" w:themeColor="text1" w:themeTint="BF"/>
    </w:rPr>
  </w:style>
  <w:style w:type="character" w:styleId="Wyrnienieintensywne">
    <w:name w:val="Intense Emphasis"/>
    <w:basedOn w:val="Domylnaczcionkaakapitu"/>
    <w:uiPriority w:val="21"/>
    <w:qFormat/>
    <w:rsid w:val="00217FFE"/>
    <w:rPr>
      <w:i/>
      <w:iCs/>
      <w:color w:val="0F4761" w:themeColor="accent1" w:themeShade="BF"/>
    </w:rPr>
  </w:style>
  <w:style w:type="character" w:customStyle="1" w:styleId="CytatintensywnyZnak">
    <w:name w:val="Cytat intensywny Znak"/>
    <w:basedOn w:val="Domylnaczcionkaakapitu"/>
    <w:link w:val="Cytatintensywny"/>
    <w:uiPriority w:val="30"/>
    <w:qFormat/>
    <w:rsid w:val="00217FFE"/>
    <w:rPr>
      <w:i/>
      <w:iCs/>
      <w:color w:val="0F4761" w:themeColor="accent1" w:themeShade="BF"/>
    </w:rPr>
  </w:style>
  <w:style w:type="character" w:styleId="Odwoanieintensywne">
    <w:name w:val="Intense Reference"/>
    <w:basedOn w:val="Domylnaczcionkaakapitu"/>
    <w:uiPriority w:val="32"/>
    <w:qFormat/>
    <w:rsid w:val="00217FFE"/>
    <w:rPr>
      <w:b/>
      <w:bCs/>
      <w:smallCaps/>
      <w:color w:val="0F4761" w:themeColor="accent1" w:themeShade="BF"/>
      <w:spacing w:val="5"/>
    </w:rPr>
  </w:style>
  <w:style w:type="character" w:styleId="Odwoaniedokomentarza">
    <w:name w:val="annotation reference"/>
    <w:basedOn w:val="Domylnaczcionkaakapitu"/>
    <w:uiPriority w:val="99"/>
    <w:semiHidden/>
    <w:unhideWhenUsed/>
    <w:qFormat/>
    <w:rsid w:val="00B1047F"/>
    <w:rPr>
      <w:sz w:val="16"/>
      <w:szCs w:val="16"/>
    </w:rPr>
  </w:style>
  <w:style w:type="character" w:customStyle="1" w:styleId="TekstkomentarzaZnak">
    <w:name w:val="Tekst komentarza Znak"/>
    <w:basedOn w:val="Domylnaczcionkaakapitu"/>
    <w:link w:val="Tekstkomentarza"/>
    <w:uiPriority w:val="99"/>
    <w:qFormat/>
    <w:rsid w:val="00B1047F"/>
    <w:rPr>
      <w:sz w:val="20"/>
      <w:szCs w:val="20"/>
    </w:rPr>
  </w:style>
  <w:style w:type="character" w:customStyle="1" w:styleId="TematkomentarzaZnak">
    <w:name w:val="Temat komentarza Znak"/>
    <w:basedOn w:val="TekstkomentarzaZnak"/>
    <w:link w:val="Tematkomentarza"/>
    <w:uiPriority w:val="99"/>
    <w:semiHidden/>
    <w:qFormat/>
    <w:rsid w:val="00B1047F"/>
    <w:rPr>
      <w:b/>
      <w:bCs/>
      <w:sz w:val="20"/>
      <w:szCs w:val="20"/>
    </w:rPr>
  </w:style>
  <w:style w:type="character" w:customStyle="1" w:styleId="NagwekZnak">
    <w:name w:val="Nagłówek Znak"/>
    <w:basedOn w:val="Domylnaczcionkaakapitu"/>
    <w:link w:val="Nagwek"/>
    <w:uiPriority w:val="99"/>
    <w:qFormat/>
    <w:rsid w:val="00EE1A17"/>
    <w:rPr>
      <w:sz w:val="22"/>
    </w:rPr>
  </w:style>
  <w:style w:type="character" w:customStyle="1" w:styleId="StopkaZnak">
    <w:name w:val="Stopka Znak"/>
    <w:basedOn w:val="Domylnaczcionkaakapitu"/>
    <w:link w:val="Stopka"/>
    <w:uiPriority w:val="99"/>
    <w:qFormat/>
    <w:rsid w:val="00EE1A17"/>
    <w:rPr>
      <w:sz w:val="22"/>
    </w:rPr>
  </w:style>
  <w:style w:type="paragraph" w:styleId="Nagwek">
    <w:name w:val="header"/>
    <w:basedOn w:val="Normalny"/>
    <w:next w:val="Tekstpodstawowy"/>
    <w:link w:val="NagwekZnak"/>
    <w:uiPriority w:val="99"/>
    <w:unhideWhenUsed/>
    <w:rsid w:val="00EE1A17"/>
    <w:pPr>
      <w:tabs>
        <w:tab w:val="center" w:pos="4536"/>
        <w:tab w:val="right" w:pos="9072"/>
      </w:tabs>
      <w:spacing w:after="0" w:line="240" w:lineRule="auto"/>
    </w:pPr>
  </w:style>
  <w:style w:type="paragraph" w:styleId="Tekstpodstawowy">
    <w:name w:val="Body Text"/>
    <w:basedOn w:val="Normalny"/>
    <w:pPr>
      <w:spacing w:after="140"/>
    </w:pPr>
  </w:style>
  <w:style w:type="paragraph" w:styleId="Lista">
    <w:name w:val="List"/>
    <w:basedOn w:val="Tekstpodstawowy"/>
    <w:rPr>
      <w:rFonts w:cs="Arial"/>
    </w:rPr>
  </w:style>
  <w:style w:type="paragraph" w:styleId="Legenda">
    <w:name w:val="caption"/>
    <w:basedOn w:val="Normalny"/>
    <w:qFormat/>
    <w:pPr>
      <w:suppressLineNumbers/>
      <w:spacing w:before="120" w:after="120"/>
    </w:pPr>
    <w:rPr>
      <w:rFonts w:cs="Arial"/>
      <w:i/>
      <w:iCs/>
      <w:sz w:val="24"/>
    </w:rPr>
  </w:style>
  <w:style w:type="paragraph" w:customStyle="1" w:styleId="Indeks">
    <w:name w:val="Indeks"/>
    <w:basedOn w:val="Normalny"/>
    <w:qFormat/>
    <w:pPr>
      <w:suppressLineNumbers/>
    </w:pPr>
    <w:rPr>
      <w:rFonts w:cs="Arial"/>
    </w:rPr>
  </w:style>
  <w:style w:type="paragraph" w:styleId="Tytu">
    <w:name w:val="Title"/>
    <w:basedOn w:val="Normalny"/>
    <w:next w:val="Normalny"/>
    <w:link w:val="TytuZnak"/>
    <w:uiPriority w:val="10"/>
    <w:qFormat/>
    <w:rsid w:val="00217FFE"/>
    <w:pPr>
      <w:spacing w:after="80" w:line="240" w:lineRule="auto"/>
      <w:contextualSpacing/>
    </w:pPr>
    <w:rPr>
      <w:rFonts w:asciiTheme="majorHAnsi" w:eastAsiaTheme="majorEastAsia" w:hAnsiTheme="majorHAnsi" w:cstheme="majorBidi"/>
      <w:spacing w:val="-10"/>
      <w:sz w:val="56"/>
      <w:szCs w:val="56"/>
    </w:rPr>
  </w:style>
  <w:style w:type="paragraph" w:styleId="Podtytu">
    <w:name w:val="Subtitle"/>
    <w:basedOn w:val="Normalny"/>
    <w:next w:val="Normalny"/>
    <w:link w:val="PodtytuZnak"/>
    <w:uiPriority w:val="11"/>
    <w:qFormat/>
    <w:rsid w:val="00217FFE"/>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217FFE"/>
    <w:pPr>
      <w:spacing w:before="160"/>
      <w:jc w:val="center"/>
    </w:pPr>
    <w:rPr>
      <w:i/>
      <w:iCs/>
      <w:color w:val="404040" w:themeColor="text1" w:themeTint="BF"/>
    </w:rPr>
  </w:style>
  <w:style w:type="paragraph" w:styleId="Akapitzlist">
    <w:name w:val="List Paragraph"/>
    <w:basedOn w:val="Normalny"/>
    <w:uiPriority w:val="34"/>
    <w:qFormat/>
    <w:rsid w:val="00217FFE"/>
    <w:pPr>
      <w:ind w:left="720"/>
      <w:contextualSpacing/>
    </w:pPr>
  </w:style>
  <w:style w:type="paragraph" w:styleId="Cytatintensywny">
    <w:name w:val="Intense Quote"/>
    <w:basedOn w:val="Normalny"/>
    <w:next w:val="Normalny"/>
    <w:link w:val="CytatintensywnyZnak"/>
    <w:uiPriority w:val="30"/>
    <w:qFormat/>
    <w:rsid w:val="00217FFE"/>
    <w:pPr>
      <w:pBdr>
        <w:top w:val="single" w:sz="4" w:space="10" w:color="0F4761"/>
        <w:bottom w:val="single" w:sz="4" w:space="10" w:color="0F4761"/>
      </w:pBdr>
      <w:spacing w:before="360" w:after="360"/>
      <w:ind w:left="864" w:right="864"/>
      <w:jc w:val="center"/>
    </w:pPr>
    <w:rPr>
      <w:i/>
      <w:iCs/>
      <w:color w:val="0F4761" w:themeColor="accent1" w:themeShade="BF"/>
    </w:rPr>
  </w:style>
  <w:style w:type="paragraph" w:styleId="Tekstkomentarza">
    <w:name w:val="annotation text"/>
    <w:basedOn w:val="Normalny"/>
    <w:link w:val="TekstkomentarzaZnak"/>
    <w:uiPriority w:val="99"/>
    <w:unhideWhenUsed/>
    <w:qFormat/>
    <w:rsid w:val="00B1047F"/>
    <w:pPr>
      <w:spacing w:line="240" w:lineRule="auto"/>
    </w:pPr>
    <w:rPr>
      <w:sz w:val="20"/>
      <w:szCs w:val="20"/>
    </w:rPr>
  </w:style>
  <w:style w:type="paragraph" w:styleId="Tematkomentarza">
    <w:name w:val="annotation subject"/>
    <w:basedOn w:val="Tekstkomentarza"/>
    <w:next w:val="Tekstkomentarza"/>
    <w:link w:val="TematkomentarzaZnak"/>
    <w:uiPriority w:val="99"/>
    <w:semiHidden/>
    <w:unhideWhenUsed/>
    <w:qFormat/>
    <w:rsid w:val="00B1047F"/>
    <w:rPr>
      <w:b/>
      <w:bCs/>
    </w:rPr>
  </w:style>
  <w:style w:type="paragraph" w:customStyle="1" w:styleId="Gwkaistopka">
    <w:name w:val="Główka i stopka"/>
    <w:basedOn w:val="Normalny"/>
    <w:qFormat/>
  </w:style>
  <w:style w:type="paragraph" w:styleId="Stopka">
    <w:name w:val="footer"/>
    <w:basedOn w:val="Normalny"/>
    <w:link w:val="StopkaZnak"/>
    <w:uiPriority w:val="99"/>
    <w:unhideWhenUsed/>
    <w:rsid w:val="00EE1A17"/>
    <w:pPr>
      <w:tabs>
        <w:tab w:val="center" w:pos="4536"/>
        <w:tab w:val="right" w:pos="9072"/>
      </w:tabs>
      <w:spacing w:after="0" w:line="240" w:lineRule="auto"/>
    </w:pPr>
  </w:style>
  <w:style w:type="table" w:styleId="Tabela-Siatka">
    <w:name w:val="Table Grid"/>
    <w:basedOn w:val="Standardowy"/>
    <w:uiPriority w:val="39"/>
    <w:rsid w:val="00217F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1648</Words>
  <Characters>9891</Characters>
  <Application>Microsoft Office Word</Application>
  <DocSecurity>0</DocSecurity>
  <Lines>82</Lines>
  <Paragraphs>23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Marek</dc:creator>
  <dc:description/>
  <cp:lastModifiedBy>Łukasz</cp:lastModifiedBy>
  <cp:revision>3</cp:revision>
  <dcterms:created xsi:type="dcterms:W3CDTF">2026-08-13T12:43:00Z</dcterms:created>
  <dcterms:modified xsi:type="dcterms:W3CDTF">2026-08-13T13:12:00Z</dcterms:modified>
  <dc:language>pl-PL</dc:language>
</cp:coreProperties>
</file>