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34FA" w14:textId="17E43317" w:rsidR="00B46937" w:rsidRDefault="00000000">
      <w:pPr>
        <w:pStyle w:val="Standard"/>
        <w:keepNext/>
        <w:tabs>
          <w:tab w:val="left" w:pos="5334"/>
          <w:tab w:val="left" w:pos="5610"/>
        </w:tabs>
        <w:spacing w:after="0" w:line="360" w:lineRule="auto"/>
        <w:jc w:val="right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Skarżysko - Kamienna, dnia </w:t>
      </w:r>
      <w:r w:rsidR="00872439">
        <w:rPr>
          <w:rFonts w:eastAsia="Times New Roman" w:cstheme="minorHAnsi"/>
          <w:sz w:val="20"/>
          <w:szCs w:val="20"/>
          <w:lang w:eastAsia="pl-PL"/>
        </w:rPr>
        <w:t>14</w:t>
      </w:r>
      <w:r>
        <w:rPr>
          <w:rFonts w:eastAsia="Times New Roman" w:cstheme="minorHAnsi"/>
          <w:sz w:val="20"/>
          <w:szCs w:val="20"/>
          <w:lang w:eastAsia="pl-PL"/>
        </w:rPr>
        <w:t>.0</w:t>
      </w:r>
      <w:r w:rsidR="00872439">
        <w:rPr>
          <w:rFonts w:eastAsia="Times New Roman" w:cstheme="minorHAnsi"/>
          <w:sz w:val="20"/>
          <w:szCs w:val="20"/>
          <w:lang w:eastAsia="pl-PL"/>
        </w:rPr>
        <w:t>8</w:t>
      </w:r>
      <w:r>
        <w:rPr>
          <w:rFonts w:eastAsia="Times New Roman" w:cstheme="minorHAnsi"/>
          <w:sz w:val="20"/>
          <w:szCs w:val="20"/>
          <w:lang w:eastAsia="pl-PL"/>
        </w:rPr>
        <w:t>.2026 r.</w:t>
      </w:r>
    </w:p>
    <w:p w14:paraId="2A812E38" w14:textId="2077A0BD" w:rsidR="00B46937" w:rsidRDefault="00000000">
      <w:pPr>
        <w:pStyle w:val="Standard"/>
        <w:keepNext/>
        <w:tabs>
          <w:tab w:val="left" w:pos="5334"/>
          <w:tab w:val="left" w:pos="5610"/>
        </w:tabs>
        <w:spacing w:after="0" w:line="36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Znak postępowania</w:t>
      </w: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bookmarkStart w:id="0" w:name="_Hlk1617367652"/>
      <w:r w:rsidR="00872439">
        <w:rPr>
          <w:rFonts w:eastAsia="Times New Roman" w:cstheme="minorHAnsi"/>
          <w:b/>
          <w:color w:val="000000" w:themeColor="text1"/>
          <w:sz w:val="20"/>
          <w:szCs w:val="20"/>
          <w:lang w:eastAsia="pl-PL"/>
        </w:rPr>
        <w:t>2</w:t>
      </w:r>
      <w:r>
        <w:rPr>
          <w:rFonts w:eastAsia="Times New Roman" w:cstheme="minorHAnsi"/>
          <w:b/>
          <w:color w:val="000000" w:themeColor="text1"/>
          <w:sz w:val="20"/>
          <w:szCs w:val="20"/>
          <w:lang w:eastAsia="pl-PL"/>
        </w:rPr>
        <w:t>/CW/ZP/2026</w:t>
      </w:r>
      <w:bookmarkEnd w:id="0"/>
    </w:p>
    <w:p w14:paraId="4378E9E1" w14:textId="77777777" w:rsidR="00872439" w:rsidRDefault="00872439">
      <w:pPr>
        <w:ind w:left="180"/>
        <w:jc w:val="center"/>
        <w:rPr>
          <w:rFonts w:cstheme="minorHAnsi"/>
          <w:b/>
          <w:szCs w:val="20"/>
        </w:rPr>
      </w:pPr>
    </w:p>
    <w:p w14:paraId="38D6D430" w14:textId="285E448F" w:rsidR="00B46937" w:rsidRDefault="00000000">
      <w:pPr>
        <w:ind w:left="180"/>
        <w:jc w:val="center"/>
        <w:rPr>
          <w:rFonts w:asciiTheme="minorHAnsi" w:hAnsiTheme="minorHAnsi" w:cstheme="minorHAnsi"/>
          <w:b/>
          <w:szCs w:val="20"/>
        </w:rPr>
      </w:pPr>
      <w:r>
        <w:rPr>
          <w:rFonts w:cstheme="minorHAnsi"/>
          <w:b/>
          <w:szCs w:val="20"/>
        </w:rPr>
        <w:t>WYKONAWCY BIORĄCY UDZIAŁ W POSTĘPOWANIU</w:t>
      </w:r>
    </w:p>
    <w:p w14:paraId="249717F8" w14:textId="77777777" w:rsidR="00B46937" w:rsidRDefault="00000000">
      <w:pPr>
        <w:jc w:val="center"/>
        <w:rPr>
          <w:rFonts w:asciiTheme="minorHAnsi" w:eastAsia="Arial" w:hAnsiTheme="minorHAnsi" w:cstheme="minorHAnsi"/>
          <w:i/>
          <w:color w:val="000000" w:themeColor="text1"/>
          <w:sz w:val="20"/>
          <w:szCs w:val="20"/>
        </w:rPr>
      </w:pPr>
      <w:r>
        <w:rPr>
          <w:rFonts w:eastAsia="Arial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 w14:paraId="537F5976" w14:textId="10B144F7" w:rsidR="00B46937" w:rsidRDefault="00000000">
      <w:pPr>
        <w:spacing w:after="0"/>
        <w:jc w:val="center"/>
        <w:rPr>
          <w:rFonts w:asciiTheme="minorHAnsi" w:eastAsia="Arial" w:hAnsiTheme="minorHAnsi" w:cstheme="minorHAnsi"/>
          <w:i/>
          <w:color w:val="000000" w:themeColor="text1"/>
          <w:sz w:val="20"/>
          <w:szCs w:val="20"/>
        </w:rPr>
      </w:pPr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 xml:space="preserve">„Podniesienie poziomu </w:t>
      </w:r>
      <w:proofErr w:type="spellStart"/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>cyberbezpieczeństwa</w:t>
      </w:r>
      <w:proofErr w:type="spellEnd"/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 xml:space="preserve"> i budowa odporności na </w:t>
      </w:r>
      <w:proofErr w:type="spellStart"/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>cyberzagrożenia</w:t>
      </w:r>
      <w:proofErr w:type="spellEnd"/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 xml:space="preserve"> </w:t>
      </w:r>
      <w:r w:rsidR="00872439"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br/>
      </w:r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>w Miejskim Przedsiębiorstwie Wodociągów i Kanalizacji Spółka z o.o. w Skarżysku – Kamiennej”</w:t>
      </w:r>
    </w:p>
    <w:p w14:paraId="5797F1F0" w14:textId="77777777" w:rsidR="00B46937" w:rsidRDefault="00B46937">
      <w:pPr>
        <w:spacing w:after="0"/>
        <w:jc w:val="center"/>
        <w:rPr>
          <w:rFonts w:asciiTheme="minorHAnsi" w:eastAsia="Arial" w:hAnsiTheme="minorHAnsi" w:cstheme="minorHAnsi"/>
          <w:i/>
          <w:color w:val="000000" w:themeColor="text1"/>
          <w:sz w:val="20"/>
          <w:szCs w:val="20"/>
        </w:rPr>
      </w:pPr>
    </w:p>
    <w:p w14:paraId="7B295781" w14:textId="77777777" w:rsidR="00B46937" w:rsidRDefault="00000000">
      <w:pPr>
        <w:spacing w:after="0"/>
        <w:jc w:val="center"/>
        <w:rPr>
          <w:rFonts w:asciiTheme="minorHAnsi" w:eastAsia="Arial" w:hAnsiTheme="minorHAnsi" w:cstheme="minorHAnsi"/>
          <w:i/>
          <w:color w:val="000000" w:themeColor="text1"/>
          <w:sz w:val="20"/>
          <w:szCs w:val="20"/>
        </w:rPr>
      </w:pPr>
      <w:r>
        <w:rPr>
          <w:rFonts w:eastAsia="Arial" w:cstheme="minorHAnsi"/>
          <w:b/>
          <w:bCs/>
          <w:i/>
          <w:color w:val="000000" w:themeColor="text1"/>
          <w:sz w:val="24"/>
          <w:szCs w:val="24"/>
        </w:rPr>
        <w:t>WYJAŚNIENIE TREŚCI SWZ NR 1</w:t>
      </w:r>
    </w:p>
    <w:p w14:paraId="7C0EEF76" w14:textId="77777777" w:rsidR="00B46937" w:rsidRDefault="00B46937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64058EF5" w14:textId="77777777" w:rsidR="00B46937" w:rsidRDefault="00000000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Zamawiający Miejskie Przedsiębiorstwo Wodociągów i Kanalizacji Sp. z o. o. działając na podstawie art. 284 ust 2 ustawy Prawo zamówień publicznych z dnia 11 września 2019 r. (Dz. U. z 2022, poz. 1710</w:t>
      </w:r>
      <w:r>
        <w:rPr>
          <w:rFonts w:cstheme="minorHAnsi"/>
          <w:bCs/>
          <w:sz w:val="20"/>
          <w:szCs w:val="20"/>
        </w:rPr>
        <w:t>),</w:t>
      </w:r>
      <w:r>
        <w:rPr>
          <w:rFonts w:cstheme="minorHAnsi"/>
          <w:sz w:val="20"/>
          <w:szCs w:val="20"/>
        </w:rPr>
        <w:t xml:space="preserve"> udziela wyjaśnień na następujące pytania, zadane do wyżej wymienionego postępowania:</w:t>
      </w:r>
    </w:p>
    <w:p w14:paraId="444A280B" w14:textId="77777777" w:rsidR="00B46937" w:rsidRDefault="00000000">
      <w:pPr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 w14:paraId="7D1F1B8A" w14:textId="77777777" w:rsidR="00872439" w:rsidRPr="00872439" w:rsidRDefault="00872439" w:rsidP="00872439">
      <w:pPr>
        <w:spacing w:after="0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Pozycja 5 OPZ: rozwiązanie NAS – porty rozszerzeń </w:t>
      </w:r>
    </w:p>
    <w:p w14:paraId="2D706AE7" w14:textId="77777777" w:rsidR="00872439" w:rsidRDefault="00872439" w:rsidP="00872439">
      <w:pPr>
        <w:spacing w:after="0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Czy Zamawiający dopuści urządzenie posiadające 2 porty rozszerzeń Mini-SAS HD zamiast 2 portów </w:t>
      </w:r>
      <w:proofErr w:type="spellStart"/>
      <w:r w:rsidRPr="00872439">
        <w:rPr>
          <w:color w:val="000000"/>
          <w:sz w:val="18"/>
          <w:szCs w:val="18"/>
        </w:rPr>
        <w:t>Infiniband</w:t>
      </w:r>
      <w:proofErr w:type="spellEnd"/>
      <w:r w:rsidRPr="00872439">
        <w:rPr>
          <w:color w:val="000000"/>
          <w:sz w:val="18"/>
          <w:szCs w:val="18"/>
        </w:rPr>
        <w:t xml:space="preserve">, jako rozwiązanie równoważne funkcjonalnie w zakresie rozbudowy urządzenia o dodatkowe półki dyskowe? </w:t>
      </w:r>
    </w:p>
    <w:p w14:paraId="1DAACCD5" w14:textId="77777777" w:rsidR="00872439" w:rsidRPr="00872439" w:rsidRDefault="00872439" w:rsidP="00872439">
      <w:pPr>
        <w:spacing w:after="0"/>
        <w:rPr>
          <w:color w:val="000000"/>
          <w:sz w:val="18"/>
          <w:szCs w:val="18"/>
        </w:rPr>
      </w:pPr>
    </w:p>
    <w:p w14:paraId="4CC1FDCD" w14:textId="77777777" w:rsidR="00872439" w:rsidRDefault="00872439" w:rsidP="00872439">
      <w:pPr>
        <w:spacing w:after="0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Na rynku dostępne są urządzenia NAS spełniające pozostałe parametry techniczne i funkcjonalne określone przez Zamawiającego, wyposażone w porty Mini-SAS HD służące do podłączenia półek rozszerzających. Porty te zapewniają funkcjonalność rozbudowy zasobu dyskowego odpowiadającą funkcji wymaganych portów rozszerzeń. </w:t>
      </w:r>
    </w:p>
    <w:p w14:paraId="62CFFF27" w14:textId="77777777" w:rsidR="00872439" w:rsidRPr="00872439" w:rsidRDefault="00872439" w:rsidP="00872439">
      <w:pPr>
        <w:spacing w:after="0"/>
        <w:rPr>
          <w:color w:val="000000"/>
          <w:sz w:val="18"/>
          <w:szCs w:val="18"/>
        </w:rPr>
      </w:pPr>
    </w:p>
    <w:p w14:paraId="4932922A" w14:textId="77777777" w:rsidR="00872439" w:rsidRPr="00872439" w:rsidRDefault="00872439" w:rsidP="00872439">
      <w:pPr>
        <w:spacing w:after="0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Proponowana zmiana zapisu: </w:t>
      </w:r>
    </w:p>
    <w:p w14:paraId="055BB203" w14:textId="77777777" w:rsidR="00872439" w:rsidRDefault="00872439" w:rsidP="00872439">
      <w:pPr>
        <w:spacing w:after="0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„Porty rozszerzeń: minimum 2 porty umożliwiające podłączenie półek rozszerzających, w szczególności Mini-SAS HD, </w:t>
      </w:r>
      <w:proofErr w:type="spellStart"/>
      <w:r w:rsidRPr="00872439">
        <w:rPr>
          <w:color w:val="000000"/>
          <w:sz w:val="18"/>
          <w:szCs w:val="18"/>
        </w:rPr>
        <w:t>Infiniband</w:t>
      </w:r>
      <w:proofErr w:type="spellEnd"/>
      <w:r w:rsidRPr="00872439">
        <w:rPr>
          <w:color w:val="000000"/>
          <w:sz w:val="18"/>
          <w:szCs w:val="18"/>
        </w:rPr>
        <w:t xml:space="preserve"> lub rozwiązanie równoważne funkcjonalnie.”</w:t>
      </w:r>
    </w:p>
    <w:p w14:paraId="362AA014" w14:textId="77777777" w:rsidR="00872439" w:rsidRDefault="00872439" w:rsidP="00872439">
      <w:pPr>
        <w:spacing w:after="0"/>
        <w:rPr>
          <w:color w:val="000000"/>
          <w:sz w:val="18"/>
          <w:szCs w:val="18"/>
        </w:rPr>
      </w:pPr>
    </w:p>
    <w:p w14:paraId="4A4922B8" w14:textId="06159758" w:rsidR="00B46937" w:rsidRDefault="00000000" w:rsidP="0087243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 w14:paraId="28B1BD37" w14:textId="28785728" w:rsidR="00872439" w:rsidRDefault="00872439" w:rsidP="0087243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Zamawiający dopuszcza </w:t>
      </w:r>
      <w:r>
        <w:rPr>
          <w:color w:val="000000"/>
          <w:sz w:val="18"/>
          <w:szCs w:val="18"/>
        </w:rPr>
        <w:t xml:space="preserve">również urządzenie posiadające 2 porty rozszerzeń Mini-SAS HD zamiast 2 portów </w:t>
      </w:r>
      <w:proofErr w:type="spellStart"/>
      <w:r>
        <w:rPr>
          <w:color w:val="000000"/>
          <w:sz w:val="18"/>
          <w:szCs w:val="18"/>
        </w:rPr>
        <w:t>Infiniband</w:t>
      </w:r>
      <w:proofErr w:type="spellEnd"/>
      <w:r>
        <w:rPr>
          <w:color w:val="000000"/>
          <w:sz w:val="18"/>
          <w:szCs w:val="18"/>
        </w:rPr>
        <w:t xml:space="preserve"> lub</w:t>
      </w:r>
      <w:r>
        <w:rPr>
          <w:color w:val="000000"/>
          <w:sz w:val="18"/>
          <w:szCs w:val="18"/>
        </w:rPr>
        <w:t xml:space="preserve"> rozwiązanie równoważne funkcjonalnie w zakresie rozbudowy urządzenia o dodatkowe półki dyskowe.</w:t>
      </w:r>
    </w:p>
    <w:p w14:paraId="11BF294A" w14:textId="77777777" w:rsidR="00665019" w:rsidRDefault="00665019">
      <w:pPr>
        <w:jc w:val="both"/>
        <w:rPr>
          <w:color w:val="0070C0"/>
          <w:sz w:val="18"/>
          <w:szCs w:val="18"/>
        </w:rPr>
      </w:pPr>
    </w:p>
    <w:p w14:paraId="3E03235E" w14:textId="55AABA6F" w:rsidR="00B46937" w:rsidRDefault="00000000">
      <w:pPr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2.</w:t>
      </w:r>
    </w:p>
    <w:p w14:paraId="323B9707" w14:textId="77777777" w:rsidR="00872439" w:rsidRP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Pozycja 5 OPZ: rozwiązanie NAS – liczba wolumenów </w:t>
      </w:r>
    </w:p>
    <w:p w14:paraId="331DA8A8" w14:textId="77777777" w:rsid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Czy Zamawiający dopuści urządzenie umożliwiające utworzenie do 32 wolumenów, spełniające wszystkie pozostałe wymagane parametry i funkcjonalności? </w:t>
      </w:r>
    </w:p>
    <w:p w14:paraId="70098060" w14:textId="77777777" w:rsidR="00872439" w:rsidRP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</w:p>
    <w:p w14:paraId="13DC08F4" w14:textId="77777777" w:rsidR="00872439" w:rsidRPr="00872439" w:rsidRDefault="00872439" w:rsidP="00872439">
      <w:pPr>
        <w:jc w:val="both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Liczba 32 wolumenów jest wystarczająca dla przewidzianego w OPZ zastosowania urządzenia, w szczególności jako repozytorium kopii zapasowych i przestrzeń do testowego odtwarzania danych, a ograniczenie to nie wpływa na wydajność, bezpieczeństwo, pojemność ani pozostałe wymagane funkcjonalności rozwiązania. </w:t>
      </w:r>
    </w:p>
    <w:p w14:paraId="7B503CE6" w14:textId="77777777" w:rsidR="00872439" w:rsidRP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 xml:space="preserve">Proponowana zmiana zapisu: </w:t>
      </w:r>
    </w:p>
    <w:p w14:paraId="5524BE3E" w14:textId="503D2F9A" w:rsid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  <w:r w:rsidRPr="00872439">
        <w:rPr>
          <w:color w:val="000000"/>
          <w:sz w:val="18"/>
          <w:szCs w:val="18"/>
        </w:rPr>
        <w:t>„Liczba wolumenów: minimum 32.”</w:t>
      </w:r>
    </w:p>
    <w:p w14:paraId="562FA9E4" w14:textId="77777777" w:rsidR="00872439" w:rsidRDefault="00872439" w:rsidP="00872439">
      <w:pPr>
        <w:spacing w:after="0"/>
        <w:jc w:val="both"/>
        <w:rPr>
          <w:color w:val="000000"/>
          <w:sz w:val="18"/>
          <w:szCs w:val="18"/>
        </w:rPr>
      </w:pPr>
    </w:p>
    <w:p w14:paraId="350CF372" w14:textId="693A08D3" w:rsidR="00B46937" w:rsidRDefault="00000000">
      <w:pPr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</w:t>
      </w:r>
      <w:r w:rsidR="00872439">
        <w:rPr>
          <w:color w:val="FF0000"/>
          <w:sz w:val="18"/>
          <w:szCs w:val="18"/>
        </w:rPr>
        <w:t>2</w:t>
      </w:r>
      <w:r>
        <w:rPr>
          <w:color w:val="FF0000"/>
          <w:sz w:val="18"/>
          <w:szCs w:val="18"/>
        </w:rPr>
        <w:t xml:space="preserve">. </w:t>
      </w:r>
    </w:p>
    <w:p w14:paraId="4CE42505" w14:textId="77777777" w:rsidR="00B46937" w:rsidRDefault="00000000" w:rsidP="00872439">
      <w:pPr>
        <w:jc w:val="both"/>
        <w:rPr>
          <w:sz w:val="18"/>
          <w:szCs w:val="18"/>
        </w:rPr>
      </w:pPr>
      <w:r>
        <w:rPr>
          <w:sz w:val="18"/>
          <w:szCs w:val="18"/>
        </w:rPr>
        <w:t>Zamawiający dopuszcza również urządzenie umożliwiające utworzenie do 32 wolumenów, spełniające wszystkie pozostałe wymagane parametry i funkcjonalności.</w:t>
      </w:r>
    </w:p>
    <w:p w14:paraId="04CE7996" w14:textId="77777777" w:rsidR="00872439" w:rsidRDefault="00872439" w:rsidP="00872439">
      <w:pPr>
        <w:jc w:val="both"/>
        <w:rPr>
          <w:sz w:val="18"/>
          <w:szCs w:val="18"/>
        </w:rPr>
      </w:pPr>
    </w:p>
    <w:p w14:paraId="6775B7A0" w14:textId="77777777" w:rsidR="00872439" w:rsidRDefault="00872439" w:rsidP="00872439">
      <w:pPr>
        <w:rPr>
          <w:color w:val="2A6099"/>
        </w:rPr>
      </w:pPr>
      <w:r>
        <w:rPr>
          <w:color w:val="2A6099"/>
          <w:sz w:val="18"/>
          <w:szCs w:val="18"/>
        </w:rPr>
        <w:t>Pytanie nr 3.</w:t>
      </w:r>
    </w:p>
    <w:p w14:paraId="02EE3B56" w14:textId="77777777" w:rsidR="00665019" w:rsidRPr="00665019" w:rsidRDefault="00665019" w:rsidP="00665019">
      <w:pPr>
        <w:spacing w:after="0"/>
        <w:rPr>
          <w:sz w:val="18"/>
          <w:szCs w:val="18"/>
        </w:rPr>
      </w:pPr>
      <w:r w:rsidRPr="00665019">
        <w:rPr>
          <w:sz w:val="18"/>
          <w:szCs w:val="18"/>
        </w:rPr>
        <w:t xml:space="preserve">Pozycja 8 OPZ: </w:t>
      </w:r>
      <w:proofErr w:type="spellStart"/>
      <w:r w:rsidRPr="00665019">
        <w:rPr>
          <w:sz w:val="18"/>
          <w:szCs w:val="18"/>
        </w:rPr>
        <w:t>Patch</w:t>
      </w:r>
      <w:proofErr w:type="spellEnd"/>
      <w:r w:rsidRPr="00665019">
        <w:rPr>
          <w:sz w:val="18"/>
          <w:szCs w:val="18"/>
        </w:rPr>
        <w:t xml:space="preserve"> Management / Zarządzanie Aktualizacjami </w:t>
      </w:r>
    </w:p>
    <w:p w14:paraId="0866F337" w14:textId="77777777" w:rsidR="00665019" w:rsidRDefault="00665019" w:rsidP="00665019">
      <w:pPr>
        <w:spacing w:after="0"/>
        <w:rPr>
          <w:sz w:val="18"/>
          <w:szCs w:val="18"/>
        </w:rPr>
      </w:pPr>
      <w:r w:rsidRPr="00665019">
        <w:rPr>
          <w:sz w:val="18"/>
          <w:szCs w:val="18"/>
        </w:rPr>
        <w:t xml:space="preserve">Czy Zamawiający dopuści rozwiązanie, w którym moduł </w:t>
      </w:r>
      <w:proofErr w:type="spellStart"/>
      <w:r w:rsidRPr="00665019">
        <w:rPr>
          <w:sz w:val="18"/>
          <w:szCs w:val="18"/>
        </w:rPr>
        <w:t>Patch</w:t>
      </w:r>
      <w:proofErr w:type="spellEnd"/>
      <w:r w:rsidRPr="00665019">
        <w:rPr>
          <w:sz w:val="18"/>
          <w:szCs w:val="18"/>
        </w:rPr>
        <w:t xml:space="preserve"> Management / Zarządzanie Aktualizacjami nie zapewnia wsparcia dla następujących dystrybucji systemu Linux: – </w:t>
      </w:r>
      <w:proofErr w:type="spellStart"/>
      <w:r w:rsidRPr="00665019">
        <w:rPr>
          <w:sz w:val="18"/>
          <w:szCs w:val="18"/>
        </w:rPr>
        <w:t>CentOS</w:t>
      </w:r>
      <w:proofErr w:type="spellEnd"/>
      <w:r w:rsidRPr="00665019">
        <w:rPr>
          <w:sz w:val="18"/>
          <w:szCs w:val="18"/>
        </w:rPr>
        <w:t xml:space="preserve"> 7 – GA+ (7.2003), – Red </w:t>
      </w:r>
      <w:proofErr w:type="spellStart"/>
      <w:r w:rsidRPr="00665019">
        <w:rPr>
          <w:sz w:val="18"/>
          <w:szCs w:val="18"/>
        </w:rPr>
        <w:t>Hat</w:t>
      </w:r>
      <w:proofErr w:type="spellEnd"/>
      <w:r w:rsidRPr="00665019">
        <w:rPr>
          <w:sz w:val="18"/>
          <w:szCs w:val="18"/>
        </w:rPr>
        <w:t xml:space="preserve"> Enterprise Linux RHEL 7 – GA+ (7.1–7.9), przy zachowaniu wsparcia dla pozostałych systemów operacyjnych i funkcjonalności wymaganych w OPZ? </w:t>
      </w:r>
    </w:p>
    <w:p w14:paraId="71E46281" w14:textId="77777777" w:rsidR="00665019" w:rsidRPr="00665019" w:rsidRDefault="00665019" w:rsidP="00665019">
      <w:pPr>
        <w:spacing w:after="0"/>
        <w:rPr>
          <w:sz w:val="18"/>
          <w:szCs w:val="18"/>
        </w:rPr>
      </w:pPr>
    </w:p>
    <w:p w14:paraId="708D3575" w14:textId="77777777" w:rsidR="00665019" w:rsidRPr="00665019" w:rsidRDefault="00665019" w:rsidP="00665019">
      <w:pPr>
        <w:jc w:val="both"/>
        <w:rPr>
          <w:sz w:val="18"/>
          <w:szCs w:val="18"/>
        </w:rPr>
      </w:pPr>
      <w:r w:rsidRPr="00665019">
        <w:rPr>
          <w:sz w:val="18"/>
          <w:szCs w:val="18"/>
        </w:rPr>
        <w:t xml:space="preserve">Wskazane dystrybucje należą do starszych generacji systemów Linux, a brak ich obsługi w module zarządzania aktualizacjami nie wpływa na funkcjonowanie pozostałych elementów rozwiązania, w szczególności ochrony antywirusowej, EDR, XDR, ochrony tożsamości, sensora sieciowego ani pozostałych mechanizmów bezpieczeństwa. </w:t>
      </w:r>
    </w:p>
    <w:p w14:paraId="7448CE57" w14:textId="77777777" w:rsidR="00665019" w:rsidRPr="00665019" w:rsidRDefault="00665019" w:rsidP="00665019">
      <w:pPr>
        <w:spacing w:after="0"/>
        <w:rPr>
          <w:sz w:val="18"/>
          <w:szCs w:val="18"/>
        </w:rPr>
      </w:pPr>
      <w:r w:rsidRPr="00665019">
        <w:rPr>
          <w:sz w:val="18"/>
          <w:szCs w:val="18"/>
        </w:rPr>
        <w:t xml:space="preserve">Proponowana zmiana zapisu: </w:t>
      </w:r>
    </w:p>
    <w:p w14:paraId="676D0B07" w14:textId="2820D279" w:rsidR="00B46937" w:rsidRDefault="00665019" w:rsidP="00665019">
      <w:pPr>
        <w:spacing w:after="0"/>
        <w:rPr>
          <w:sz w:val="18"/>
          <w:szCs w:val="18"/>
        </w:rPr>
      </w:pPr>
      <w:r w:rsidRPr="00665019">
        <w:rPr>
          <w:sz w:val="18"/>
          <w:szCs w:val="18"/>
        </w:rPr>
        <w:t xml:space="preserve">„Dopuszcza się brak wsparcia w module </w:t>
      </w:r>
      <w:proofErr w:type="spellStart"/>
      <w:r w:rsidRPr="00665019">
        <w:rPr>
          <w:sz w:val="18"/>
          <w:szCs w:val="18"/>
        </w:rPr>
        <w:t>Patch</w:t>
      </w:r>
      <w:proofErr w:type="spellEnd"/>
      <w:r w:rsidRPr="00665019">
        <w:rPr>
          <w:sz w:val="18"/>
          <w:szCs w:val="18"/>
        </w:rPr>
        <w:t xml:space="preserve"> Management / Zarządzanie Aktualizacjami dla systemów </w:t>
      </w:r>
      <w:proofErr w:type="spellStart"/>
      <w:r w:rsidRPr="00665019">
        <w:rPr>
          <w:sz w:val="18"/>
          <w:szCs w:val="18"/>
        </w:rPr>
        <w:t>CentOS</w:t>
      </w:r>
      <w:proofErr w:type="spellEnd"/>
      <w:r w:rsidRPr="00665019">
        <w:rPr>
          <w:sz w:val="18"/>
          <w:szCs w:val="18"/>
        </w:rPr>
        <w:t xml:space="preserve"> 7 – GA+ (7.2003) oraz Red </w:t>
      </w:r>
      <w:proofErr w:type="spellStart"/>
      <w:r w:rsidRPr="00665019">
        <w:rPr>
          <w:sz w:val="18"/>
          <w:szCs w:val="18"/>
        </w:rPr>
        <w:t>Hat</w:t>
      </w:r>
      <w:proofErr w:type="spellEnd"/>
      <w:r w:rsidRPr="00665019">
        <w:rPr>
          <w:sz w:val="18"/>
          <w:szCs w:val="18"/>
        </w:rPr>
        <w:t xml:space="preserve"> Enterprise Linux RHEL 7 – GA+ (7.1–7.9), przy zachowaniu pozostałych wymagań OPZ.”</w:t>
      </w:r>
    </w:p>
    <w:p w14:paraId="1FA534BF" w14:textId="77777777" w:rsidR="00665019" w:rsidRDefault="00665019" w:rsidP="00665019">
      <w:pPr>
        <w:spacing w:after="0"/>
        <w:rPr>
          <w:sz w:val="18"/>
          <w:szCs w:val="18"/>
        </w:rPr>
      </w:pPr>
    </w:p>
    <w:p w14:paraId="586F5C31" w14:textId="13DEF0D9" w:rsidR="00665019" w:rsidRPr="00B60A1F" w:rsidRDefault="00665019" w:rsidP="00665019">
      <w:pPr>
        <w:rPr>
          <w:color w:val="EE0000"/>
          <w:sz w:val="18"/>
          <w:szCs w:val="18"/>
        </w:rPr>
      </w:pPr>
      <w:r w:rsidRPr="00B60A1F">
        <w:rPr>
          <w:color w:val="EE0000"/>
          <w:sz w:val="18"/>
          <w:szCs w:val="18"/>
        </w:rPr>
        <w:t xml:space="preserve">Odpowiedź na pytanie nr </w:t>
      </w:r>
      <w:r>
        <w:rPr>
          <w:color w:val="EE0000"/>
          <w:sz w:val="18"/>
          <w:szCs w:val="18"/>
        </w:rPr>
        <w:t>3</w:t>
      </w:r>
      <w:r w:rsidRPr="00B60A1F">
        <w:rPr>
          <w:color w:val="EE0000"/>
          <w:sz w:val="18"/>
          <w:szCs w:val="18"/>
        </w:rPr>
        <w:t xml:space="preserve">. </w:t>
      </w:r>
    </w:p>
    <w:p w14:paraId="4330A68E" w14:textId="77777777" w:rsidR="00665019" w:rsidRPr="00665019" w:rsidRDefault="00665019" w:rsidP="00665019">
      <w:pPr>
        <w:jc w:val="both"/>
        <w:rPr>
          <w:sz w:val="18"/>
          <w:szCs w:val="18"/>
        </w:rPr>
      </w:pPr>
      <w:r w:rsidRPr="00665019">
        <w:rPr>
          <w:sz w:val="18"/>
          <w:szCs w:val="18"/>
        </w:rPr>
        <w:t xml:space="preserve">Zamawiający dopuszcza również rozwiązanie, w którym moduł </w:t>
      </w:r>
      <w:proofErr w:type="spellStart"/>
      <w:r w:rsidRPr="00665019">
        <w:rPr>
          <w:sz w:val="18"/>
          <w:szCs w:val="18"/>
        </w:rPr>
        <w:t>Patch</w:t>
      </w:r>
      <w:proofErr w:type="spellEnd"/>
      <w:r w:rsidRPr="00665019">
        <w:rPr>
          <w:sz w:val="18"/>
          <w:szCs w:val="18"/>
        </w:rPr>
        <w:t xml:space="preserve"> Management/Zarządzanie Aktualizacjami nie zapewnia wsparcia dla następujących dystrybucji systemu Linux: </w:t>
      </w:r>
    </w:p>
    <w:p w14:paraId="3C727EDC" w14:textId="77777777" w:rsidR="00665019" w:rsidRPr="00665019" w:rsidRDefault="00665019" w:rsidP="00665019">
      <w:pPr>
        <w:rPr>
          <w:sz w:val="18"/>
          <w:szCs w:val="18"/>
        </w:rPr>
      </w:pPr>
      <w:r w:rsidRPr="00665019">
        <w:rPr>
          <w:sz w:val="18"/>
          <w:szCs w:val="18"/>
        </w:rPr>
        <w:t xml:space="preserve">• </w:t>
      </w:r>
      <w:proofErr w:type="spellStart"/>
      <w:r w:rsidRPr="00665019">
        <w:rPr>
          <w:sz w:val="18"/>
          <w:szCs w:val="18"/>
        </w:rPr>
        <w:t>CentOS</w:t>
      </w:r>
      <w:proofErr w:type="spellEnd"/>
      <w:r w:rsidRPr="00665019">
        <w:rPr>
          <w:sz w:val="18"/>
          <w:szCs w:val="18"/>
        </w:rPr>
        <w:t xml:space="preserve"> 7 – GA+ (7.2003), </w:t>
      </w:r>
    </w:p>
    <w:p w14:paraId="0F799FA2" w14:textId="77777777" w:rsidR="00665019" w:rsidRPr="00665019" w:rsidRDefault="00665019" w:rsidP="00665019">
      <w:pPr>
        <w:jc w:val="both"/>
        <w:rPr>
          <w:sz w:val="18"/>
          <w:szCs w:val="18"/>
        </w:rPr>
      </w:pPr>
      <w:r w:rsidRPr="00665019">
        <w:rPr>
          <w:sz w:val="18"/>
          <w:szCs w:val="18"/>
        </w:rPr>
        <w:t xml:space="preserve">• Red </w:t>
      </w:r>
      <w:proofErr w:type="spellStart"/>
      <w:r w:rsidRPr="00665019">
        <w:rPr>
          <w:sz w:val="18"/>
          <w:szCs w:val="18"/>
        </w:rPr>
        <w:t>Hat</w:t>
      </w:r>
      <w:proofErr w:type="spellEnd"/>
      <w:r w:rsidRPr="00665019">
        <w:rPr>
          <w:sz w:val="18"/>
          <w:szCs w:val="18"/>
        </w:rPr>
        <w:t xml:space="preserve"> Enterprise Linux RHEL 7 – GA+ (7.1–7.9), przy zachowaniu wsparcia dla pozostałych systemów operacyjnych i funkcjonalności wymaganych w OPZ.</w:t>
      </w:r>
    </w:p>
    <w:p w14:paraId="25336A46" w14:textId="77777777" w:rsidR="00665019" w:rsidRDefault="00665019">
      <w:pPr>
        <w:rPr>
          <w:color w:val="2A6099"/>
          <w:sz w:val="18"/>
          <w:szCs w:val="18"/>
        </w:rPr>
      </w:pPr>
    </w:p>
    <w:p w14:paraId="5D4D000E" w14:textId="6D9FC41C" w:rsidR="00B46937" w:rsidRDefault="00000000">
      <w:pPr>
        <w:rPr>
          <w:color w:val="2A6099"/>
        </w:rPr>
      </w:pPr>
      <w:r>
        <w:rPr>
          <w:color w:val="2A6099"/>
          <w:sz w:val="18"/>
          <w:szCs w:val="18"/>
        </w:rPr>
        <w:t>Pytanie nr 4.</w:t>
      </w:r>
    </w:p>
    <w:p w14:paraId="03CDF8A8" w14:textId="77777777" w:rsidR="00665019" w:rsidRPr="00665019" w:rsidRDefault="00665019" w:rsidP="00665019">
      <w:pPr>
        <w:spacing w:after="0"/>
        <w:jc w:val="both"/>
        <w:rPr>
          <w:sz w:val="18"/>
          <w:szCs w:val="18"/>
        </w:rPr>
      </w:pPr>
      <w:r w:rsidRPr="00665019">
        <w:rPr>
          <w:sz w:val="18"/>
          <w:szCs w:val="18"/>
        </w:rPr>
        <w:t>Pozycja 3 OPZ i Załącznik nr 1A: serwer kopii zapasowych – „duplikacja/</w:t>
      </w:r>
      <w:proofErr w:type="spellStart"/>
      <w:r w:rsidRPr="00665019">
        <w:rPr>
          <w:sz w:val="18"/>
          <w:szCs w:val="18"/>
        </w:rPr>
        <w:t>deduplikacja</w:t>
      </w:r>
      <w:proofErr w:type="spellEnd"/>
      <w:r w:rsidRPr="00665019">
        <w:rPr>
          <w:sz w:val="18"/>
          <w:szCs w:val="18"/>
        </w:rPr>
        <w:t xml:space="preserve">” </w:t>
      </w:r>
    </w:p>
    <w:p w14:paraId="0FC8EF85" w14:textId="77777777" w:rsidR="00665019" w:rsidRDefault="00665019" w:rsidP="00665019">
      <w:pPr>
        <w:spacing w:after="0"/>
        <w:jc w:val="both"/>
        <w:rPr>
          <w:sz w:val="18"/>
          <w:szCs w:val="18"/>
        </w:rPr>
      </w:pPr>
      <w:r w:rsidRPr="00665019">
        <w:rPr>
          <w:sz w:val="18"/>
          <w:szCs w:val="18"/>
        </w:rPr>
        <w:t xml:space="preserve">W dokumentacji postępowania występują niespójne określenia dotyczące pozycji nr 3. W OPZ oraz w Załączniku nr 1A pojawia się sformułowanie „wraz z usługą/licencją do duplikacji”, natomiast w Załączniku nr 1B wskazano „wraz z usługą/licencją do </w:t>
      </w:r>
      <w:proofErr w:type="spellStart"/>
      <w:r w:rsidRPr="00665019">
        <w:rPr>
          <w:sz w:val="18"/>
          <w:szCs w:val="18"/>
        </w:rPr>
        <w:t>deduplikacji</w:t>
      </w:r>
      <w:proofErr w:type="spellEnd"/>
      <w:r w:rsidRPr="00665019">
        <w:rPr>
          <w:sz w:val="18"/>
          <w:szCs w:val="18"/>
        </w:rPr>
        <w:t xml:space="preserve">”. </w:t>
      </w:r>
    </w:p>
    <w:p w14:paraId="4F755344" w14:textId="77777777" w:rsidR="00665019" w:rsidRPr="00665019" w:rsidRDefault="00665019" w:rsidP="00665019">
      <w:pPr>
        <w:spacing w:after="0"/>
        <w:jc w:val="both"/>
        <w:rPr>
          <w:sz w:val="18"/>
          <w:szCs w:val="18"/>
        </w:rPr>
      </w:pPr>
    </w:p>
    <w:p w14:paraId="2A99746B" w14:textId="77777777" w:rsidR="00665019" w:rsidRPr="00665019" w:rsidRDefault="00665019" w:rsidP="00665019">
      <w:pPr>
        <w:jc w:val="both"/>
        <w:rPr>
          <w:sz w:val="18"/>
          <w:szCs w:val="18"/>
        </w:rPr>
      </w:pPr>
      <w:r w:rsidRPr="00665019">
        <w:rPr>
          <w:sz w:val="18"/>
          <w:szCs w:val="18"/>
        </w:rPr>
        <w:t>Prosimy o wyjaśnienie, czy prawidłowym określeniem jest „</w:t>
      </w:r>
      <w:proofErr w:type="spellStart"/>
      <w:r w:rsidRPr="00665019">
        <w:rPr>
          <w:sz w:val="18"/>
          <w:szCs w:val="18"/>
        </w:rPr>
        <w:t>deduplikacja</w:t>
      </w:r>
      <w:proofErr w:type="spellEnd"/>
      <w:r w:rsidRPr="00665019">
        <w:rPr>
          <w:sz w:val="18"/>
          <w:szCs w:val="18"/>
        </w:rPr>
        <w:t xml:space="preserve">”, oraz o ujednolicenie odpowiednich zapisów OPZ i Załącznika nr 1A. </w:t>
      </w:r>
    </w:p>
    <w:p w14:paraId="015460F1" w14:textId="5C140210" w:rsidR="00B46937" w:rsidRDefault="00665019" w:rsidP="00665019">
      <w:pPr>
        <w:jc w:val="both"/>
        <w:rPr>
          <w:sz w:val="18"/>
          <w:szCs w:val="18"/>
        </w:rPr>
      </w:pPr>
      <w:r w:rsidRPr="00665019">
        <w:rPr>
          <w:sz w:val="18"/>
          <w:szCs w:val="18"/>
        </w:rPr>
        <w:t xml:space="preserve">Jeżeli Zamawiający zamierza wymagać w ramach pozycji nr 3 odrębnej usługi lub licencji, prosimy również o jednoznaczne wskazanie, co Zamawiający rozumie przez zapis „wraz z usługą/licencją do </w:t>
      </w:r>
      <w:proofErr w:type="spellStart"/>
      <w:r w:rsidRPr="00665019">
        <w:rPr>
          <w:sz w:val="18"/>
          <w:szCs w:val="18"/>
        </w:rPr>
        <w:t>deduplikacji</w:t>
      </w:r>
      <w:proofErr w:type="spellEnd"/>
      <w:r w:rsidRPr="00665019">
        <w:rPr>
          <w:sz w:val="18"/>
          <w:szCs w:val="18"/>
        </w:rPr>
        <w:t>” i jaki zakres świadczenia ma być objęty tą pozycją.</w:t>
      </w:r>
    </w:p>
    <w:p w14:paraId="65E1191A" w14:textId="42F7AC54" w:rsidR="00665019" w:rsidRDefault="00665019" w:rsidP="00665019">
      <w:pPr>
        <w:rPr>
          <w:color w:val="EE0000"/>
          <w:sz w:val="18"/>
          <w:szCs w:val="18"/>
        </w:rPr>
      </w:pPr>
      <w:r w:rsidRPr="00B60A1F">
        <w:rPr>
          <w:color w:val="EE0000"/>
          <w:sz w:val="18"/>
          <w:szCs w:val="18"/>
        </w:rPr>
        <w:t xml:space="preserve">Odpowiedź na pytanie nr </w:t>
      </w:r>
      <w:r>
        <w:rPr>
          <w:color w:val="EE0000"/>
          <w:sz w:val="18"/>
          <w:szCs w:val="18"/>
        </w:rPr>
        <w:t>4</w:t>
      </w:r>
      <w:r w:rsidRPr="00B60A1F">
        <w:rPr>
          <w:color w:val="EE0000"/>
          <w:sz w:val="18"/>
          <w:szCs w:val="18"/>
        </w:rPr>
        <w:t xml:space="preserve">. </w:t>
      </w:r>
    </w:p>
    <w:p w14:paraId="26FF3F19" w14:textId="43BD7127" w:rsidR="00665019" w:rsidRPr="003B7065" w:rsidRDefault="00665019" w:rsidP="000E0EBD">
      <w:pPr>
        <w:jc w:val="both"/>
        <w:rPr>
          <w:sz w:val="18"/>
          <w:szCs w:val="18"/>
        </w:rPr>
      </w:pPr>
      <w:r w:rsidRPr="003B7065">
        <w:rPr>
          <w:sz w:val="18"/>
          <w:szCs w:val="18"/>
        </w:rPr>
        <w:t xml:space="preserve">Zamawiający wyjaśnia, że zapis „do duplikacji” wynika z błędu pisarskiego, powinno być „do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 xml:space="preserve">”.  Zamawiający rozumie przez ten zapis możliwość instalacji i wdrażania usługi do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 xml:space="preserve"> przez oprogramowanie do kopii zapasowych, które będzie docelowo zainstalowane przez Zmawiającego i zapewni rozwiązanie w zakresie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>.</w:t>
      </w:r>
    </w:p>
    <w:p w14:paraId="23328F66" w14:textId="39D9E6A8" w:rsidR="000E0EBD" w:rsidRDefault="000E0EBD" w:rsidP="000E0EBD">
      <w:pPr>
        <w:jc w:val="both"/>
        <w:rPr>
          <w:sz w:val="18"/>
          <w:szCs w:val="18"/>
        </w:rPr>
      </w:pPr>
      <w:r w:rsidRPr="003B7065">
        <w:rPr>
          <w:sz w:val="18"/>
          <w:szCs w:val="18"/>
        </w:rPr>
        <w:t xml:space="preserve">Zamawiający dokona zmiany zapisu w OPZ pozycja </w:t>
      </w:r>
      <w:r w:rsidRPr="003B7065">
        <w:rPr>
          <w:sz w:val="18"/>
          <w:szCs w:val="18"/>
        </w:rPr>
        <w:t>3</w:t>
      </w:r>
      <w:r w:rsidRPr="003B7065">
        <w:rPr>
          <w:sz w:val="18"/>
          <w:szCs w:val="18"/>
        </w:rPr>
        <w:t xml:space="preserve"> w ten sposób, że: Serwer kopii zapasowych przeznaczony do kopii zapasowych wraz z usługą/licencją do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>.</w:t>
      </w:r>
    </w:p>
    <w:p w14:paraId="53D40A2C" w14:textId="22601C08" w:rsidR="000E0EBD" w:rsidRDefault="000E0EBD" w:rsidP="000E0EBD">
      <w:pPr>
        <w:jc w:val="both"/>
        <w:rPr>
          <w:sz w:val="18"/>
          <w:szCs w:val="18"/>
        </w:rPr>
      </w:pPr>
      <w:r>
        <w:rPr>
          <w:sz w:val="18"/>
          <w:szCs w:val="18"/>
        </w:rPr>
        <w:t>oraz</w:t>
      </w:r>
    </w:p>
    <w:p w14:paraId="4F521044" w14:textId="166D0F08" w:rsidR="000E0EBD" w:rsidRPr="00665019" w:rsidRDefault="000E0EBD" w:rsidP="000E0EBD">
      <w:pPr>
        <w:jc w:val="both"/>
        <w:rPr>
          <w:sz w:val="18"/>
          <w:szCs w:val="18"/>
        </w:rPr>
      </w:pPr>
      <w:r w:rsidRPr="003B7065">
        <w:rPr>
          <w:sz w:val="18"/>
          <w:szCs w:val="18"/>
        </w:rPr>
        <w:t xml:space="preserve">Zamawiający dokona zmiany zapisu w </w:t>
      </w:r>
      <w:r w:rsidRPr="003B7065">
        <w:rPr>
          <w:sz w:val="18"/>
          <w:szCs w:val="18"/>
        </w:rPr>
        <w:t xml:space="preserve">Załączniku nr 1A pozycja nr 3 </w:t>
      </w:r>
      <w:r w:rsidRPr="003B7065">
        <w:rPr>
          <w:sz w:val="18"/>
          <w:szCs w:val="18"/>
        </w:rPr>
        <w:t xml:space="preserve">w ten sposób, że: </w:t>
      </w:r>
      <w:r w:rsidRPr="003B7065">
        <w:rPr>
          <w:sz w:val="18"/>
          <w:szCs w:val="18"/>
        </w:rPr>
        <w:t xml:space="preserve"> </w:t>
      </w:r>
      <w:r w:rsidRPr="003B7065">
        <w:rPr>
          <w:sz w:val="18"/>
          <w:szCs w:val="18"/>
        </w:rPr>
        <w:t xml:space="preserve">Serwer kopii zapasowych przeznaczony do kopii zapasowych wraz z usługą/licencją do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 xml:space="preserve">  - Zakup serwera kopii zapasowych przeznaczonej do kopii zapasowych wraz z usługą/licencją do </w:t>
      </w:r>
      <w:proofErr w:type="spellStart"/>
      <w:r w:rsidRPr="003B7065">
        <w:rPr>
          <w:sz w:val="18"/>
          <w:szCs w:val="18"/>
        </w:rPr>
        <w:t>deduplikacji</w:t>
      </w:r>
      <w:proofErr w:type="spellEnd"/>
      <w:r w:rsidRPr="003B7065">
        <w:rPr>
          <w:sz w:val="18"/>
          <w:szCs w:val="18"/>
        </w:rPr>
        <w:t>.</w:t>
      </w:r>
    </w:p>
    <w:p w14:paraId="4D24EA60" w14:textId="77777777" w:rsidR="00665019" w:rsidRDefault="00665019" w:rsidP="00665019">
      <w:pPr>
        <w:jc w:val="both"/>
        <w:rPr>
          <w:sz w:val="18"/>
          <w:szCs w:val="18"/>
        </w:rPr>
      </w:pPr>
    </w:p>
    <w:p w14:paraId="59B25A21" w14:textId="77777777" w:rsidR="000E0EBD" w:rsidRDefault="000E0EBD" w:rsidP="00665019">
      <w:pPr>
        <w:jc w:val="both"/>
        <w:rPr>
          <w:sz w:val="18"/>
          <w:szCs w:val="18"/>
        </w:rPr>
      </w:pPr>
    </w:p>
    <w:p w14:paraId="1D17BD51" w14:textId="77777777" w:rsidR="00B46937" w:rsidRDefault="00000000">
      <w:pPr>
        <w:rPr>
          <w:color w:val="2A6099"/>
        </w:rPr>
      </w:pPr>
      <w:r>
        <w:rPr>
          <w:color w:val="2A6099"/>
          <w:sz w:val="18"/>
          <w:szCs w:val="18"/>
        </w:rPr>
        <w:lastRenderedPageBreak/>
        <w:t>Pytanie nr 5.</w:t>
      </w:r>
    </w:p>
    <w:p w14:paraId="0CC90B9D" w14:textId="3659AE11" w:rsidR="00665019" w:rsidRPr="00665019" w:rsidRDefault="00665019" w:rsidP="00665019">
      <w:pPr>
        <w:spacing w:after="0"/>
        <w:jc w:val="both"/>
        <w:rPr>
          <w:color w:val="000000"/>
          <w:sz w:val="18"/>
          <w:szCs w:val="18"/>
        </w:rPr>
      </w:pPr>
      <w:r w:rsidRPr="00665019">
        <w:rPr>
          <w:color w:val="000000"/>
          <w:sz w:val="18"/>
          <w:szCs w:val="18"/>
        </w:rPr>
        <w:t xml:space="preserve">Pozycja 6 OPZ: streamer – nośniki LTO8 / LTO9 </w:t>
      </w:r>
    </w:p>
    <w:p w14:paraId="17CF2B21" w14:textId="77777777" w:rsidR="00665019" w:rsidRPr="00665019" w:rsidRDefault="00665019" w:rsidP="00665019">
      <w:pPr>
        <w:spacing w:after="0"/>
        <w:jc w:val="both"/>
        <w:rPr>
          <w:color w:val="000000"/>
          <w:sz w:val="18"/>
          <w:szCs w:val="18"/>
        </w:rPr>
      </w:pPr>
      <w:r w:rsidRPr="00665019">
        <w:rPr>
          <w:color w:val="000000"/>
          <w:sz w:val="18"/>
          <w:szCs w:val="18"/>
        </w:rPr>
        <w:t xml:space="preserve">W pozycji nr 6 OPZ Zamawiający wymaga biblioteki z zainstalowanym napędem LTO8 SAS oraz nośników o pojemności bez kompresji minimum 12 TB każdy. Jednocześnie w wymaganiach dodatkowych wskazano „funkcjonalność kompresji danych z wykorzystaniem nośników LTO9 w stopniu przynajmniej 2,5:1”. </w:t>
      </w:r>
    </w:p>
    <w:p w14:paraId="4FCDE45F" w14:textId="77777777" w:rsidR="00665019" w:rsidRPr="00665019" w:rsidRDefault="00665019" w:rsidP="00665019">
      <w:pPr>
        <w:spacing w:after="0"/>
        <w:jc w:val="both"/>
        <w:rPr>
          <w:color w:val="000000"/>
          <w:sz w:val="18"/>
          <w:szCs w:val="18"/>
        </w:rPr>
      </w:pPr>
    </w:p>
    <w:p w14:paraId="01B64119" w14:textId="77777777" w:rsidR="00665019" w:rsidRPr="00665019" w:rsidRDefault="00665019" w:rsidP="00665019">
      <w:pPr>
        <w:jc w:val="both"/>
        <w:rPr>
          <w:color w:val="000000"/>
          <w:sz w:val="18"/>
          <w:szCs w:val="18"/>
        </w:rPr>
      </w:pPr>
      <w:r w:rsidRPr="00665019">
        <w:rPr>
          <w:color w:val="000000"/>
          <w:sz w:val="18"/>
          <w:szCs w:val="18"/>
        </w:rPr>
        <w:t xml:space="preserve">Czy Zamawiający potwierdza, że wskazanie „LTO9” stanowi omyłkę pisarską i prawidłowy zapis powinien odnosić się do nośników LTO8, dla których również stosowany jest współczynnik kompresji 2,5:1? </w:t>
      </w:r>
    </w:p>
    <w:p w14:paraId="13881D26" w14:textId="47EC00B9" w:rsidR="00B46937" w:rsidRDefault="00665019" w:rsidP="00665019">
      <w:pPr>
        <w:jc w:val="both"/>
        <w:rPr>
          <w:color w:val="000000"/>
          <w:sz w:val="18"/>
          <w:szCs w:val="18"/>
        </w:rPr>
      </w:pPr>
      <w:r w:rsidRPr="00665019">
        <w:rPr>
          <w:color w:val="000000"/>
          <w:sz w:val="18"/>
          <w:szCs w:val="18"/>
        </w:rPr>
        <w:t>Prosimy o odpowiednią zmianę zapisu w OPZ poprzez zastąpienie oznaczenia „LTO9” oznaczeniem „LTO8”.</w:t>
      </w:r>
    </w:p>
    <w:p w14:paraId="65CA32D2" w14:textId="13BA1959" w:rsidR="00665019" w:rsidRDefault="00665019" w:rsidP="00665019">
      <w:pPr>
        <w:rPr>
          <w:color w:val="EE0000"/>
          <w:sz w:val="18"/>
          <w:szCs w:val="18"/>
        </w:rPr>
      </w:pPr>
      <w:r w:rsidRPr="00B60A1F">
        <w:rPr>
          <w:color w:val="EE0000"/>
          <w:sz w:val="18"/>
          <w:szCs w:val="18"/>
        </w:rPr>
        <w:t xml:space="preserve">Odpowiedź na pytanie nr </w:t>
      </w:r>
      <w:r>
        <w:rPr>
          <w:color w:val="EE0000"/>
          <w:sz w:val="18"/>
          <w:szCs w:val="18"/>
        </w:rPr>
        <w:t>5</w:t>
      </w:r>
      <w:r w:rsidRPr="00B60A1F">
        <w:rPr>
          <w:color w:val="EE0000"/>
          <w:sz w:val="18"/>
          <w:szCs w:val="18"/>
        </w:rPr>
        <w:t xml:space="preserve">. </w:t>
      </w:r>
    </w:p>
    <w:p w14:paraId="58CC0568" w14:textId="424A3B44" w:rsidR="00665019" w:rsidRDefault="00665019" w:rsidP="00716FA4">
      <w:pPr>
        <w:spacing w:after="0"/>
        <w:rPr>
          <w:sz w:val="18"/>
          <w:szCs w:val="18"/>
        </w:rPr>
      </w:pPr>
      <w:r w:rsidRPr="00716FA4">
        <w:rPr>
          <w:sz w:val="18"/>
          <w:szCs w:val="18"/>
        </w:rPr>
        <w:t xml:space="preserve">Zamawiający potwierdza, że </w:t>
      </w:r>
      <w:r w:rsidR="00716FA4" w:rsidRPr="00716FA4">
        <w:rPr>
          <w:sz w:val="18"/>
          <w:szCs w:val="18"/>
        </w:rPr>
        <w:t xml:space="preserve">wskazanie nośników LTO9 </w:t>
      </w:r>
      <w:r w:rsidR="00716FA4" w:rsidRPr="00716FA4">
        <w:rPr>
          <w:sz w:val="18"/>
          <w:szCs w:val="18"/>
        </w:rPr>
        <w:t>wynika z błędu pisarskiego</w:t>
      </w:r>
      <w:r w:rsidR="00716FA4" w:rsidRPr="00716FA4">
        <w:rPr>
          <w:sz w:val="18"/>
          <w:szCs w:val="18"/>
        </w:rPr>
        <w:t>, powinno być LTO8. Pozostałe wymagania, w tym współczynnik kompresji 2,5:1 pozostają bez zmian.</w:t>
      </w:r>
    </w:p>
    <w:p w14:paraId="33EF7A81" w14:textId="0B5357BA" w:rsidR="00716FA4" w:rsidRPr="00716FA4" w:rsidRDefault="00716FA4" w:rsidP="00716FA4">
      <w:pPr>
        <w:spacing w:after="0"/>
        <w:jc w:val="both"/>
        <w:rPr>
          <w:sz w:val="18"/>
          <w:szCs w:val="18"/>
        </w:rPr>
      </w:pPr>
      <w:r w:rsidRPr="003B7065">
        <w:rPr>
          <w:sz w:val="18"/>
          <w:szCs w:val="18"/>
        </w:rPr>
        <w:t>Zamawiający dokona zmiany zapisu w OPZ pozycja 6 w ten sposób, że:</w:t>
      </w:r>
      <w:r w:rsidRPr="003B7065">
        <w:rPr>
          <w:sz w:val="18"/>
          <w:szCs w:val="18"/>
        </w:rPr>
        <w:t xml:space="preserve"> </w:t>
      </w:r>
      <w:r w:rsidRPr="003B7065">
        <w:rPr>
          <w:sz w:val="18"/>
          <w:szCs w:val="18"/>
        </w:rPr>
        <w:t>Funkcjonalność kompresji danych z wykorzystaniem nośników LTO</w:t>
      </w:r>
      <w:r w:rsidRPr="003B7065">
        <w:rPr>
          <w:sz w:val="18"/>
          <w:szCs w:val="18"/>
        </w:rPr>
        <w:t>8</w:t>
      </w:r>
      <w:r w:rsidRPr="003B7065">
        <w:rPr>
          <w:sz w:val="18"/>
          <w:szCs w:val="18"/>
        </w:rPr>
        <w:t xml:space="preserve"> w stopniu przynajmniej 2.5:1</w:t>
      </w:r>
    </w:p>
    <w:p w14:paraId="3C4CB50B" w14:textId="77777777" w:rsidR="00665019" w:rsidRDefault="00665019" w:rsidP="00665019">
      <w:pPr>
        <w:jc w:val="both"/>
        <w:rPr>
          <w:color w:val="000000"/>
          <w:sz w:val="18"/>
          <w:szCs w:val="18"/>
        </w:rPr>
      </w:pPr>
    </w:p>
    <w:p w14:paraId="4BC5492C" w14:textId="6DE24470" w:rsidR="00AF5882" w:rsidRDefault="00AF5882" w:rsidP="00AF5882">
      <w:pPr>
        <w:rPr>
          <w:color w:val="2A6099"/>
        </w:rPr>
      </w:pPr>
      <w:r>
        <w:rPr>
          <w:color w:val="2A6099"/>
          <w:sz w:val="18"/>
          <w:szCs w:val="18"/>
        </w:rPr>
        <w:t xml:space="preserve">Pytanie nr </w:t>
      </w:r>
      <w:r>
        <w:rPr>
          <w:color w:val="2A6099"/>
          <w:sz w:val="18"/>
          <w:szCs w:val="18"/>
        </w:rPr>
        <w:t>6</w:t>
      </w:r>
      <w:r>
        <w:rPr>
          <w:color w:val="2A6099"/>
          <w:sz w:val="18"/>
          <w:szCs w:val="18"/>
        </w:rPr>
        <w:t>.</w:t>
      </w:r>
    </w:p>
    <w:p w14:paraId="1F3C4C1B" w14:textId="77777777" w:rsidR="00AF5882" w:rsidRPr="00AF5882" w:rsidRDefault="00AF5882" w:rsidP="00AF5882">
      <w:pPr>
        <w:spacing w:after="0"/>
        <w:jc w:val="both"/>
        <w:rPr>
          <w:color w:val="000000"/>
          <w:sz w:val="18"/>
          <w:szCs w:val="18"/>
        </w:rPr>
      </w:pPr>
      <w:r w:rsidRPr="00AF5882">
        <w:rPr>
          <w:color w:val="000000"/>
          <w:sz w:val="18"/>
          <w:szCs w:val="18"/>
        </w:rPr>
        <w:t xml:space="preserve">Załącznik nr 2A, pozycja 2: macierz dyskowa – sposób wykazania parametrów </w:t>
      </w:r>
    </w:p>
    <w:p w14:paraId="67405E94" w14:textId="77777777" w:rsidR="00AF5882" w:rsidRPr="00AF5882" w:rsidRDefault="00AF5882" w:rsidP="00AF5882">
      <w:pPr>
        <w:spacing w:after="0"/>
        <w:jc w:val="both"/>
        <w:rPr>
          <w:color w:val="000000"/>
          <w:sz w:val="18"/>
          <w:szCs w:val="18"/>
        </w:rPr>
      </w:pPr>
      <w:r w:rsidRPr="00AF5882">
        <w:rPr>
          <w:color w:val="000000"/>
          <w:sz w:val="18"/>
          <w:szCs w:val="18"/>
        </w:rPr>
        <w:t xml:space="preserve">Czy Zamawiający potwierdza, że wskazane w Załączniku nr 2A dokumenty dotyczące kompatybilności, wydajności, licencji, gwarancji, obsługiwanych systemów, funkcji RAID, replikacji, szyfrowania, RBAC i zarządzania mają charakter katalogu dopuszczalnych dokumentów, a nie obowiązku przedłożenia odrębnego dokumentu producenta dla każdego z wymienionych obszarów? </w:t>
      </w:r>
    </w:p>
    <w:p w14:paraId="19190D80" w14:textId="77777777" w:rsidR="00AF5882" w:rsidRDefault="00AF5882" w:rsidP="00AF5882">
      <w:pPr>
        <w:spacing w:after="0"/>
        <w:jc w:val="both"/>
        <w:rPr>
          <w:color w:val="000000"/>
          <w:sz w:val="18"/>
          <w:szCs w:val="18"/>
        </w:rPr>
      </w:pPr>
    </w:p>
    <w:p w14:paraId="2B794B81" w14:textId="5CCF55BD" w:rsidR="00AF5882" w:rsidRDefault="00AF5882" w:rsidP="00AF5882">
      <w:pPr>
        <w:spacing w:after="0"/>
        <w:jc w:val="both"/>
        <w:rPr>
          <w:color w:val="000000"/>
          <w:sz w:val="18"/>
          <w:szCs w:val="18"/>
        </w:rPr>
      </w:pPr>
      <w:r w:rsidRPr="00AF5882">
        <w:rPr>
          <w:color w:val="000000"/>
          <w:sz w:val="18"/>
          <w:szCs w:val="18"/>
        </w:rPr>
        <w:t xml:space="preserve">Treść Załącznika nr 2A stanowi, że „dopuszcza się” dokument producenta dotyczący wymienionych funkcji. Jednocześnie informacje dodatkowe przewidują możliwość złożenia kilku dokumentów ocenianych łącznie oraz potwierdzenia parametrów niewskazanych w dokumentacji oświadczeniem producenta, autoryzowanego przedstawiciela, dystrybutora, importera, integratora albo innym dokumentem równoważnym. </w:t>
      </w:r>
    </w:p>
    <w:p w14:paraId="247CCC09" w14:textId="77777777" w:rsidR="00AF5882" w:rsidRPr="00AF5882" w:rsidRDefault="00AF5882" w:rsidP="00AF5882">
      <w:pPr>
        <w:spacing w:after="0"/>
        <w:jc w:val="both"/>
        <w:rPr>
          <w:color w:val="000000"/>
          <w:sz w:val="18"/>
          <w:szCs w:val="18"/>
        </w:rPr>
      </w:pPr>
    </w:p>
    <w:p w14:paraId="7E8B9EBE" w14:textId="67525161" w:rsidR="00716FA4" w:rsidRDefault="00AF5882" w:rsidP="00AF5882">
      <w:pPr>
        <w:jc w:val="both"/>
        <w:rPr>
          <w:color w:val="000000"/>
          <w:sz w:val="18"/>
          <w:szCs w:val="18"/>
        </w:rPr>
      </w:pPr>
      <w:r w:rsidRPr="00AF5882">
        <w:rPr>
          <w:color w:val="000000"/>
          <w:sz w:val="18"/>
          <w:szCs w:val="18"/>
        </w:rPr>
        <w:t>Prosimy zatem o potwierdzenie, że w przypadku zaoferowania macierzy spełniającej wymagania OPZ dopuszczalne będzie łączne wykazanie parametrów za pomocą karty katalogowej, specyfikacji konfiguracji, dokumentacji funkcjonalnej i gwarancyjnej oraz – wyłącznie w zakresie parametrów niewskazanych w tych materiałach – stosownego oświadczenia uprawnionego podmiotu.</w:t>
      </w:r>
    </w:p>
    <w:p w14:paraId="6217F0E5" w14:textId="3EB5FABF" w:rsidR="00AF5882" w:rsidRDefault="00AF5882" w:rsidP="00AF5882">
      <w:pPr>
        <w:rPr>
          <w:color w:val="EE0000"/>
          <w:sz w:val="18"/>
          <w:szCs w:val="18"/>
        </w:rPr>
      </w:pPr>
      <w:r w:rsidRPr="00B60A1F">
        <w:rPr>
          <w:color w:val="EE0000"/>
          <w:sz w:val="18"/>
          <w:szCs w:val="18"/>
        </w:rPr>
        <w:t xml:space="preserve">Odpowiedź na pytanie nr </w:t>
      </w:r>
      <w:r>
        <w:rPr>
          <w:color w:val="EE0000"/>
          <w:sz w:val="18"/>
          <w:szCs w:val="18"/>
        </w:rPr>
        <w:t>6</w:t>
      </w:r>
      <w:r w:rsidRPr="00B60A1F">
        <w:rPr>
          <w:color w:val="EE0000"/>
          <w:sz w:val="18"/>
          <w:szCs w:val="18"/>
        </w:rPr>
        <w:t xml:space="preserve">. </w:t>
      </w:r>
    </w:p>
    <w:p w14:paraId="5F2E17CD" w14:textId="77777777" w:rsidR="000E0EBD" w:rsidRDefault="000E0EBD" w:rsidP="000E0EBD">
      <w:pPr>
        <w:jc w:val="both"/>
        <w:rPr>
          <w:color w:val="000000"/>
        </w:rPr>
      </w:pPr>
      <w:r>
        <w:rPr>
          <w:sz w:val="18"/>
          <w:szCs w:val="18"/>
        </w:rPr>
        <w:t xml:space="preserve">Zamawiający potwierdza, </w:t>
      </w:r>
      <w:r>
        <w:rPr>
          <w:color w:val="000000"/>
          <w:sz w:val="18"/>
          <w:szCs w:val="18"/>
        </w:rPr>
        <w:t>że w przypadku zaoferowania macierzy spełniającej wymagania OPZ dopuszczalne będzie łączne wykazanie parametrów za pomocą karty katalogowej, specyfikacji konfiguracji, dokumentacji funkcjonalnej i gwarancyjnej oraz – wyłącznie w zakresie parametrów niewskazanych w tych materiałach – stosownego oświadczenia uprawnionego podmiotu.</w:t>
      </w:r>
    </w:p>
    <w:p w14:paraId="2B57B7AC" w14:textId="77777777" w:rsidR="000E0EBD" w:rsidRDefault="000E0EBD" w:rsidP="00AF5882">
      <w:pPr>
        <w:rPr>
          <w:color w:val="EE0000"/>
          <w:sz w:val="18"/>
          <w:szCs w:val="18"/>
        </w:rPr>
      </w:pPr>
    </w:p>
    <w:p w14:paraId="67D2F04D" w14:textId="77777777" w:rsidR="00B46937" w:rsidRDefault="00000000">
      <w:pPr>
        <w:jc w:val="center"/>
        <w:rPr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 w14:paraId="6581F673" w14:textId="69BD4017" w:rsidR="00B46937" w:rsidRDefault="00000000">
      <w:pPr>
        <w:jc w:val="center"/>
        <w:rPr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 xml:space="preserve">Zamawiający jednocześnie informuje, że na stronie internetowej postępowania załączy zaktualizowane załączniki nr 2 i </w:t>
      </w:r>
      <w:r w:rsidR="000E0EBD">
        <w:rPr>
          <w:rFonts w:ascii="Verdana" w:hAnsi="Verdana"/>
          <w:b/>
          <w:bCs/>
          <w:color w:val="000000"/>
          <w:sz w:val="16"/>
          <w:szCs w:val="16"/>
        </w:rPr>
        <w:t>1</w:t>
      </w:r>
      <w:r>
        <w:rPr>
          <w:rFonts w:ascii="Verdana" w:hAnsi="Verdana"/>
          <w:b/>
          <w:bCs/>
          <w:color w:val="000000"/>
          <w:sz w:val="16"/>
          <w:szCs w:val="16"/>
        </w:rPr>
        <w:t>A do SWZ po zmianach w wyniku udzielonych odpowiedzi</w:t>
      </w:r>
    </w:p>
    <w:p w14:paraId="53939C3F" w14:textId="77777777" w:rsidR="00B46937" w:rsidRDefault="00B46937">
      <w:pPr>
        <w:jc w:val="both"/>
      </w:pPr>
    </w:p>
    <w:p w14:paraId="60DDFEAB" w14:textId="77777777" w:rsidR="00B46937" w:rsidRDefault="00B46937">
      <w:pPr>
        <w:jc w:val="both"/>
      </w:pPr>
    </w:p>
    <w:p w14:paraId="3F7FC189" w14:textId="77777777" w:rsidR="00B46937" w:rsidRDefault="00B46937">
      <w:pPr>
        <w:jc w:val="both"/>
      </w:pPr>
    </w:p>
    <w:sectPr w:rsidR="00B46937">
      <w:headerReference w:type="default" r:id="rId8"/>
      <w:footerReference w:type="default" r:id="rId9"/>
      <w:pgSz w:w="11906" w:h="16838"/>
      <w:pgMar w:top="1191" w:right="1134" w:bottom="1135" w:left="1134" w:header="567" w:footer="340" w:gutter="0"/>
      <w:cols w:space="708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B2F2" w14:textId="77777777" w:rsidR="00C776CA" w:rsidRDefault="00C776CA">
      <w:pPr>
        <w:spacing w:after="0" w:line="240" w:lineRule="auto"/>
      </w:pPr>
      <w:r>
        <w:separator/>
      </w:r>
    </w:p>
  </w:endnote>
  <w:endnote w:type="continuationSeparator" w:id="0">
    <w:p w14:paraId="4F9BAB80" w14:textId="77777777" w:rsidR="00C776CA" w:rsidRDefault="00C7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ms Rmn">
    <w:panose1 w:val="02020603040505020304"/>
    <w:charset w:val="EE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213642"/>
      <w:docPartObj>
        <w:docPartGallery w:val="Page Numbers (Top of Page)"/>
        <w:docPartUnique/>
      </w:docPartObj>
    </w:sdtPr>
    <w:sdtContent>
      <w:p w14:paraId="51F8C733" w14:textId="77777777" w:rsidR="00B46937" w:rsidRDefault="00000000"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rFonts w:ascii="Times New Roman" w:hAnsi="Times New Roman"/>
            <w:bCs/>
            <w:sz w:val="16"/>
            <w:szCs w:val="16"/>
          </w:rPr>
          <w:instrText xml:space="preserve"> PAGE </w:instrText>
        </w:r>
        <w:r>
          <w:rPr>
            <w:rFonts w:ascii="Times New Roman" w:hAnsi="Times New Roman"/>
            <w:bCs/>
            <w:sz w:val="16"/>
            <w:szCs w:val="16"/>
          </w:rPr>
          <w:fldChar w:fldCharType="separate"/>
        </w:r>
        <w:r>
          <w:rPr>
            <w:rFonts w:ascii="Times New Roman" w:hAnsi="Times New Roman"/>
            <w:bCs/>
            <w:sz w:val="16"/>
            <w:szCs w:val="16"/>
          </w:rPr>
          <w:t>3</w:t>
        </w:r>
        <w:r>
          <w:rPr>
            <w:rFonts w:ascii="Times New Roman" w:hAnsi="Times New Roman"/>
            <w:bCs/>
            <w:sz w:val="16"/>
            <w:szCs w:val="16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rFonts w:ascii="Times New Roman" w:hAnsi="Times New Roman"/>
            <w:bCs/>
            <w:sz w:val="16"/>
            <w:szCs w:val="16"/>
          </w:rPr>
          <w:instrText xml:space="preserve"> NUMPAGES </w:instrText>
        </w:r>
        <w:r>
          <w:rPr>
            <w:rFonts w:ascii="Times New Roman" w:hAnsi="Times New Roman"/>
            <w:bCs/>
            <w:sz w:val="16"/>
            <w:szCs w:val="16"/>
          </w:rPr>
          <w:fldChar w:fldCharType="separate"/>
        </w:r>
        <w:r>
          <w:rPr>
            <w:rFonts w:ascii="Times New Roman" w:hAnsi="Times New Roman"/>
            <w:bCs/>
            <w:sz w:val="16"/>
            <w:szCs w:val="16"/>
          </w:rPr>
          <w:t>3</w:t>
        </w:r>
        <w:r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3E21" w14:textId="77777777" w:rsidR="00C776CA" w:rsidRDefault="00C776CA">
      <w:pPr>
        <w:spacing w:after="0" w:line="240" w:lineRule="auto"/>
      </w:pPr>
      <w:r>
        <w:separator/>
      </w:r>
    </w:p>
  </w:footnote>
  <w:footnote w:type="continuationSeparator" w:id="0">
    <w:p w14:paraId="6809A265" w14:textId="77777777" w:rsidR="00C776CA" w:rsidRDefault="00C7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03A0" w14:textId="77777777" w:rsidR="00872439" w:rsidRDefault="00872439">
    <w:pPr>
      <w:pStyle w:val="Nagwek"/>
      <w:jc w:val="center"/>
    </w:pPr>
  </w:p>
  <w:p w14:paraId="4036410C" w14:textId="77777777" w:rsidR="00872439" w:rsidRDefault="00872439">
    <w:pPr>
      <w:pStyle w:val="Nagwek"/>
      <w:jc w:val="center"/>
    </w:pPr>
  </w:p>
  <w:p w14:paraId="3D26AD3C" w14:textId="00C5D2D7" w:rsidR="00B46937" w:rsidRDefault="00000000">
    <w:pPr>
      <w:pStyle w:val="Nagwek"/>
      <w:jc w:val="center"/>
    </w:pPr>
    <w:r>
      <w:rPr>
        <w:noProof/>
      </w:rPr>
      <w:drawing>
        <wp:anchor distT="0" distB="0" distL="0" distR="0" simplePos="0" relativeHeight="4" behindDoc="1" locked="0" layoutInCell="0" allowOverlap="1" wp14:anchorId="5087EF66" wp14:editId="09F80D93">
          <wp:simplePos x="0" y="0"/>
          <wp:positionH relativeFrom="page">
            <wp:posOffset>968375</wp:posOffset>
          </wp:positionH>
          <wp:positionV relativeFrom="page">
            <wp:posOffset>297180</wp:posOffset>
          </wp:positionV>
          <wp:extent cx="5602605" cy="37528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55F99"/>
    <w:multiLevelType w:val="multilevel"/>
    <w:tmpl w:val="4D3697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4BC278B"/>
    <w:multiLevelType w:val="multilevel"/>
    <w:tmpl w:val="879A9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3692338">
    <w:abstractNumId w:val="0"/>
  </w:num>
  <w:num w:numId="2" w16cid:durableId="1246375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37"/>
    <w:rsid w:val="000E0EBD"/>
    <w:rsid w:val="003B7065"/>
    <w:rsid w:val="00665019"/>
    <w:rsid w:val="00716FA4"/>
    <w:rsid w:val="00872439"/>
    <w:rsid w:val="00AF5882"/>
    <w:rsid w:val="00B46937"/>
    <w:rsid w:val="00C776CA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6420"/>
  <w15:docId w15:val="{92045347-5A1B-4480-856E-AC1D0234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1C4"/>
    <w:pPr>
      <w:widowControl w:val="0"/>
      <w:spacing w:after="200" w:line="276" w:lineRule="auto"/>
      <w:textAlignment w:val="baseline"/>
    </w:pPr>
  </w:style>
  <w:style w:type="paragraph" w:styleId="Nagwek1">
    <w:name w:val="heading 1"/>
    <w:basedOn w:val="Standard"/>
    <w:next w:val="Textbody"/>
    <w:uiPriority w:val="9"/>
    <w:qFormat/>
    <w:rsid w:val="00864581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/>
      <w:spacing w:before="240" w:after="0" w:line="240" w:lineRule="auto"/>
      <w:ind w:right="152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spacing w:before="240"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/>
      <w:spacing w:before="240" w:after="0" w:line="240" w:lineRule="auto"/>
      <w:ind w:left="770" w:right="-29" w:hanging="770"/>
      <w:outlineLvl w:val="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/>
      <w:spacing w:before="240"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/>
      <w:spacing w:before="240" w:after="0" w:line="240" w:lineRule="auto"/>
      <w:ind w:right="-800"/>
      <w:jc w:val="center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Arial" w:eastAsia="Times New Roman" w:hAnsi="Arial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qFormat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6Znak">
    <w:name w:val="Nagłówek 6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qFormat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czeinternetowe">
    <w:name w:val="Łącze internetowe"/>
    <w:basedOn w:val="Domylnaczcionkaakapitu"/>
    <w:qFormat/>
    <w:rPr>
      <w:color w:val="0000FF"/>
      <w:u w:val="single"/>
    </w:rPr>
  </w:style>
  <w:style w:type="character" w:customStyle="1" w:styleId="TytuZnak">
    <w:name w:val="Tytuł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uiPriority w:val="99"/>
    <w:qFormat/>
    <w:rPr>
      <w:rFonts w:ascii="Times New Roman" w:eastAsia="Times New Roman" w:hAnsi="Times New Roman" w:cs="Times New Roman"/>
      <w:b/>
      <w:sz w:val="14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qFormat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Characters">
    <w:name w:val="Endnote Characters"/>
    <w:qFormat/>
  </w:style>
  <w:style w:type="character" w:customStyle="1" w:styleId="text1">
    <w:name w:val="text1"/>
    <w:qFormat/>
    <w:rPr>
      <w:rFonts w:ascii="Verdana" w:hAnsi="Verdana"/>
      <w:color w:val="000000"/>
      <w:sz w:val="20"/>
      <w:szCs w:val="20"/>
    </w:rPr>
  </w:style>
  <w:style w:type="character" w:customStyle="1" w:styleId="ZwykytekstZnak">
    <w:name w:val="Zwykły tekst Znak"/>
    <w:basedOn w:val="Domylnaczcionkaakapitu"/>
    <w:qFormat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TekstpodstawowyZnak1">
    <w:name w:val="Tekst podstawowy Znak1"/>
    <w:basedOn w:val="Domylnaczcionkaakapitu"/>
    <w:qFormat/>
  </w:style>
  <w:style w:type="character" w:customStyle="1" w:styleId="TekstprzypisudolnegoZnak">
    <w:name w:val="Tekst przypisu dolnego Znak"/>
    <w:basedOn w:val="Domylnaczcionkaakapitu"/>
    <w:qFormat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qFormat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NagwekZnak1">
    <w:name w:val="Nagłówek Znak1"/>
    <w:basedOn w:val="Domylnaczcionkaakapitu"/>
    <w:qFormat/>
  </w:style>
  <w:style w:type="character" w:customStyle="1" w:styleId="AkapitzlistZnak">
    <w:name w:val="Akapit z listą Znak"/>
    <w:uiPriority w:val="34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okbold">
    <w:name w:val="tekst dok. bold"/>
    <w:qFormat/>
    <w:rsid w:val="007819B0"/>
    <w:rPr>
      <w:b/>
      <w:bCs/>
    </w:rPr>
  </w:style>
  <w:style w:type="character" w:styleId="Wyrnieniedelikatne">
    <w:name w:val="Subtle Emphasis"/>
    <w:uiPriority w:val="19"/>
    <w:qFormat/>
    <w:rsid w:val="007819B0"/>
    <w:rPr>
      <w:i/>
      <w:iCs/>
      <w:color w:val="808080"/>
    </w:rPr>
  </w:style>
  <w:style w:type="character" w:styleId="Tekstzastpczy">
    <w:name w:val="Placeholder Text"/>
    <w:basedOn w:val="Domylnaczcionkaakapitu"/>
    <w:uiPriority w:val="99"/>
    <w:semiHidden/>
    <w:qFormat/>
    <w:rsid w:val="00F87B0A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15318"/>
    <w:rPr>
      <w:color w:val="605E5C"/>
      <w:shd w:val="clear" w:color="auto" w:fill="E1DFDD"/>
    </w:rPr>
  </w:style>
  <w:style w:type="character" w:customStyle="1" w:styleId="PUNKTZnak">
    <w:name w:val="PUNKT Znak"/>
    <w:link w:val="PUNKT"/>
    <w:qFormat/>
    <w:rsid w:val="0052487D"/>
    <w:rPr>
      <w:rFonts w:ascii="Times New Roman" w:eastAsia="Times New Roman" w:hAnsi="Times New Roman" w:cs="Times New Roman"/>
      <w:kern w:val="0"/>
      <w:sz w:val="24"/>
      <w:szCs w:val="24"/>
      <w:lang w:val="x-none" w:eastAsia="ar-SA"/>
    </w:rPr>
  </w:style>
  <w:style w:type="character" w:customStyle="1" w:styleId="highlight">
    <w:name w:val="highlight"/>
    <w:basedOn w:val="Domylnaczcionkaakapitu"/>
    <w:qFormat/>
    <w:rsid w:val="005A665A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11336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3B012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6874E6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Standar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Standard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</w:rPr>
  </w:style>
  <w:style w:type="paragraph" w:customStyle="1" w:styleId="Nagwek10">
    <w:name w:val="Nagłówek1"/>
    <w:basedOn w:val="Standard"/>
    <w:next w:val="Tekstpodstawowy"/>
    <w:qFormat/>
    <w:pPr>
      <w:suppressLineNumbers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z w:val="14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</w:style>
  <w:style w:type="paragraph" w:customStyle="1" w:styleId="Textbody">
    <w:name w:val="Text body"/>
    <w:basedOn w:val="Standard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xtbodyindent">
    <w:name w:val="Text body indent"/>
    <w:basedOn w:val="Standard"/>
    <w:qFormat/>
    <w:pPr>
      <w:spacing w:after="0" w:line="240" w:lineRule="auto"/>
      <w:ind w:left="283" w:right="-92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Standard"/>
    <w:qFormat/>
    <w:pPr>
      <w:spacing w:after="0" w:line="240" w:lineRule="auto"/>
      <w:ind w:left="699" w:right="-15" w:hanging="69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Standard"/>
    <w:qFormat/>
    <w:pPr>
      <w:spacing w:after="0" w:line="240" w:lineRule="auto"/>
      <w:ind w:left="1244" w:hanging="124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Standard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Standard"/>
    <w:qFormat/>
    <w:pPr>
      <w:spacing w:after="0" w:line="240" w:lineRule="auto"/>
      <w:ind w:firstLine="5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customStyle="1" w:styleId="Tekstpodstawowywcity1">
    <w:name w:val="Tekst podstawowy wcięty1"/>
    <w:basedOn w:val="Standard"/>
    <w:qFormat/>
    <w:pPr>
      <w:spacing w:after="0" w:line="240" w:lineRule="auto"/>
      <w:ind w:left="180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after="0" w:line="240" w:lineRule="auto"/>
    </w:pPr>
    <w:rPr>
      <w:rFonts w:ascii="Times New Roman" w:eastAsia="Times New Roman" w:hAnsi="Times New Roman" w:cs="Times New Roman"/>
      <w:b/>
      <w:i/>
      <w:iCs/>
      <w:sz w:val="24"/>
      <w:szCs w:val="20"/>
      <w:lang w:eastAsia="pl-PL"/>
    </w:rPr>
  </w:style>
  <w:style w:type="paragraph" w:styleId="Tekstpodstawowy2">
    <w:name w:val="Body Text 2"/>
    <w:basedOn w:val="Standard"/>
    <w:qFormat/>
    <w:pPr>
      <w:spacing w:after="0" w:line="240" w:lineRule="auto"/>
      <w:ind w:right="-1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1">
    <w:name w:val="Tekst podstawowy1"/>
    <w:qFormat/>
    <w:pPr>
      <w:textAlignment w:val="baseline"/>
    </w:pPr>
    <w:rPr>
      <w:rFonts w:ascii="Tms Rmn" w:eastAsia="Times New Roman" w:hAnsi="Tms Rmn" w:cs="Times New Roman"/>
      <w:color w:val="000000"/>
      <w:sz w:val="24"/>
      <w:szCs w:val="20"/>
      <w:lang w:val="en-US" w:eastAsia="pl-PL"/>
    </w:rPr>
  </w:style>
  <w:style w:type="paragraph" w:styleId="Tekstdymka">
    <w:name w:val="Balloon Text"/>
    <w:basedOn w:val="Standard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styleId="Tekstkomentarza">
    <w:name w:val="annotation text"/>
    <w:basedOn w:val="Standard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styleId="Listapunktowana3">
    <w:name w:val="List Bullet 3"/>
    <w:basedOn w:val="Standard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4">
    <w:name w:val="List Bullet 4"/>
    <w:basedOn w:val="Standard"/>
    <w:qFormat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5">
    <w:name w:val="List Bullet 5"/>
    <w:basedOn w:val="Standard"/>
    <w:qFormat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numerowana">
    <w:name w:val="List Number"/>
    <w:basedOn w:val="Standard"/>
    <w:qFormat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Standard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Standard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Standard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Textbody"/>
    <w:pPr>
      <w:spacing w:after="120"/>
      <w:ind w:firstLine="210"/>
      <w:jc w:val="left"/>
    </w:pPr>
    <w:rPr>
      <w:sz w:val="20"/>
    </w:rPr>
  </w:style>
  <w:style w:type="paragraph" w:styleId="Tekstpodstawowyzwciciem2">
    <w:name w:val="Body Text First Indent 2"/>
    <w:basedOn w:val="Textbodyindent"/>
    <w:qFormat/>
    <w:pPr>
      <w:spacing w:after="120"/>
      <w:ind w:left="0" w:right="0" w:firstLine="210"/>
      <w:jc w:val="left"/>
    </w:pPr>
    <w:rPr>
      <w:sz w:val="20"/>
    </w:rPr>
  </w:style>
  <w:style w:type="paragraph" w:styleId="Mapadokumentu">
    <w:name w:val="Document Map"/>
    <w:basedOn w:val="Standard"/>
    <w:qFormat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pPr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">
    <w:name w:val="Znak"/>
    <w:basedOn w:val="Normalny"/>
    <w:qFormat/>
    <w:rsid w:val="00A74FEA"/>
    <w:pPr>
      <w:widowControl/>
      <w:suppressAutoHyphens w:val="0"/>
      <w:spacing w:after="0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styleId="Akapitzlist">
    <w:name w:val="List Paragraph"/>
    <w:basedOn w:val="Standard"/>
    <w:uiPriority w:val="34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Textbody"/>
    <w:qFormat/>
    <w:pPr>
      <w:widowControl w:val="0"/>
      <w:suppressLineNumbers/>
      <w:spacing w:after="120"/>
      <w:jc w:val="left"/>
    </w:pPr>
    <w:rPr>
      <w:rFonts w:eastAsia="Tahoma"/>
    </w:rPr>
  </w:style>
  <w:style w:type="paragraph" w:styleId="NormalnyWeb">
    <w:name w:val="Normal (Web)"/>
    <w:basedOn w:val="Standard"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Standard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awartoramki">
    <w:name w:val="Zawartość ramki"/>
    <w:basedOn w:val="Textbody"/>
    <w:qFormat/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styleId="Bezodstpw">
    <w:name w:val="No Spacing"/>
    <w:qFormat/>
    <w:rPr>
      <w:rFonts w:eastAsia="Calibri"/>
      <w:lang w:eastAsia="zh-CN"/>
    </w:rPr>
  </w:style>
  <w:style w:type="paragraph" w:customStyle="1" w:styleId="Zwykytekst1">
    <w:name w:val="Zwykły tekst1"/>
    <w:basedOn w:val="Normalny"/>
    <w:qFormat/>
    <w:pPr>
      <w:spacing w:after="0" w:line="240" w:lineRule="auto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Poprawka">
    <w:name w:val="Revision"/>
    <w:qFormat/>
  </w:style>
  <w:style w:type="paragraph" w:customStyle="1" w:styleId="Tekstpodstawowy31">
    <w:name w:val="Tekst podstawowy 31"/>
    <w:basedOn w:val="Normalny"/>
    <w:qFormat/>
    <w:pPr>
      <w:widowControl/>
      <w:spacing w:after="0" w:line="240" w:lineRule="auto"/>
      <w:jc w:val="both"/>
      <w:textAlignment w:val="auto"/>
    </w:pPr>
    <w:rPr>
      <w:rFonts w:ascii="Times New Roman" w:eastAsia="MS Mincho" w:hAnsi="Times New Roman" w:cs="Calibri"/>
      <w:kern w:val="0"/>
      <w:sz w:val="24"/>
      <w:szCs w:val="20"/>
      <w:lang w:eastAsia="ar-SA"/>
    </w:rPr>
  </w:style>
  <w:style w:type="paragraph" w:customStyle="1" w:styleId="dtz">
    <w:name w:val="dtz"/>
    <w:basedOn w:val="Normalny"/>
    <w:qFormat/>
    <w:rsid w:val="00B3223D"/>
    <w:pPr>
      <w:widowControl/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B3223D"/>
    <w:pPr>
      <w:widowControl/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">
    <w:name w:val="pkt"/>
    <w:basedOn w:val="Normalny"/>
    <w:qFormat/>
    <w:rsid w:val="007819B0"/>
    <w:pPr>
      <w:widowControl/>
      <w:suppressAutoHyphens w:val="0"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qFormat/>
    <w:rsid w:val="007819B0"/>
    <w:pPr>
      <w:widowControl/>
      <w:spacing w:before="120" w:after="0" w:line="240" w:lineRule="auto"/>
      <w:jc w:val="both"/>
      <w:textAlignment w:val="auto"/>
    </w:pPr>
    <w:rPr>
      <w:rFonts w:ascii="Times New Roman" w:eastAsia="Times New Roman" w:hAnsi="Times New Roman" w:cs="Times New Roman"/>
      <w:b/>
      <w:bCs/>
      <w:kern w:val="0"/>
      <w:sz w:val="25"/>
      <w:szCs w:val="24"/>
      <w:lang w:eastAsia="ar-SA"/>
    </w:rPr>
  </w:style>
  <w:style w:type="paragraph" w:customStyle="1" w:styleId="PUNKT">
    <w:name w:val="PUNKT"/>
    <w:basedOn w:val="Normalny"/>
    <w:link w:val="PUNKTZnak"/>
    <w:qFormat/>
    <w:rsid w:val="0052487D"/>
    <w:pPr>
      <w:widowControl/>
      <w:spacing w:before="120" w:line="300" w:lineRule="atLeast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</w:rPr>
  </w:style>
  <w:style w:type="paragraph" w:customStyle="1" w:styleId="Lista21">
    <w:name w:val="Lista 21"/>
    <w:basedOn w:val="Normalny"/>
    <w:qFormat/>
    <w:rsid w:val="003816E1"/>
    <w:pPr>
      <w:widowControl/>
      <w:spacing w:after="0" w:line="240" w:lineRule="auto"/>
      <w:ind w:left="566" w:hanging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customStyle="1" w:styleId="ust">
    <w:name w:val="ust"/>
    <w:qFormat/>
    <w:rsid w:val="00B75545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unhideWhenUsed/>
    <w:qFormat/>
    <w:rsid w:val="005544B8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1F4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24</cp:revision>
  <cp:lastPrinted>2022-10-17T12:41:00Z</cp:lastPrinted>
  <dcterms:created xsi:type="dcterms:W3CDTF">2026-07-31T07:30:00Z</dcterms:created>
  <dcterms:modified xsi:type="dcterms:W3CDTF">2026-08-14T14:49:00Z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