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20"/>
        <w:jc w:val="right"/>
        <w:rPr/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 xml:space="preserve">ZAŁĄCZNIK NR 2 </w:t>
      </w:r>
    </w:p>
    <w:p>
      <w:pPr>
        <w:pStyle w:val="Normal"/>
        <w:spacing w:lineRule="auto" w:line="276" w:before="0" w:after="120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Lucida Sans Unicode" w:cs="Calibri" w:asciiTheme="minorHAnsi" w:cstheme="minorHAnsi" w:hAnsiTheme="minorHAnsi"/>
          <w:b/>
          <w:b/>
          <w:bCs/>
          <w:kern w:val="2"/>
          <w:sz w:val="20"/>
          <w:szCs w:val="20"/>
          <w:lang w:eastAsia="hi-IN" w:bidi="hi-IN"/>
        </w:rPr>
      </w:pPr>
      <w:r>
        <w:rPr>
          <w:rFonts w:eastAsia="Lucida Sans Unicode" w:cs="Calibri" w:cstheme="minorHAnsi" w:ascii="Calibri" w:hAnsi="Calibri"/>
          <w:b/>
          <w:bCs/>
          <w:kern w:val="2"/>
          <w:sz w:val="20"/>
          <w:szCs w:val="20"/>
          <w:lang w:eastAsia="hi-IN" w:bidi="hi-IN"/>
        </w:rPr>
      </w:r>
    </w:p>
    <w:p>
      <w:pPr>
        <w:pStyle w:val="Normal"/>
        <w:spacing w:lineRule="auto" w:line="276" w:before="0" w:after="120"/>
        <w:rPr>
          <w:rFonts w:ascii="Calibri" w:hAnsi="Calibri" w:eastAsia="Lucida Sans Unicode" w:cs="Calibri" w:asciiTheme="minorHAnsi" w:cstheme="minorHAnsi" w:hAnsiTheme="minorHAnsi"/>
          <w:b/>
          <w:b/>
          <w:bCs/>
          <w:kern w:val="2"/>
          <w:sz w:val="20"/>
          <w:szCs w:val="20"/>
          <w:lang w:eastAsia="hi-IN" w:bidi="hi-IN"/>
        </w:rPr>
      </w:pPr>
      <w:r>
        <w:rPr>
          <w:rFonts w:eastAsia="Lucida Sans Unicode" w:cs="Calibri" w:cstheme="minorHAnsi" w:ascii="Calibri" w:hAnsi="Calibri"/>
          <w:b/>
          <w:bCs/>
          <w:kern w:val="2"/>
          <w:sz w:val="20"/>
          <w:szCs w:val="20"/>
          <w:lang w:eastAsia="hi-IN" w:bidi="hi-IN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Lucida Sans Unicode" w:cs="Calibri" w:asciiTheme="minorHAnsi" w:cstheme="minorHAnsi" w:hAnsiTheme="minorHAnsi"/>
          <w:b/>
          <w:b/>
          <w:bCs/>
          <w:kern w:val="2"/>
          <w:sz w:val="20"/>
          <w:szCs w:val="20"/>
          <w:lang w:eastAsia="hi-IN" w:bidi="hi-IN"/>
        </w:rPr>
      </w:pPr>
      <w:r>
        <w:rPr>
          <w:rFonts w:eastAsia="Lucida Sans Unicode" w:cs="Calibri" w:cstheme="minorHAnsi" w:ascii="Calibri" w:hAnsi="Calibri"/>
          <w:b/>
          <w:bCs/>
          <w:kern w:val="2"/>
          <w:sz w:val="20"/>
          <w:szCs w:val="20"/>
          <w:lang w:eastAsia="hi-IN" w:bidi="hi-IN"/>
        </w:rPr>
      </w:r>
    </w:p>
    <w:p>
      <w:pPr>
        <w:pStyle w:val="Normal"/>
        <w:spacing w:lineRule="auto" w:line="276" w:before="0" w:after="120"/>
        <w:jc w:val="center"/>
        <w:rPr>
          <w:b/>
          <w:b/>
          <w:bCs/>
        </w:rPr>
      </w:pPr>
      <w:r>
        <w:rPr>
          <w:rFonts w:eastAsia="Lucida Sans Unicode" w:cs="Calibri" w:ascii="Calibri" w:hAnsi="Calibri" w:asciiTheme="minorHAnsi" w:cstheme="minorHAnsi" w:hAnsiTheme="minorHAnsi"/>
          <w:b/>
          <w:bCs/>
          <w:i/>
          <w:iCs/>
          <w:kern w:val="2"/>
          <w:lang w:eastAsia="hi-IN" w:bidi="hi-IN"/>
        </w:rPr>
        <w:t>OPIS PRZEDMIOTU ZAMÓWIENIA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ascii="Sylfaen" w:hAnsi="Sylfaen" w:cstheme="minorHAnsi"/>
          <w:b/>
          <w:bCs/>
          <w:color w:val="222222"/>
          <w:sz w:val="22"/>
          <w:szCs w:val="20"/>
        </w:rPr>
        <w:t>„</w:t>
      </w:r>
      <w:r>
        <w:rPr>
          <w:rFonts w:cs="Calibri" w:ascii="Sylfaen" w:hAnsi="Sylfaen" w:cstheme="minorHAnsi"/>
          <w:b/>
          <w:bCs/>
          <w:color w:val="222222"/>
          <w:sz w:val="22"/>
          <w:szCs w:val="20"/>
        </w:rPr>
        <w:t>Podniesienie poziomu cyberbezpieczeństwa systemów IT i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ascii="Sylfaen" w:hAnsi="Sylfaen" w:cstheme="minorHAnsi"/>
          <w:b/>
          <w:bCs/>
          <w:color w:val="222222"/>
          <w:sz w:val="22"/>
          <w:szCs w:val="20"/>
        </w:rPr>
        <w:t>OT w Miejskim Zakładzie Wodociągów i Kanalizacji Sp. z o.o. w Złotowie”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/>
      </w:r>
    </w:p>
    <w:p>
      <w:pPr>
        <w:pStyle w:val="Normal"/>
        <w:jc w:val="center"/>
        <w:rPr>
          <w:color w:val="C9211E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color w:val="C9211E"/>
          <w:sz w:val="24"/>
          <w:szCs w:val="24"/>
        </w:rPr>
        <w:t>AKTUALIZACJA NR 1 Z DNIA 24.08.2026 ROKU</w:t>
      </w:r>
    </w:p>
    <w:p>
      <w:pPr>
        <w:pStyle w:val="Normal"/>
        <w:jc w:val="center"/>
        <w:rPr>
          <w:color w:val="C9211E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color w:val="C9211E"/>
          <w:sz w:val="24"/>
          <w:szCs w:val="24"/>
        </w:rPr>
        <w:t>(ZMIANA ZAZNACZONA W TREŚCI DOKUMENTU KOLOREM CZERWONYM)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agwekspisutreci"/>
            <w:tabs>
              <w:tab w:val="clear" w:pos="708"/>
              <w:tab w:val="left" w:pos="2577" w:leader="none"/>
            </w:tabs>
            <w:ind w:left="0" w:hanging="0"/>
            <w:rPr>
              <w:rFonts w:ascii="Calibri" w:hAnsi="Calibri" w:cs="Calibri" w:asciiTheme="minorHAnsi" w:cstheme="minorHAnsi" w:hAnsiTheme="minorHAnsi"/>
              <w:sz w:val="20"/>
              <w:szCs w:val="20"/>
            </w:rPr>
          </w:pPr>
          <w:r>
            <w:br w:type="page"/>
          </w:r>
          <w:r>
            <w:rPr>
              <w:rFonts w:cs="Calibri" w:ascii="Calibri" w:hAnsi="Calibri" w:asciiTheme="minorHAnsi" w:cstheme="minorHAnsi" w:hAnsiTheme="minorHAnsi"/>
              <w:sz w:val="20"/>
              <w:szCs w:val="20"/>
            </w:rPr>
            <w:t>Spis treści</w:t>
            <w:tab/>
          </w:r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Czeindeksu"/>
              <w:vanish w:val="false"/>
              <w:rFonts w:eastAsia="" w:cs="Arial" w:ascii="Arial" w:hAnsi="Arial"/>
            </w:rPr>
            <w:instrText xml:space="preserve"> TOC \z \o "1-3" \u \h</w:instrText>
          </w:r>
          <w:r>
            <w:rPr>
              <w:webHidden/>
              <w:rStyle w:val="Czeindeksu"/>
              <w:vanish w:val="false"/>
              <w:rFonts w:eastAsia="" w:cs="Arial" w:ascii="Arial" w:hAnsi="Arial"/>
            </w:rPr>
            <w:fldChar w:fldCharType="separate"/>
          </w:r>
          <w:hyperlink w:anchor="_Toc237435070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Centralny system EDR (Endpoint Detection &amp; Response) (20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_Toc237435070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1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systemu EDR (20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_Toc237435071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2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3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Punkty dostępowe klasy enterprise z obsługą WPA3 i centralną kontrolą (4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_Toc237435072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3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4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urządzeń Access Point (4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_Toc237435073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4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5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Serwer NAS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_Toc237435074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5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6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Serwera NAS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_Toc237435075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6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7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Oprogramowanie do obsługi MFA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_Toc237435076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7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8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oprogramowania MFA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_Toc237435077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8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9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Serwer Enterprise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_Toc237435078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79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10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i uruchomienie serwera Enterprise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_Toc237435079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0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11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System Wirtualizacji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_Toc237435080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1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12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wirtualizacji serwera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_Toc237435081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2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13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Oprogramowanie do monitorowania serwerów, stacji roboczych, urządzeń sieciowych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_Toc237435082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3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14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oprogramowania do monitorowania infrastruktury informatycznej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_Toc237435083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4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15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System automatycznego skanowania sieci, serwerów, aplikacji i urządzeń pod kątem podatności bezpieczeństwa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_Toc237435084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5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16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systemu automatycznego skanowania sieci, serwerów, aplikacji i urządzeń pod kątem podatności bezpieczeństwa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_Toc237435085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6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17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Urządzenie UTM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_Toc237435086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7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18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urządzenia UTM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_Toc237435087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8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19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Przełączniki zarządzalne z obsługą VLAN i protokołu 802.1X. (4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_Toc237435088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89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20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Przełączników zarządzalnych z obsługą VLAN i protokołu 802.1X.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_Toc237435089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0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21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Zapora sieciowa UTM klasy przemysłowej dla segmentacji i ochrony sieci OT/ICS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_Toc237435090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1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22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zapory sieciowej UTM klasy przemysłowej dla segmentacji i ochrony sieci OT/ICS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_Toc237435091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2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23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EDR do ochrony stacji roboczych i serwerów OT (3 szt.)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_Toc237435092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3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24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systemu EDR do ochrony stacji roboczych i serwerów OT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_Toc237435093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4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25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System monitorowania infrastruktury OT do analizy logów, zdarzeń i anomalii w środowisku przemysłowym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_Toc237435094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5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26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systemu monitorowania infrastruktury OT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_Toc237435095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6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27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Sondy/sensory do pasywnego monitorowania ruchu i protokołów przemysłowych w sieciach OT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_Toc237435096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30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7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28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Wdrożenie sond/sensorów do pasywnego monitorowania ruchu i protokołów przemysłowych w sieciach OT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_Toc237435097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8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29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Instalacja, konfiguracja i wsparcie techniczne systemu uwierzytelniania i autoryzacji dostępu do sieci RADIUS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_Toc237435098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14:ligatures w14:val="standardContextual"/>
            </w:rPr>
          </w:pPr>
          <w:hyperlink w:anchor="_Toc237435099">
            <w:r>
              <w:rPr>
                <w:webHidden/>
                <w:rStyle w:val="Czeindeksu"/>
                <w:rFonts w:eastAsia="" w:cs="Arial" w:ascii="Arial" w:hAnsi="Arial" w:eastAsiaTheme="majorEastAsia"/>
                <w:vanish w:val="false"/>
              </w:rPr>
              <w:t>30</w:t>
            </w:r>
            <w:r>
              <w:rPr>
                <w:rStyle w:val="Czeindeksu"/>
                <w:rFonts w:eastAsia="" w:cs="" w:ascii="Calibri" w:hAnsi="Calibri" w:asciiTheme="minorHAnsi" w:cstheme="minorBidi" w:eastAsiaTheme="minorEastAsia" w:hAnsiTheme="minorHAnsi"/>
                <w:kern w:val="2"/>
                <w:sz w:val="24"/>
                <w:szCs w:val="24"/>
                <w14:ligatures w14:val="standardContextual"/>
              </w:rPr>
              <w:tab/>
            </w:r>
            <w:r>
              <w:rPr>
                <w:rStyle w:val="Czeindeksu"/>
                <w:rFonts w:eastAsia="" w:eastAsiaTheme="majorEastAsia"/>
              </w:rPr>
              <w:t>instalacja, konfiguracja, wdrożenie i uruchomienie systemu log manager do scentralizowanego gromadzenia, przechowywania, wyszukiwania, analizy i alarmowania zdarzeń logowych z infrastruktury IT/OT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_Toc237435099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</w:rPr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ascii="Calibri" w:hAnsi="Calibri" w:cs="Calibri" w:asciiTheme="minorHAnsi" w:cstheme="minorHAnsi" w:hAnsiTheme="minorHAnsi"/>
              <w:sz w:val="20"/>
              <w:szCs w:val="20"/>
            </w:rPr>
          </w:pPr>
          <w:r>
            <w:rPr>
              <w:rFonts w:cs="Calibri" w:cstheme="minorHAnsi" w:ascii="Calibri" w:hAnsi="Calibri"/>
              <w:sz w:val="20"/>
              <w:szCs w:val="20"/>
            </w:rPr>
          </w:r>
          <w:r>
            <w:rPr>
              <w:sz w:val="20"/>
              <w:szCs w:val="20"/>
              <w:rFonts w:cs="Calibri" w:ascii="Calibri" w:hAnsi="Calibri"/>
            </w:rPr>
            <w:fldChar w:fldCharType="end"/>
          </w:r>
        </w:p>
      </w:sdtContent>
    </w:sdt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0" w:name="_Toc237435070"/>
      <w:r>
        <w:rPr>
          <w:rFonts w:cs="Calibri" w:ascii="Calibri" w:hAnsi="Calibri" w:asciiTheme="minorHAnsi" w:cstheme="minorHAnsi" w:hAnsiTheme="minorHAnsi"/>
          <w:sz w:val="20"/>
          <w:szCs w:val="20"/>
        </w:rPr>
        <w:t>Centralny system EDR (Endpoint Detection &amp; Response) (20 szt.)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Obecnie Zamawiający użytkuję oprogramowanie ESET PROTECT ENTRY o identyfikatorze licencji 3A2-PSA-XNU Dostarczone oprogramowanie musi zostać przedłużone o rok oraz podniesione przynajmniej do wersji ESET PROTECT Enterprise oraz chronić minimum 20 komputery</w:t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" w:name="_Toc237435071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systemu EDR (20 szt.)</w:t>
      </w:r>
      <w:bookmarkEnd w:id="1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Usługa obejmuje podniesienie obecnie użytkowanego rozwiązania z wersji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ESET Endpoint Antivirus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do co najmniej ESET PROTECT Enterprise dla 20 chronionych urządzeń. W ramach wdrożenia Wykonawca:</w:t>
      </w:r>
    </w:p>
    <w:p>
      <w:pPr>
        <w:pStyle w:val="Normal"/>
        <w:numPr>
          <w:ilvl w:val="0"/>
          <w:numId w:val="5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aktualne środowisko ESET oraz stan istniejącej licencji,</w:t>
      </w:r>
    </w:p>
    <w:p>
      <w:pPr>
        <w:pStyle w:val="Normal"/>
        <w:numPr>
          <w:ilvl w:val="0"/>
          <w:numId w:val="5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migrację i aktywację licencji ESET PROTECT Enterprise,</w:t>
      </w:r>
    </w:p>
    <w:p>
      <w:pPr>
        <w:pStyle w:val="Normal"/>
        <w:numPr>
          <w:ilvl w:val="0"/>
          <w:numId w:val="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funkcjonalności EDR dostępne w nowej wersji,</w:t>
      </w:r>
    </w:p>
    <w:p>
      <w:pPr>
        <w:pStyle w:val="Normal"/>
        <w:numPr>
          <w:ilvl w:val="0"/>
          <w:numId w:val="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przypisze ochronę do wszystkich 20 urządzeń objętych licencją,</w:t>
      </w:r>
    </w:p>
    <w:p>
      <w:pPr>
        <w:pStyle w:val="Normal"/>
        <w:numPr>
          <w:ilvl w:val="0"/>
          <w:numId w:val="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poprawność komunikacji agentów z konsolą zarządzającą,</w:t>
      </w:r>
    </w:p>
    <w:p>
      <w:pPr>
        <w:pStyle w:val="Normal"/>
        <w:numPr>
          <w:ilvl w:val="0"/>
          <w:numId w:val="5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 poprawności działania oraz potwierdzi prawidłowe funkcjonowanie systemu po migracji.</w:t>
      </w:r>
    </w:p>
    <w:p>
      <w:pPr>
        <w:pStyle w:val="P3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Wdrożenie zostanie wykonane z zachowaniem ciągłości ochrony stacji roboczych oraz z wykorzystaniem istniejącej infrastruktury Zamawiającego.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" w:name="_Toc237435072"/>
      <w:r>
        <w:rPr>
          <w:rFonts w:cs="Calibri" w:ascii="Calibri" w:hAnsi="Calibri" w:asciiTheme="minorHAnsi" w:cstheme="minorHAnsi" w:hAnsiTheme="minorHAnsi"/>
          <w:sz w:val="20"/>
          <w:szCs w:val="20"/>
        </w:rPr>
        <w:t>Punkty dostępowe klasy enterprise z obsługą WPA3 i centralną kontrolą (4 szt.)</w:t>
      </w:r>
      <w:bookmarkEnd w:id="2"/>
    </w:p>
    <w:tbl>
      <w:tblPr>
        <w:tblW w:w="9497" w:type="dxa"/>
        <w:jc w:val="left"/>
        <w:tblInd w:w="1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775"/>
        <w:gridCol w:w="7721"/>
      </w:tblGrid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Funkcjonalność</w:t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Wymagania minimalne</w:t>
            </w:r>
          </w:p>
        </w:tc>
      </w:tr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Ogólne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P1"/>
              <w:widowControl w:val="false"/>
              <w:spacing w:before="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Punkt dostępowy WiFi przeznaczony do montażu sufitowego lub ściennego, zgodny ze standardem WiFi 7 (IEEE 802.11be). Urządzenie wyposażone w sześć strumieni przestrzennych (2×2 MIMO dla pasm 2,4 GHz, 5 GHz oraz 6 GHz), umożliwiające jednoczesną obsługę ponad 300 klientów. Zasilanie poprzez PoE+.</w:t>
            </w:r>
          </w:p>
        </w:tc>
      </w:tr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Parametry techniczne</w:t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P1"/>
              <w:widowControl w:val="false"/>
              <w:spacing w:before="0" w:after="28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•  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Wymiary: Ø206 × 46 mm</w:t>
              <w:br/>
              <w:t>• Waga: maks. 680 g</w:t>
              <w:br/>
              <w:t>• Interfejs sieciowy: minimum 1 × RJ45 1/2.5 Gigabit Ethernet</w:t>
              <w:br/>
              <w:t>• Standard bezprzewodowy: WiFi 7 (802.11be) z kompatybilnością wsteczną z WiFi 6/6E, WiFi 5 i WiFi 4</w:t>
              <w:br/>
              <w:t>• Liczba strumieni: 6 (2×2 MIMO dla każdego pasma)</w:t>
              <w:br/>
              <w:t>• Maksymalna przepustowość: do 5,8 Gb/s (6 GHz), 4,3 Gb/s (5 GHz), 688 Mb/s (2,4 GHz)</w:t>
              <w:br/>
              <w:t>• Maksymalna moc nadawcza: min. 23 dBm (2,4 GHz i 6 GHz), min. 26 dBm (5 GHz)</w:t>
              <w:br/>
              <w:t>• Zysk anten: minimum 4 dBi (2,4 GHz), 6 dBi (5 GHz), 5,8 dBi (6 GHz)</w:t>
              <w:br/>
              <w:t>• Pokrycie sygnałem: minimum 140 m²</w:t>
              <w:br/>
              <w:t>• Obsługa minimum 300 klientów jednocześnie</w:t>
              <w:br/>
              <w:t>• Maksymalny pobór mocy: 21 W</w:t>
              <w:br/>
              <w:t>• Zakres napięcia zasilania: 44–57 V DC (PoE+)</w:t>
              <w:br/>
              <w:t>• Zestaw montażowy do montażu sufitowego lub ściennego w komplecie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Funkcjonalność</w:t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P1"/>
              <w:widowControl w:val="false"/>
              <w:spacing w:before="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Obsługa Wireless Mesh• Band Steering</w:t>
              <w:br/>
              <w:t>• 802.11r Fast Roaming, 802.11k oraz 802.11v</w:t>
              <w:br/>
              <w:t>• Obsługa sieci gościnnej (Captive Portal)</w:t>
              <w:br/>
              <w:t>• Izolacja klientów i sieci gościnnej</w:t>
              <w:br/>
              <w:t>• Dynamiczne przypisywanie VLAN (Dynamic VLAN)</w:t>
              <w:br/>
              <w:t>• Obsługa PPSK (Private Pre-Shared Key)</w:t>
              <w:br/>
              <w:t>• Integracja z serwerem RADIUS oraz RadSec</w:t>
              <w:br/>
              <w:t>• Harmonogramy działania sieci WiFi</w:t>
              <w:br/>
              <w:t>• Ograniczanie przepustowości klientów</w:t>
            </w:r>
          </w:p>
        </w:tc>
      </w:tr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Odporność i zgodność</w:t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Temperatura pracy: od -30°C do +40°C</w:t>
              <w:br/>
              <w:t>• Wilgotność pracy: 5–95% bez kondensacji</w:t>
              <w:br/>
              <w:t>• Obudowa z poliwęglanu z elementami metalowymi</w:t>
              <w:br/>
              <w:t>• Zgodność z normami CE, FCC, IC oraz NDAA Compliant</w:t>
            </w:r>
          </w:p>
        </w:tc>
      </w:tr>
      <w:tr>
        <w:trPr>
          <w:trHeight w:val="280" w:hRule="atLeast"/>
        </w:trPr>
        <w:tc>
          <w:tcPr>
            <w:tcW w:w="177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Gwarancja producenta</w:t>
            </w:r>
          </w:p>
        </w:tc>
        <w:tc>
          <w:tcPr>
            <w:tcW w:w="772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Calibri" w:hAnsi="Calibri" w:eastAsia="Calibri" w:cs="Calibri" w:asciiTheme="minorHAnsi" w:cstheme="minorHAnsi" w:eastAsia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12 miesięcy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3" w:name="_Toc237435073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urządzeń Access Point (4 szt.)</w:t>
      </w:r>
      <w:bookmarkEnd w:id="3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montaż, konfigurację oraz uruchomienie 4 punktów dostępowych WiFi. W ramach wdrożenia Wykonawca: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urządzenia w lokalizacjach wskazanych przez Zamawiającego,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urządzenia w systemie centralnego zarządzania,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utworzy i skonfiguruje sieci bezprzewodowe zgodnie z wymaganiami Zamawiającego,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parametry bezpieczeństwa oraz dostęp do sieci,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poprawność działania urządzeń, roamingu oraz łączności bezprzewodowej,</w:t>
      </w:r>
    </w:p>
    <w:p>
      <w:pPr>
        <w:pStyle w:val="Normal"/>
        <w:numPr>
          <w:ilvl w:val="0"/>
          <w:numId w:val="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 poprawności działania i przekaże urządzenia do eksploatacji.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4" w:name="_Toc237435074"/>
      <w:r>
        <w:rPr>
          <w:rFonts w:cs="Calibri" w:ascii="Calibri" w:hAnsi="Calibri" w:asciiTheme="minorHAnsi" w:cstheme="minorHAnsi" w:hAnsiTheme="minorHAnsi"/>
          <w:sz w:val="20"/>
          <w:szCs w:val="20"/>
        </w:rPr>
        <w:t>Serwer NAS</w:t>
      </w:r>
      <w:bookmarkEnd w:id="4"/>
    </w:p>
    <w:tbl>
      <w:tblPr>
        <w:tblW w:w="9007" w:type="dxa"/>
        <w:jc w:val="left"/>
        <w:tblInd w:w="1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59"/>
        <w:gridCol w:w="6947"/>
      </w:tblGrid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Funkcjonalność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Wymagania minimalne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Procesor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Procesor czterordzeniowy 64-bitowy o taktowaniu nie niższym niż 2.2GHz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Obudowa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RACK 19" 2U – wraz z kompletem szyn umożliwiającym zamontowanie w szafie RACK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Procesor liczba rdzeni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Nie mniej niż 4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Pamięć RAM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Minimum 4GB DDR4 ECC - RAM tego samego producenta, co serwer NAS.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Pamięć RAM zgodna z listą kompatybilności producenta oferowanego serwera.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160"/>
              <w:contextualSpacing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rozszerzenia RAM do 32GB.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Całkowita liczba gniazd pamięci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2 – jeden slot musi zostać wolny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Liczba zatok na dyski twarde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8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Obsługiwane dyski twarde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3.5" SATA HDD / 2.5" SATA SSD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Zamawiający wymaga dostarczenia minimum 8dysków 3.5” SATA HDD o pojemności 4TB każdy o parametrach nie gorszych niż: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Prędkość obrotowa: 7200 RPM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MTTF/MTBF: 2 000 000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Obciążenie roczne: 550 TB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Gwarancja producenta dysku: 5 lat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aktualizacji oprogramowania dysku z poziomu systemu operacyjnego oferowanego serwera.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160"/>
              <w:contextualSpacing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Dyski zgodne z listą kompatybilności producenta oferowanego serwera.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Możliwość podłączenia modułu rozszerzającego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Tak</w:t>
            </w:r>
          </w:p>
        </w:tc>
      </w:tr>
      <w:tr>
        <w:trPr>
          <w:trHeight w:val="56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Minimalna ilość dysków z opcjonalnymi modułami rozszerzającymi, nie mniej niż: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12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Porty na karty rozszerzeń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en-US"/>
              </w:rPr>
              <w:t>Minimum 1 x Gen3 x8 slot (x4 link)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Porty LAN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Wbudowane min. 4 x RJ-45 1GbE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Min. 2x SFP+ 10GbE, możliwe przez zastosowanie karty rozszerzeń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Porty USB 3.2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2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Port eSATA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1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Zasilanie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Redundantny zasilacz o mocy minimalnej 350W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Mechanizm szyfrowania sprzętowego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Tak, min AES-NI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Wewnętrzny system plików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BTRFS, EXT4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Obsługiwane tryby RAID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JBOD, RAID 0, RAID 1, RAID 5, RAID 6, RAID 10 lub równoważny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Uprawnienia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Uprawnienia listy kontroli dostępu systemu Windows (ACL)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Usługa katalogowa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Łączy się z serwerami Windows® AD/LDAP, umożliwiając użytkownikom domeny logowanie za pośrednictwem protokołów SMB/FTP/WebDAV/File Station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Bezpieczeństwo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Obsługa WORM (Write Once Read Many - jeden zapis, wiele odczytów) dla folderów współdzielonych i migawek, zapora sieciowa, szyfrowanie folderu współdzielonego, szyfrowanie całego woluminu, szyfrowanie SMB, FTP przez SSL/TLS, SFTP, rsync przez SSH, automatyczne blokowanie logowania przy nieuprawnionym dostępie dla protokołów HTTP, HTTPS, SMB, SSH, Telnet, rsync, FTP, obsługa Let's Encrypt, HTTPS (dostosowywane mechanizmy szyfrowania),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dwuetapowa weryfikacja logowania (2FA),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adaptacyjna metoda logowania dla konta administratora (AMFA),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logowania za pomocą klucza sprzętowego w standardzie FIDO2, U2F,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0" w:after="160"/>
              <w:contextualSpacing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grupowanie reguł powiadomień (zdarzenia systemowe) dla różnych adresów e-mail.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Oprogramowanie do kopii zapasowej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Oferowany serwer musi mieć oprogramowanie do kopii zapasowej bez konieczności ponoszenia dodatkowych kosztów.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Minimalne wymagane funkcje oprogramowania do backupu: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kopia zapasowa całego systemu Windows (bare-metal), przywracanie w trybie bare-metal,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kopia zapasowa środowisk MacOS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kopia zapasowa maszyn wirtualnych (VMware, Hyper-V)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kopia zapasowa serwerów fizycznych (Windows, Linux)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obsługa deduplikacji, kopii przyrostowej, kompresji i szyfrowania,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obsługa wielu wersji i retencji,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możliwość wyzwalania kopii zapasowej według harmonogramu,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obsługa klastra przełączania awaryjnego Microsoft Hyper-V min. 2022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automatyczna weryfikacja utworzonych kopii zapasowych maszyn wirtualnych i serwerów fizycznych, za pomocą utworzonego nagrania wideo z odtworzenia w formie maszyny wirtualnej,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centralne zarządzanie,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eastAsia="en-US"/>
              </w:rPr>
              <w:t>konfiguracja nowych i edycja istniejących zadań kopii zapasowej wielu komputerów i serwerów fizycznych z poziomu jednej centralnej konsoli zarządzającej, w tym minimum w zakresie liczby i czasu przechowywanych wersji, harmonogramu i woluminów objętych backupem dla poszczególnych zadań,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portal użytkownika do przywracania danych kopii zapasowej (bez uprawnień administratora),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delegowanie uprawnień do zarządzania kopią zapasową i przywracaniem dla użytkowników bez uprawnień administratora,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MS Mincho" w:cs="Calibri" w:asciiTheme="minorHAnsi" w:cstheme="minorHAnsi" w:hAnsiTheme="minorHAnsi"/>
                <w:sz w:val="20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kopia zapasowa usług chmur publicznych Microsoft 365 i Google Workspace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Oprogramowanie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Urządzenie musi umożliwiać utworzenie przestrzeni dyskowej w oparciu o nowoczesny system plików, który będzie zapewniał obsługę migawek, generowania sum kontrolnych, a także lustrzanych kopii metadanych, aby zapewnić całkowitą integralność danych biznesowych. Dodatkowo wspomniany system musi wspierać ustawienie limitu dla folderów współdzielonych oraz szybkie klonowanie całych folderów udostępnionych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Wymaga się zapewnienia darmowej aplikacji do realizacji chmury prywatnej bez opłat cyklicznych, która będzie posiadała wygodną konsolę administratora zarządzaną z GUI a także agenty na urządzenia PC/MAC oraz aplikację mobilną na Android/iOS. Usługa powinna umożliwiać udostępnianie zasobów serwera NAS, synchronizację i tworzenie kopii zapasowych podłączonych urządzeń. Ponadto omawiana usługa powinna umożliwiać pracę z dokumentami biurowymi (edytor tekstowy, arkusz kalkulacyjny, pokaz slajdów) i wspierać wersjonowanie oraz edycję tworzonych plików biurowych jednocześnie przez wielu użytkowników.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Możliwość tworzenia klastra wysokiej dostępności (HA) z dwóch identycznych serwerów, bez widocznych zmian w użytkowaniu (konfiguracja jako jeden spójny system), z funkcją automatycznego przełączania dostępu do usług i danych na serwer pasywny w przypadku awarii serwera aktywnego.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Możliwość tworzenia kopii zapasowej danych z serwera na zewnętrzne dyski twarde (USB), do chmur publicznych i serwera rsync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Obsługa minimum 256 migawek na folder współdzielony i 4096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Funkcja serwera VPN (OpenVPN, L2TP/IPSec i PPTP) dla minimum 30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jednoczesnych połączeń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Gwarancja producenta serwera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3 lata gwarancji świadczonej przez autoryzowany serwis producenta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5" w:name="_Toc237435075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Serwera NAS</w:t>
      </w:r>
      <w:bookmarkEnd w:id="5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montaż, konfigurację oraz uruchomienie serwera NAS wraz z zainstalowanymi dyskami twardymi. W ramach wdrożenia Wykonawca: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serwer w szafie RACK Zamawiającego wraz z kompletem szyn montażowych,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oraz skonfiguruje dostarczone dyski twarde,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przestrzeń dyskową oraz macierz RAID zgodnie z wymaganiami Zamawiającego,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woluminy, foldery współdzielone oraz uprawnienia dostępu,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zintegruje serwer z usługą katalogową Active Directory lub LDAP (jeżeli jest wykorzystywana przez Zamawiającego),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podstawowe mechanizmy bezpieczeństwa, w tym szyfrowanie, migawki, zaporę sieciową oraz uwierzytelnianie wieloskładnikowe, jeżeli będą wykorzystywane,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oprogramowanie do wykonywania kopii zapasowych oraz harmonogramy backupu zgodnie z wymaganiami Zamawiającego,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aktualizację oprogramowania systemowego i firmware do aktualnych wersji producenta,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 test poprawności działania urządzenia, macierzy RAID, usług sieciowych oraz dostępu do zasobów,</w:t>
      </w:r>
    </w:p>
    <w:p>
      <w:pPr>
        <w:pStyle w:val="Normal"/>
        <w:numPr>
          <w:ilvl w:val="0"/>
          <w:numId w:val="1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urządzenie do eksploatacji wraz z podstawową dokumentacją powdrożeniową.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6" w:name="_Toc237435076"/>
      <w:r>
        <w:rPr>
          <w:rFonts w:cs="Calibri" w:ascii="Calibri" w:hAnsi="Calibri" w:asciiTheme="minorHAnsi" w:cstheme="minorHAnsi" w:hAnsiTheme="minorHAnsi"/>
          <w:sz w:val="20"/>
          <w:szCs w:val="20"/>
        </w:rPr>
        <w:t>Oprogramowanie do obsługi MFA</w:t>
      </w:r>
      <w:bookmarkEnd w:id="6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5000" w:type="pct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22"/>
        <w:gridCol w:w="6947"/>
      </w:tblGrid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Funkcjonalność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bottom"/>
          </w:tcPr>
          <w:p>
            <w:pPr>
              <w:pStyle w:val="ListParagraph"/>
              <w:widowControl w:val="false"/>
              <w:spacing w:before="0" w:after="16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Cs w:val="20"/>
              </w:rPr>
              <w:t>Wymagania minimalne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Ogólne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zawierać konsolę administracyjną dostępną z poziomu przeglądarki internetowej umożliwiającą administratorowi jego konfigurację oraz zarządzanie.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Dostęp do konsoli administracyjnej systemu musi być chroniony uwierzytelnianiem wieloskładnikowym, z możliwością ograniczenia konieczności potwierdzania żądania uwierzytelnienia wieloskładnikowego czynnikiem niepodatnym na ataki phishingowe (np. kluczem sprzętowym typu FIDO2/U2F).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samodzielną rejestrację i zarządzanie uwierzytelniaczami (tokenami uwierzytelniającymi) przez użytkowników.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 konsoli administracyjnej rejestrację przez administratora uwierzytelniaczy w postaci sprzętowych kluczy typu FIDO2/U2F dla określonych użytkowników. System musi również umożliwiać zarządzanie zarejestrowanymi uwierzytelniaczami tego typu oraz wyświetlanie szczegółowych informacji na ich temat, w tym adresu IP, z którego dokonano rejestracji, AAGUID, algorytmu COSE oraz licznika podpisów.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 potwierdzenie żądania uwierzytelnienia wieloskładnikowego poprzez zareagowanie na spersonalizowane powiadomienie wysyłane na urządzenie mobilne użytkownika (mobilne systemy operacyjne iOS, Android oraz Harmony OS).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potwierdzenie żądania uwierzytelnienia wieloskładnikowego poprzez wpisanie kodu jednorazowego pochodzącego z dowolnej aplikacji generującej kody jednorazowe zgodnie ze standardem TOTP (RFC 6238). Przykładami takich aplikacji są Microsoft Authenticator oraz Google Authenticator.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 potwierdzenie żądania uwierzytelniania wieloskładnikowego poprzez wpisanie kodu jednorazowego wysłanego na numer telefonu użytkownika w postaci wiadomości SMS.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wspierać możliwość potwierdzenia żądania uwierzytelnienia wieloskładnikowego poprzez kliknięcie w link wysłany na numer telefonu użytkownika w postaci wiadomości SMS.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zebranie zgody użytkownika na wysyłkę wiadomości uwierzytelniających poprzez SMS na numer telefonu użytkownika.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wyświetlanie w konsoli administracyjnej informacji o udzielonej zgodzie od użytkownika na wysyłkę wiadomości uwierzytelniających poprzez SMS na wskazany numer telefonu.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wspierać możliwość potwierdzenia żądania uwierzytelnienia wieloskładnikowego przy pomocy mobilnej aplikacji uwierzytelniającej, do której dostęp może być zabezpieczony przy pomocy blokady biometrycznej w postaci odcisku palca lub skanu twarzy, jeśli urządzenie mobilne użytkownika posiada taką techniczną możliwość.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wspierać możliwość potwierdzenia żądania uwierzytelniania wieloskładnikowego poprzez zareagowanie na połączenie telefoniczne nawiązane przez System na stacjonarny lub mobilny numer telefonu użytkownika.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zakładanie kont administratorów mających dostęp do konsoli administracyjnej wraz z przypisaniem im roli stosownej do zakresu obowiązków danego administratora.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identyfikowanie użytkowników po aliasach.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udzielanie dostępu do określonych chronionych rozwiązań informatycznych tylko wybranym grupom użytkowników.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wygaszać sesję administratora w konsoli administracyjnej w przypadku nieaktywności administratora.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 przeszukiwanie list zarejestrowanych przez użytkowników numerów telefonów oraz kluczy sprzętowych.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zapewnić reguły lub polityki zarządzania żądaniami uwierzytelnienia użytkowników w oparciu o zdefiniowane parametry, co najmniej takie jak: grupa, chroniony zasób, lokalizacja (kraj) użytkownika oraz adres IP użytkownika. System powinien umożliwiać przypisywanie różnych reguł lub polityk indywidualnie do każdej chronionej aplikacji, w zależności od przynależności użytkownika do określonej grupy użytkowników.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wygenerowanie tymczasowego kodu dostępowego dla wskazanego użytkownika w przypadku niedostępności uwierzytelniacza, np. zagubienia klucza uwierzytelniającego.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zapewnić logowanie żądań uwierzytelniania użytkowników. System musi umożliwiać pobieranie logów w formacie CSV lub poprzez API.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zapewnić logowanie zdarzeń związanych z obsługą Systemu (wprowadzanie zmian w konfiguracji i politykach, logowanie działań administratorów). System musi umożliwiać pobieranie logów w formacie CSV lub poprzez API.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posiadać API (pol.: Interfejs Programowania Aplikacji) umożliwiające zarządzanie co najmniej użytkownikami oraz pobieranie logów.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zapewnić interfejs użytkownika dokonującego uwierzytelniania do chronionych aplikacji w j. polskim.</w:t>
            </w:r>
          </w:p>
          <w:p>
            <w:pPr>
              <w:pStyle w:val="Normal"/>
              <w:widowControl w:val="false"/>
              <w:spacing w:lineRule="auto" w:line="252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Integracje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zapewniać możliwość uruchomienia uwierzytelniania wieloskładnikowego dla rozwiązań uwierzytelniających użytkowników ze źródeł Active Directory (LDAP, LDAPS) i RADIUS.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zapewniać możliwość wykonywania uwierzytelniania wieloskładnikowego dla logowania do stacji roboczych z systemem operacyjnym Microsoft Windows 7 i nowszymi wersjami, oraz do serwerów z systemem operacyjnym Microsoft Windows Server 2008 R2 i nowszymi wersjami. W przypadku braku połączenia z Internetem musi być możliwe wykonanie uwierzytelnienia wieloskładnikowego przynajmniej w postaci jednorazowego hasła (One-Time Password, OTP).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zapewniać możliwość wykonywania uwierzytelniania wieloskładnikowego przy pomocy sprzętowego klucza zgodnego ze standardem FIDO2 dla logowania do stacji roboczych z systemem operacyjnym Microsoft Windows, oraz poprzez RDP do serwerów z systemem operacyjnym Microsoft Windows Server.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zapewniać możliwość wykonywania uwierzytelniania wieloskładnikowego przy użyciu karty RFID dla logowania do stacji roboczych z systemem operacyjnym Microsoft Windows oraz dla logowania poprzez RDP do serwerów z systemem operacyjnym Microsoft Windows Server.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wykonywanie uwierzytelniania wieloskładnikowego dla technologii: Microsoft Outlook Web App (OWA), Microsoft Remote Desktop Gateway/Web Access/Web Client/Web Feed oraz Microsoft Active Directory Federation Services (AD FS).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wykonywanie uwierzytelniania wieloskładnikowego dla połączeń przez protokół Remote Desktop Protocol (RDP).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wykonywanie uwierzytelniania wieloskładnikowego dla połączeń SSH do systemów Linux.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wykonywanie uwierzytelniania wieloskładnikowego dla dostępu do rozwiązań VPN w oparciu o protokoły RADIUS i LDAP.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wykonywanie uwierzytelniania wieloskładnikowego dla dostępu do urządzeń sieciowych (routery, switche, zapory sieciowe) w oparciu o protokoły RADIUS i LDAP.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integrację z oprogramowaniem własnym poprzez zastosowanie Software Development Kit (SDK), np. dla oprogramowania .NET, Java, PHP, które umożliwi wykonywanie uwierzytelniania wieloskładnikowego w tym oprogramowaniu.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System musi umożliwiać jednostronną synchronizację użytkowników ze źródeł Microsoft Active Directory, OpenLDAP oraz Microsoft Entra ID.</w:t>
            </w:r>
          </w:p>
          <w:p>
            <w:pPr>
              <w:pStyle w:val="ListParagraph"/>
              <w:widowControl w:val="false"/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cstheme="minorHAnsi" w:ascii="Calibri" w:hAnsi="Calibri"/>
                <w:szCs w:val="20"/>
              </w:rPr>
            </w:r>
          </w:p>
        </w:tc>
      </w:tr>
      <w:tr>
        <w:trPr>
          <w:trHeight w:val="746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Wymagania licencyjne oraz gwarancyjne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Oferent jest zobowiązany do dostarczenia oświadczenia Producenta Systemu potwierdzającego, że Oferent jest Autoryzowanym Partnerem Producenta Systemu.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Oferent jest zobowiązany do dostarczenia oświadczenia Producenta Systemu potwierdzającego, że w przypadku zaprzestania działalności Oferenta (likwidacji, upadłości lub innych przyczyn uniemożliwiających realizację wsparcia technicznego), Producent przejmie zobowiązanie wsparcia technicznego na rzecz Zamawiającego.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Oferowany System musi istnieć na rynku co najmniej przez okres 3 lat oraz posiadać wsparcie techniczne w języku polskim.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Producentem Systemu musi być podmiot posiadający siedzibę w Unii Europejskiej.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Producent Systemu musi posiadać wdrożony system zarządzania bezpieczeństwem informacji, potwierdzony ważnym certyfikatem zgodności z normą ISO/IEC 27001:2023 lub normą równoważną, obejmujący projektowanie i wytwarzanie oprogramowania, bezpieczeństwo informacji oraz ciągłość działania.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pacing w:lineRule="auto" w:line="276" w:before="0" w:after="200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</w:rPr>
              <w:t>W ramach przedmiotu zamówienia Wykonawca zobowiązuje się udzielić lub zapewnić udzielenie wszelkich licencji wymaganych do prawidłowego działania Systemu, jako całości, jak i poszczególnych jego elementów, dla maksymalnie 20 użytkowników, na okres 12 miesięcy, oraz dostarczyć Oprogramowanie niezbędne do uruchomienia Systemu.</w:t>
            </w:r>
          </w:p>
          <w:p>
            <w:pPr>
              <w:pStyle w:val="Normal"/>
              <w:widowControl w:val="false"/>
              <w:spacing w:lineRule="auto" w:line="252"/>
              <w:rPr>
                <w:rFonts w:ascii="Calibri" w:hAnsi="Calibri" w:cs="Calibri" w:asciiTheme="minorHAnsi" w:cstheme="minorHAnsi" w:hAnsiTheme="minorHAnsi"/>
                <w:bCs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Cs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7" w:name="_Toc237435077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oprogramowania MFA</w:t>
      </w:r>
      <w:bookmarkEnd w:id="7"/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instalację, konfigurację oraz uruchomienie systemu uwierzytelniania wieloskładnikowego (MFA). W ramach wdrożenia Wykonawca:</w:t>
      </w:r>
    </w:p>
    <w:p>
      <w:pPr>
        <w:pStyle w:val="Normal"/>
        <w:numPr>
          <w:ilvl w:val="0"/>
          <w:numId w:val="14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system MFA,</w:t>
      </w:r>
    </w:p>
    <w:p>
      <w:pPr>
        <w:pStyle w:val="Normal"/>
        <w:numPr>
          <w:ilvl w:val="0"/>
          <w:numId w:val="14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zintegruje rozwiązanie z usługą katalogową wykorzystywaną przez Zamawiającego (np. Active Directory lub LDAP), jeżeli jest stosowana,</w:t>
      </w:r>
    </w:p>
    <w:p>
      <w:pPr>
        <w:pStyle w:val="Normal"/>
        <w:numPr>
          <w:ilvl w:val="0"/>
          <w:numId w:val="1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polityki uwierzytelniania wieloskładnikowego zgodnie z wymaganiami Zamawiającego,</w:t>
      </w:r>
    </w:p>
    <w:p>
      <w:pPr>
        <w:pStyle w:val="Normal"/>
        <w:numPr>
          <w:ilvl w:val="0"/>
          <w:numId w:val="1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metody uwierzytelniania dla użytkowników oraz administratorów,</w:t>
      </w:r>
    </w:p>
    <w:p>
      <w:pPr>
        <w:pStyle w:val="Normal"/>
        <w:numPr>
          <w:ilvl w:val="0"/>
          <w:numId w:val="1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rejestrację i aktywację użytkowników objętych wdrożeniem,</w:t>
      </w:r>
    </w:p>
    <w:p>
      <w:pPr>
        <w:pStyle w:val="Normal"/>
        <w:numPr>
          <w:ilvl w:val="0"/>
          <w:numId w:val="1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zabezpieczeń dostępu do wskazanych usług i systemów,</w:t>
      </w:r>
    </w:p>
    <w:p>
      <w:pPr>
        <w:pStyle w:val="Normal"/>
        <w:numPr>
          <w:ilvl w:val="0"/>
          <w:numId w:val="1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testy poprawności logowania oraz działania mechanizmów MFA,</w:t>
      </w:r>
    </w:p>
    <w:p>
      <w:pPr>
        <w:pStyle w:val="Normal"/>
        <w:numPr>
          <w:ilvl w:val="0"/>
          <w:numId w:val="14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oprogramowanie do aktualnej wersji producenta oraz przekaże system do eksploatacji.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8" w:name="_Toc237435078"/>
      <w:r>
        <w:rPr>
          <w:rFonts w:cs="Calibri" w:ascii="Calibri" w:hAnsi="Calibri" w:asciiTheme="minorHAnsi" w:cstheme="minorHAnsi" w:hAnsiTheme="minorHAnsi"/>
          <w:sz w:val="20"/>
          <w:szCs w:val="20"/>
        </w:rPr>
        <w:t>Serwer Enterprise</w:t>
      </w:r>
      <w:bookmarkEnd w:id="8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5000" w:type="pct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22"/>
        <w:gridCol w:w="6947"/>
      </w:tblGrid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Funkcjonalność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bottom"/>
          </w:tcPr>
          <w:p>
            <w:pPr>
              <w:pStyle w:val="ListParagraph"/>
              <w:widowControl w:val="false"/>
              <w:spacing w:before="0" w:after="16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Cs w:val="20"/>
              </w:rPr>
              <w:t>Wymagania minimalne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Obudowa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Obudowa Rack o wysokości max 1U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8 slotów na dyski 2.5” SAS/SATA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Obudowa wyposażona w ramkę chroniącą dyski przed nieuprawnionym dostępem.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Płyta główna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Płyta główna z możliwością zainstalowania do dwóch procesorów.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Obsługa procesorów 144 rdzeniowych.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Płyta główna musi być zaprojektowana przez producenta serwera i oznaczona jego znakiem firmowym.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Na płycie głównej powinny znajdować się minimum 32 sloty przeznaczone do instalacji pamięci.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Płyta główna powinna obsługiwać do 8TB pamięci RAM.</w:t>
            </w:r>
          </w:p>
        </w:tc>
      </w:tr>
      <w:tr>
        <w:trPr>
          <w:trHeight w:val="746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Chipset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bCs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Cs w:val="20"/>
              </w:rPr>
              <w:t>Dedykowany przez producenta procesora do pracy w serwerach dwuprocesorowych.</w:t>
            </w:r>
          </w:p>
        </w:tc>
      </w:tr>
      <w:tr>
        <w:trPr>
          <w:trHeight w:val="710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Procesor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30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Zainstalowane dwa procesory min. 16-rdzeniowe, min. 2.3GHz, klasy x86 dedykowane do pracy z zaoferowanym serwerem umożliwiające osiągnięcie wyniku min. 245 w teście SPECspeed®2017_fp_base, dostępnym na stronie www.spec.org dla konfiguracji dwuprocesorowej oferowanego serwera.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RAM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512GB DDR5 RDIMM 6400MT/s,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Kontroler RAID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Sprzętowy kontroler dyskowy, posiadający</w:t>
            </w:r>
          </w:p>
          <w:p>
            <w:pPr>
              <w:pStyle w:val="ListParagraph"/>
              <w:widowControl w:val="false"/>
              <w:numPr>
                <w:ilvl w:val="1"/>
                <w:numId w:val="21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Min. 8GB nieulotnej pamięci cache,</w:t>
            </w:r>
          </w:p>
          <w:p>
            <w:pPr>
              <w:pStyle w:val="ListParagraph"/>
              <w:widowControl w:val="false"/>
              <w:numPr>
                <w:ilvl w:val="1"/>
                <w:numId w:val="21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Możliwość konfiguracji poziomów RAID: 0, 1, 5, 6, 10, 50, 60.</w:t>
            </w:r>
          </w:p>
          <w:p>
            <w:pPr>
              <w:pStyle w:val="ListParagraph"/>
              <w:widowControl w:val="false"/>
              <w:numPr>
                <w:ilvl w:val="1"/>
                <w:numId w:val="21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Wsparcie dla dysków samoszyfrujących</w:t>
            </w:r>
          </w:p>
          <w:p>
            <w:pPr>
              <w:pStyle w:val="ListParagraph"/>
              <w:widowControl w:val="false"/>
              <w:numPr>
                <w:ilvl w:val="1"/>
                <w:numId w:val="21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Obsługa dysków 22.5 Gbps SAS, 12 Gbps SAS, and 6 Gbps SATA/SAS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Dyski twarde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30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szCs w:val="20"/>
                <w:lang w:val="de-DE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  <w:lang w:val="de-DE"/>
              </w:rPr>
              <w:t>Zainstalowane:</w:t>
            </w:r>
          </w:p>
          <w:p>
            <w:pPr>
              <w:pStyle w:val="ListParagraph"/>
              <w:widowControl w:val="false"/>
              <w:numPr>
                <w:ilvl w:val="1"/>
                <w:numId w:val="30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szCs w:val="20"/>
                <w:lang w:val="de-DE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  <w:lang w:val="de-DE"/>
              </w:rPr>
              <w:t>dyski SSD SATA o przepustowości interfejsu minimum 6 Gb/s, skonfigurowane w macierzy RAID 6, zapewniającej odporność na jednoczesną awarię co najmniej dwóch dysków oraz przestrzeń użytkową o pojemności minimum 5 TB,</w:t>
            </w:r>
          </w:p>
          <w:p>
            <w:pPr>
              <w:pStyle w:val="ListParagraph"/>
              <w:widowControl w:val="false"/>
              <w:numPr>
                <w:ilvl w:val="1"/>
                <w:numId w:val="30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trike/>
                <w:szCs w:val="20"/>
                <w:lang w:val="de-DE"/>
              </w:rPr>
            </w:pPr>
            <w:r>
              <w:rPr>
                <w:rFonts w:cs="Calibri" w:ascii="Calibri" w:hAnsi="Calibri" w:asciiTheme="minorHAnsi" w:cstheme="minorHAnsi" w:hAnsiTheme="minorHAnsi"/>
                <w:strike/>
                <w:color w:val="000000"/>
                <w:szCs w:val="20"/>
              </w:rPr>
              <w:t>dwa dyski M.2 NVMe SSD o pojemności min. 480GB Hot-Plug z możliwością konfiguracji RAID 1.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color w:val="FF0000"/>
                <w:szCs w:val="20"/>
              </w:rPr>
              <w:t>dwa dyski SSD o pojemności minimum 480 GB każdy, wykonane w technologii M.2 NVMe, SATA lub SAS, z możliwością wymiany w trybie Hot-Plug, przeznaczone na potrzeby systemu operacyjnego i skonfigurowane w macierzy RAID 1.</w:t>
            </w:r>
          </w:p>
        </w:tc>
      </w:tr>
      <w:tr>
        <w:trPr>
          <w:trHeight w:val="525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Gniazda PCI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Min. dwa sloty PCIe LP x16</w:t>
            </w:r>
          </w:p>
        </w:tc>
      </w:tr>
      <w:tr>
        <w:trPr>
          <w:trHeight w:val="525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Interfejsy sieciowe/FC/SAS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2 interfejsy sieciowe 25Gb Ethernet w standardzie SFP28 (porty nie mogą być osiągnięte poprzez karty w slotach PCIe)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4 interfejsy sieciowe 1Gb Ethernet w standardzie BaseT (porty nie mogą być osiągnięte poprzez karty w slotach PCIe)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  <w:lang w:val="de-DE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de-DE"/>
              </w:rPr>
              <w:t>Wbudowane porty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7"/>
              </w:numPr>
              <w:spacing w:lineRule="auto" w:line="24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4 portów USB w tym min:</w:t>
            </w:r>
          </w:p>
          <w:p>
            <w:pPr>
              <w:pStyle w:val="ListParagraph"/>
              <w:widowControl w:val="false"/>
              <w:numPr>
                <w:ilvl w:val="1"/>
                <w:numId w:val="27"/>
              </w:numPr>
              <w:spacing w:lineRule="auto" w:line="24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1 port USB 2.0 Type-C</w:t>
            </w:r>
          </w:p>
          <w:p>
            <w:pPr>
              <w:pStyle w:val="ListParagraph"/>
              <w:widowControl w:val="false"/>
              <w:numPr>
                <w:ilvl w:val="1"/>
                <w:numId w:val="27"/>
              </w:numPr>
              <w:spacing w:lineRule="auto" w:line="24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2 porty USB 3.1</w:t>
            </w:r>
          </w:p>
          <w:p>
            <w:pPr>
              <w:pStyle w:val="ListParagraph"/>
              <w:widowControl w:val="false"/>
              <w:numPr>
                <w:ilvl w:val="1"/>
                <w:numId w:val="27"/>
              </w:numPr>
              <w:spacing w:lineRule="auto" w:line="240"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1 port USB 3.0 wewnątrz obudowy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Port VGA z tyłu obudowy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  <w:lang w:val="de-DE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de-DE"/>
              </w:rPr>
              <w:t>Video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Zintegrowana karta graficzna umożliwiająca wyświetlenie rozdzielczości min. 1920x1200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Zasilacze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Redundantne, Hot-Plug min. 800W klasy Titanium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2x przewód C13/C14 o dl. min. 2 m.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Elementy montażowe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Default"/>
              <w:widowControl w:val="false"/>
              <w:numPr>
                <w:ilvl w:val="0"/>
                <w:numId w:val="20"/>
              </w:numPr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Komplet wysuwanych szyn umożliwiających montaż w szafie rack i wysuwanie serwera do celów serwisowych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Ramię (organizer) do kabli ułatwiające wysuwanie serwera do celów serwisowych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Rozwiązanie operacyjny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Zamawiający wymaga dostarczenia oprogramowania systemowego w najnowszej aktualnej wersji, nieograniczonej czasowo. Licencja musi uprawniać do uruchamiania oprogramowania systemowego (dalej: SSO) w postaci </w:t>
            </w: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2 wirtualnych środowisk SSO</w:t>
            </w: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za pomocą wbudowanych mechanizmów wirtualizacji.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Dostarczona licencja musi być kompatybilna z dostarczonym serwerem oraz musi być zgodna z prawami licencyjnymi producenta.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SSO musi posiadać następujące, wbudowane cechy: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a)</w:t>
              <w:tab/>
              <w:t>możliwość wykorzystania, co najmniej 320 logicznych procesorów oraz co najmniej 4 TB pamięci RAM w środowisku fizycznym,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b)</w:t>
              <w:tab/>
              <w:t>możliwość wykorzystywania 64 procesorów wirtualnych oraz 1TB pamięci RAM i dysku o pojemności min. 64TB przez każdy wirtualny serwerowy system operacyjny,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c)</w:t>
              <w:tab/>
              <w:t>możliwość budowania klastrów składających się z 64 węzłów, z możliwością uruchamiania min. 8000 maszyn wirtualnych,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d)</w:t>
              <w:tab/>
              <w:t>możliwość migracji maszyn wirtualnych bez zatrzymywania ich pracy między fizycznymi serwerami z uruchomionym mechanizmem wirtualizacji (hypervisor) przez sieć Ethernet, bez konieczności stosowania dodatkowych mechanizmów współdzielenia pamięci,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e)</w:t>
              <w:tab/>
              <w:t>wsparcie (na umożliwiającym to sprzęcie) dodawania i wymiany pamięci RAM bez przerywania pracy,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f)</w:t>
              <w:tab/>
              <w:t>wsparcie (na umożliwiającym to sprzęcie) dodawania i wymiany procesorów bez przerywania pracy,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g)</w:t>
              <w:tab/>
              <w:t>automatyczna weryfikacja cyfrowych sygnatur sterowników w celu sprawdzenia, czy sterownik przeszedł testy jakości przeprowadzone przez producenta systemu operacyjnego,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h)</w:t>
              <w:tab/>
              <w:t>możliwość dynamicznego obniżania poboru energii przez rdzenie procesorów niewykorzystywane w bieżącej pracy (mechanizm ten musi uwzględniać specyfikę procesorów wyposażonych w mechanizmy Hyper-Threading),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i)</w:t>
              <w:tab/>
              <w:t>wbudowane wsparcie instalacji i pracy na wolumenach, które:</w:t>
            </w:r>
          </w:p>
          <w:p>
            <w:pPr>
              <w:pStyle w:val="Normal"/>
              <w:widowControl w:val="false"/>
              <w:ind w:left="975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I.</w:t>
              <w:tab/>
              <w:t>pozwalają na zmianę rozmiaru w czasie pracy systemu,</w:t>
            </w:r>
          </w:p>
          <w:p>
            <w:pPr>
              <w:pStyle w:val="Normal"/>
              <w:widowControl w:val="false"/>
              <w:ind w:left="975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II.</w:t>
              <w:tab/>
              <w:t>umożliwiają tworzenie w czasie pracy systemu migawek, dających użytkownikom końcowym (lokalnym i sieciowym) prosty wgląd w poprzednie wersje plików i folderów,</w:t>
            </w:r>
          </w:p>
          <w:p>
            <w:pPr>
              <w:pStyle w:val="Normal"/>
              <w:widowControl w:val="false"/>
              <w:ind w:left="975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III.</w:t>
              <w:tab/>
              <w:t>umożliwiają kompresję "w locie" dla wybranych plików i/lub folderów,</w:t>
            </w:r>
          </w:p>
          <w:p>
            <w:pPr>
              <w:pStyle w:val="Normal"/>
              <w:widowControl w:val="false"/>
              <w:ind w:left="975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IV.</w:t>
              <w:tab/>
              <w:t>umożliwiają zdefiniowanie list kontroli dostępu (ACL),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j)</w:t>
              <w:tab/>
              <w:t>wbudowany mechanizm klasyfikowania i indeksowania plików (dokumentów) w oparciu o ich zawartość,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k)</w:t>
              <w:tab/>
              <w:t>wbudowane szyfrowanie dysków przy pomocy mechanizmów posiadających min. certyfikat FIPS 140-2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l)</w:t>
              <w:tab/>
              <w:t>możliwość uruchamiania aplikacji internetowych wykorzystujących technologię ASP.NET,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m)</w:t>
              <w:tab/>
              <w:t>możliwość dystrybucji ruchu sieciowego HTTP pomiędzy kilka serwerów,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n)</w:t>
              <w:tab/>
              <w:t>wbudowana zapora internetowa (firewall) z obsługą definiowanych reguł dla ochrony połączeń internetowych i intranetowych,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o)</w:t>
              <w:tab/>
              <w:t>graficzny interfejs użytkownika,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p)</w:t>
              <w:tab/>
              <w:t>zlokalizowane w języku polskim, co najmniej następujące elementy: menu, przeglądarka internetowa, pomoc, komunikaty systemowe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q)</w:t>
              <w:tab/>
              <w:t>wsparcie dla większości powszechnie używanych urządzeń peryferyjnych (drukarek, urządzeń sieciowych, standardów USB, Plug&amp;Play),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s)</w:t>
              <w:tab/>
              <w:t>możliwość zdalnej konfiguracji, administrowania oraz aktualizowania systemu,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t)</w:t>
              <w:tab/>
              <w:t>dostępność bezpłatnych narzędzi producenta systemu umożliwiających badanie i wdrażanie zdefiniowanego zestawu polityk bezpieczeństwa,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u)</w:t>
              <w:tab/>
              <w:t>możliwość implementacji następujących funkcjonalności bez potrzeby instalowania dodatkowych produktów (oprogramowania) innych producentów wymagających dodatkowych licencji: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I.</w:t>
              <w:tab/>
              <w:t>podstawowe usługi sieciowe: DHCP oraz DNS wspierający DNSSEC,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II.</w:t>
              <w:tab/>
      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1)</w:t>
              <w:tab/>
              <w:t>podłączenie SSO do domeny w trybie offline – bez dostępnego połączenia sieciowego z domeną,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2)</w:t>
              <w:tab/>
              <w:t>ustanawianie praw dostępu do zasobów domeny na bazie sposobu logowania użytkownika – na przykład typu certyfikatu użytego do logowania,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3)</w:t>
              <w:tab/>
              <w:t>odzyskiwanie przypadkowo skasowanych obiektów usługi katalogowej z mechanizmu kosza,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III.</w:t>
              <w:tab/>
              <w:t>zdalna dystrybucja oprogramowania na stacje robocze,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IV.</w:t>
              <w:tab/>
              <w:t>praca zdalna na serwerze z wykorzystaniem terminala (cienkiego klienta) lub odpowiednio skonfigurowanej stacji roboczej,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V.</w:t>
              <w:tab/>
              <w:t>centrum Certyfikatów (CA), obsługa klucza publicznego i prywatnego) umożliwiające: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1)</w:t>
              <w:tab/>
              <w:t>dystrybucję certyfikatów poprzez http,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2)</w:t>
              <w:tab/>
              <w:t>konsolidację CA dla wielu lasów domeny,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3)</w:t>
              <w:tab/>
              <w:t>automatyczne rejestrowania certyfikatów pomiędzy różnymi lasami domen,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VI.</w:t>
              <w:tab/>
              <w:t>szyfrowanie plików i folderów,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VII.</w:t>
              <w:tab/>
              <w:t>szyfrowanie połączeń sieciowych pomiędzy serwerami oraz serwerami i stacjami roboczymi (IPSec),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VIII.</w:t>
              <w:tab/>
              <w:t>możliwość tworzenia systemów wysokiej dostępności (klastry typu fail-over) oraz rozłożenia obciążenia serwerów,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IX.</w:t>
              <w:tab/>
              <w:t>serwis udostępniania stron WWW,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X.</w:t>
              <w:tab/>
              <w:t>wsparcie dla protokołu IP w wersji 6 (IPv6),</w:t>
            </w:r>
          </w:p>
          <w:p>
            <w:pPr>
              <w:pStyle w:val="Normal"/>
              <w:widowControl w:val="false"/>
              <w:ind w:left="833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XI.</w:t>
              <w:tab/>
              <w:t>wbudowane mechanizmy wirtualizacji (Hypervisor) pozwalające na uruchamianie min. 1000 aktywnych środowisk wirtualnych systemów operacyjnych. Wirtualne maszyny w trakcie pracy i bez zauważalnego zmniejszenia ich dostępności mogą być przenoszone pomiędzy serwerami klastra typu failover z jednoczesnym zachowaniem pozostałej funkcjonalności. Mechanizmy wirtualizacji mają zapewnić wsparcie dla: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1)</w:t>
              <w:tab/>
              <w:t>dynamicznego podłączania zasobów dyskowych typu hot-plug do maszyn wirtualnych,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2)</w:t>
              <w:tab/>
              <w:t>obsługi ramek typu jumbo frames dla maszyn wirtualnych,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3)</w:t>
              <w:tab/>
              <w:t>obsługi 4-KB sektorów dysków,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4)</w:t>
              <w:tab/>
              <w:t>nielimitowanej liczby jednocześnie przenoszonych maszyn wirtualnych pomiędzy węzłami klastra,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5)</w:t>
              <w:tab/>
              <w:t>możliwości wirtualizacji sieci z zastosowaniem przełącznika, którego funkcjonalność może być rozszerzana jednocześnie poprzez oprogramowanie kilku innych dostawców poprzez otwarty interfejs API,</w:t>
            </w:r>
          </w:p>
          <w:p>
            <w:pPr>
              <w:pStyle w:val="Normal"/>
              <w:widowControl w:val="false"/>
              <w:ind w:left="1258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6)</w:t>
              <w:tab/>
              <w:t>możliwości kierowania ruchu sieciowego z wielu sieci VLAN bezpośrednio do pojedynczej karty sieciowej maszyny wirtualnej (tzw. trunk model),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v)</w:t>
              <w:tab/>
              <w:t>możliwość automatycznej aktualizacji w oparciu o poprawki publikowane przez producenta wraz z dostępnością bezpłatnego rozwiązania producenta SSO umożliwiającego lokalną dystrybucję poprawek zatwierdzonych przez administratora, bez połączenia z siecią Internet,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w)</w:t>
              <w:tab/>
              <w:t>wsparcie dostępu do zasobu dyskowego SSO poprzez wiele ścieżek (Multipath),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x)</w:t>
              <w:tab/>
              <w:t>możliwość instalacji poprawek poprzez wgranie ich do obrazu instalacyjnego,</w:t>
            </w:r>
          </w:p>
          <w:p>
            <w:pPr>
              <w:pStyle w:val="Normal"/>
              <w:widowControl w:val="false"/>
              <w:ind w:left="444" w:hanging="425"/>
              <w:jc w:val="both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  <w:t>y)</w:t>
              <w:tab/>
              <w:t>mechanizmy zdalnej administracji oraz mechanizmy (również działające zdalnie) administracji przez skrypty,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Cs w:val="20"/>
                <w14:ligatures w14:val="standardContextual"/>
              </w:rPr>
              <w:t>z)</w:t>
              <w:tab/>
              <w:t>możliwość zarządzania przez wbudowane mechanizmy zgodne ze standardami WBEM oraz WS-Management organizacji DMTF.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Licencje dostępowe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8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kern w:val="2"/>
                <w:szCs w:val="20"/>
                <w:lang w:eastAsia="en-US"/>
                <w14:ligatures w14:val="standardContextual"/>
              </w:rPr>
              <w:t xml:space="preserve">Należy dostarczyć </w:t>
            </w: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Cs w:val="20"/>
                <w:lang w:eastAsia="en-US"/>
                <w14:ligatures w14:val="standardContextual"/>
              </w:rPr>
              <w:t>20 licencji dostępowych</w:t>
            </w:r>
            <w:r>
              <w:rPr>
                <w:rFonts w:eastAsia="Tahoma" w:cs="Calibri" w:ascii="Calibri" w:hAnsi="Calibri" w:asciiTheme="minorHAnsi" w:cstheme="minorHAnsi" w:hAnsiTheme="minorHAnsi"/>
                <w:kern w:val="2"/>
                <w:szCs w:val="20"/>
                <w:lang w:eastAsia="en-US"/>
                <w14:ligatures w14:val="standardContextual"/>
              </w:rPr>
              <w:t xml:space="preserve"> na użytkownika tzw. USER CAL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Zatrzask górnej pokrywy oraz blokada na ramce panela zamykana na klucz służąca do ochrony nieautoryzowanego dostępu do dysków twardych.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Wbudowany w serwer mechanizm pozwalający na weryfikację niezmienności konfiguracji sprzętowej serwera od momentu produkcji do dostawy do docelowej lokalizacji. Mechanizm ma również pozwalać na kontrolę otwarcia urządzenia w trakcie transportu, niezależnie od stanu zasilania.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Możliwość wyłączenia w BIOS funkcji przycisku zasilania.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BIOS ma możliwość przejścia do bezpiecznego trybu rozruchowego z możliwością zarządzania blokadą zasilania, panelem sterowania oraz zmianą hasła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Wbudowany czujnik otwarcia obudowy współpracujący z BIOS i kartą zarządzającą.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Moduł TPM 2.0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bCs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Możliwość dynamicznego włączania i wyłączania portów USB na obudowie – bez potrzeby restartu serwera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cs="Calibri" w:asciiTheme="minorHAnsi" w:cstheme="minorHAnsi" w:hAnsiTheme="minorHAnsi"/>
                <w:bCs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Możliwość wymazania danych ze znajdujących się dysków wewnątrz serwera – niezależne od zainstalowanego systemu operacyjnego, uruchamiane z poziomu zarządzania serwerem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Karta Zarządzania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Niezależna od zainstalowanego na serwerze systemu operacyjnego posiadająca dedykowane port RJ-45 Gigabit Ethernet umożliwiająca: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zdalny dostęp do graficznego interfejsu Web karty zarządzającej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szyfrowane połączenie (TLS) oraz autentykacje i autoryzację użytkownika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podmontowania zdalnych wirtualnych napędów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wirtualną konsolę z dostępem do myszy, klawiatury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IPv6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SNMP; IPMI2.0, VLAN tagging, SSH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zdalnego monitorowania w czasie rzeczywistym poboru prądu przez serwer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zdalnego ustawienia limitu poboru prądu przez konkretny serwer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integracja z Active Directory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obsługi przez sześciu administratorów jednocześnie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automatycznej rejestracji DNS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LLDP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wysyłanie do administratora maila z powiadomieniem o awarii lub zmianie konfiguracji sprzętowej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zarządzania bezpośredniego poprzez złącze USB umieszczone na froncie obudowy.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Monitorowanie zużycia dysków SSD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Automatyczne zgłaszanie alertów do centrum serwisowego producenta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Automatyczne update firmware dla wszystkich komponentów serwera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przywrócenia poprzednich wersji firmware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eksportu eksportu/importu konfiguracji (ustawienie karty zarządzającej, BIOSu, kart sieciowych, HBA oraz konfiguracji kontrolera RAID) serwera do pliku XML lub JSON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zaimportowania ustawień, poprzez bezpośrednie podłączenie plików konfiguracyjnych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Automatyczne tworzenie kopii ustawień serwera w opraciu o harmonogram.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wykrywania odchyleń konfiguracji na poziomie konfiguracji UEFI oraz wersji firmware serwera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kontrola stanu BIOS pod kątem naruszenia integralności oprogramowania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modyfikacji reguł chłodzenia kart w slotach PCIe, z możliwością własnych ustawień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ustawienia limitu temperatury powietrza wychodzącego z serwera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ustawienia dopuszczalnego wzrostu temperatury powietrza przepływającego przez serwer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ustawienia maksymalnej temperatury powietrza dochodzącego do slotów PCIe</w:t>
            </w:r>
          </w:p>
          <w:p>
            <w:pPr>
              <w:pStyle w:val="Normal"/>
              <w:widowControl w:val="false"/>
              <w:spacing w:lineRule="auto" w:line="252"/>
              <w:ind w:left="1080" w:hanging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możliwość rozszerzenia funkcjonalności o: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wysyłania danych o stanie procesora, kart sieciowych, zasilaczy, kart GPU, lokalnych dysków i urządzeń NVMe, jak również dane wydajnościowe serwera do zewnętrznych narzędzi analitycznych jak Splunk, Grafana, ElasticSearch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wykorzystania tokenu lub aplikacji SecurID do uwierzytelniania wielkoskładnikowego przy logowaniu do karty zarządzającej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Automatyczne odświeżanie certyfikatów SSL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lineRule="auto" w:line="252"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monitorowanie przepływu powietrza na bieżąco (w CFM)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Oprogramowanie do zarządzania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zainstalowania oprogramowania producenta do zarządzania, spełniającego poniższe wymagania: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serwerów, urządzeń sieciowych oraz pamięci masowych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integracja z Active Directory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zarządzania dostarczonymi serwerami bez udziału dedykowanego agenta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Wsparcie dla protokołów SNMP, IPMI, Linux SSH, Redfish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uruchamiania procesu wykrywania urządzeń w oparciu o harmonogram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Szczegółowy opis wykrytych systemów oraz ich komponentów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eksportu raportu do CSV, HTML, XLS, PDF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tworzenia własnych raportów w oparciu o wszystkie informacje zawarte w inwentarzu.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Grupowanie urządzeń w oparciu o kryteria użytkownika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Tworzenie automatycznie grup urządzeń w oparciu o dowolny element konfiguracji serwera np. Nazwa, lokalizacja, system operacyjny, obsadzenie slotów PCIe, pozostałego czasu gwarancji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uruchamiania narzędzi zarządzających w poszczególnych urządzeniach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Szybki podgląd stanu środowiska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Podsumowanie stanu dla każdego urządzenia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Szczegółowy status urządzenia/elementu/komponentu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Generowanie alertów przy zmianie stanu urządzenia.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Filtry raportów umożliwiające podgląd najważniejszych zdarzeń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Integracja z service desk producenta dostarczonej platformy sprzętowej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przejęcia zdalnego pulpitu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podmontowania wirtualnego napędu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Kreator umożliwiający dostosowanie akcji dla wybranych alertów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importu plików MIB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Przesyłanie alertów „as-is” do innych konsol firm trzecich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definiowania ról administratorów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zdalnej aktualizacji oprogramowania wewnętrznego serwerów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Aktualizacja oparta o wybranie źródła bibliotek (lokalna, on-line producenta oferowanego rozwiązania)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instalacji oprogramowania wewnętrznego bez potrzeby instalacji agenta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automatycznego generowania i zgłaszania incydentów awarii bezpośrednio do centrum serwisowego producenta serwerów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Moduł raportujący pozwalający na wygenerowanie następujących informacji: nr seryjne sprzętu, konfiguracja poszczególnych urządzeń, wersje oprogramowania wewnętrznego, obsadzenie slotów PCI i gniazd pamięci, informację o maszynach wirtualnych, aktualne informacje o stanie i poziomie gwarancji, adresy IP kart sieciowych, występujących alertów, MAC adresów kart sieciowych, stanie poszczególnych komponentów serwera.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tworzenia sprzętowej konfiguracji bazowej i na jej podstawie weryfikacji środowiska w celu wykrycia rozbieżności.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Wdrażanie serwerów, rozwiązań modularnych oraz przełączników sieciowych w oparciu o profile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Możliwość migracji ustawień serwera wraz z wirtualnymi adresami sieciowymi (MAC, WWN, IQN) między urządzeniami.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Tworzenie gotowych paczek informacji umożliwiających zdiagnozowanie awarii urządzenia przez serwis producenta.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Zdalne uruchamianie diagnostyki serwera.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Dedykowana aplikacja na urządzenia mobilne integrująca się z wyżej opisanymi oprogramowaniem zarządzającym.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Oprogramowanie dostarczane jako wirtualny appliance dla KVM, ESXi i Hyper-V.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Oprogramowanie do monitorowania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0"/>
                <w:szCs w:val="20"/>
              </w:rPr>
              <w:t>Oparta na chmurze aplikacja Producenta oferowanego urządzenia, która zapewnia proaktywne monitorowanie i rozwiązywanie problemów infrastruktury IT oraz integrację z platformą wirtualizacji VMware. Zaproponowane rozwiązanie musi posiadać następujące funkcjonalności: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Monitoring: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ilość podłączonych oraz rozłączonych systemów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stan podłączonych urządzeń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potencjalnych zagrożeniach związanych z cyberbezpieczeństwem w oparciu o najlepsze praktyki i szczegółową analizę posiadanych systemów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alertach z podziałem na minimum: krytyczne, błędy, ostrzeżenia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statusie gwarancji dla poszczególnych urządzeń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stanie licencji na posiadane oprogramowanie rozszerzające funkcjonalności urządzeń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w oparciu o dane historyczne umożliwiające określenie trendów krótko- i długoterminowej prognozy wykorzystania przestrzeni na pamięciach masowych.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Wykrywanie anomalii w oparciu o analizę zajętości przestrzeni na pamięciach masowych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Wykrywanie anomalii wydajnościowych w oparciu o uczenie maszynowe oraz porównanie parametrów historycznych i bieżących. Funkcjonalność ta musi wspierać serwery, urządzenia sieciowe oraz systemy pamięci masowych.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Monitorowanie wydajności, przepustowości oraz opóźnień dla systemy pamięci masowych.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Zaimplementowana analityka predykcyjna umożliwiająca określenie szacowanego czasu awarii dla optyki przełączników FC.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Szczegółowe informacje dla serwerów o modelu, konfiguracji, wersjach firmware poszczególnych komponentów adresacji IP karty zarządzającej.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Monitoring parametrów serwerów z informacją o minimum: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Obciążeniu procesora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Zużyciu pamięci RAM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Temperaturze procesorów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Temperaturze powietrza wlotowego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Zużyciu prądu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Zmianach w fizycznej konfiguracji serwera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Dla wszystkich wymienionych parametrów muszą być dostępne dane historyczne oraz automatycznie generowana informacja o anomaliach.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Monitoring parametrów pamięci masowych z informacją o minimum: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Opóźnieniach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IOPS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Przepustowości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Utylizacji kontrolerów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Pojemność całkowita i dostępna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Wszystkie informacje muszą być dostępne zarówno dla całej pamięci masowej jak i poszczególnych LUN-ów.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Dla wszystkich wymienionych powyżej parametrów muszą być dostępne dane historyczne oraz automatycznie generowana informacja o anomaliach.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Dane historyczne o wykorzystaniu przestrzeni pamięci masowej muszą być przechowywane co najmniej 2 lata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poziomie redukcji danych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Informacje o statusie replikacji oraz snapshotów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Monitoring parametrów przełączników sieciowych z informacją o minimum: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Modelu, oprogramowania, adresacji IP, MAC adres, nr seryjny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Stanie komponentów: zasilacze, wentylatory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Podłączonych hostach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Ilości i statusu portów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Utylizacji procesora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Utylizacji poszczególnych portów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Dla wszystkich wymienionych powyżej parametrów muszą być dostępne dane historyczne oraz automatycznie generowana informacja o anomaliach.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Aktualizacja firmware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aktualizcji firmware, oprogramowania zarządzającego dla systemów pamięci masowych, wraz z informacją o zalecanych wersjach oprogramowania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aktualizcji firmware, oprogramowania zarządzającego dla serwerów, wraz z informacją o zalecanych wersjach oprogramowania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aktualizcji firmware, oprogramowania zarządzającego dla rozwiazań HCI, wraz z informacją o zalecanych wersjach oprogramowania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aktualizcji firmware, dla systemów przełączników FC, wraz z informacją o zalecanych wersjach oprogramowania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aktualizcji firmware, dla deduplikatorów, wraz z informacją o zalecanych wersjach oprogramowania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Raporty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generowania raportów dla serwerów zawierających informację o: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Nazwie hosta, modelu serwera, nr serwisowym, dacie końca okresu kontraktu serwisowego, zainstalowanym systemie operacyjnym, protokole komunikacyjnym z systemem pamięci masowej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Średnim obciążeniu: procesorów, pamięci RAM, IO,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generowania raportów dla systemów pamięci masowych zawierających informację o:</w:t>
            </w:r>
          </w:p>
          <w:p>
            <w:pPr>
              <w:pStyle w:val="ListParagraph"/>
              <w:widowControl w:val="false"/>
              <w:numPr>
                <w:ilvl w:val="2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color w:val="000000"/>
                <w:szCs w:val="20"/>
              </w:rPr>
              <w:t>Nazwie, nr seryjnym, lokalizacji urządzenia, modelu urządzenia, wersji oprogramowania, zajętości systemu oraz poziomu redukcją danych, informacje o utworzonych LUN-ach i systemach pliku, status replikacji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Generowanie raportów do plików CSV i PDF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Cyberbezpieczeństwo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Analiza środowiska w oparciu o najlepsze praktyki dotyczące cyberbezpieczeństwa sprawdzająca stan poszczególnych urządzeń w środowisku i przypisujący im odpowiedni wynik bezpieczeństwa. System musi informować administratora o wykrytych lukach bezpieczeństwa oraz sposobie ich zabezpieczenia.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Musi istnieć możliwość tworzenia własnych polityk bezpieczeństwa w oparciu o wzorce dla poszczególnych urządzeń.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Stała analiza środowiska IT umożliwiająca wykrycie ataku ransomware na podstawie analizy posiadanych danych.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przypisania dedykowanych ról dla poszczególnych administratorów.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Wspierane urządzenia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Urządzenie Producenta dostarczane w ramach postępowania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Posiadane przez Zamawiającego serwery, urządzenia pamięci masowych, przełączniki sieciowe, przełączniki SAN, rozwiązania HCI, deduplikatory Producenta oferowanego urządzenia (jeśli takie są w posiadaniu Zamawiającego)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Wirtualny asystent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Wbudowana w platformę funkcjonalność wirtualnego asystenta w oparciu o algorytmy GenAI przy dostępie do bazy wiedzy producenta urządzeń oraz analizie danych z monitoringu poszczególnych elementów infrastruktury;</w:t>
            </w:r>
          </w:p>
          <w:p>
            <w:pPr>
              <w:pStyle w:val="ListParagraph"/>
              <w:widowControl w:val="false"/>
              <w:numPr>
                <w:ilvl w:val="0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rozszerzenia funkcjonalności</w:t>
            </w:r>
          </w:p>
          <w:p>
            <w:pPr>
              <w:pStyle w:val="ListParagraph"/>
              <w:widowControl w:val="false"/>
              <w:numPr>
                <w:ilvl w:val="1"/>
                <w:numId w:val="29"/>
              </w:numPr>
              <w:spacing w:lineRule="auto" w:line="240" w:before="0" w:after="0"/>
              <w:contextualSpacing/>
              <w:jc w:val="left"/>
              <w:textAlignment w:val="baseline"/>
              <w:rPr>
                <w:rFonts w:ascii="Calibri" w:hAnsi="Calibri" w:eastAsia="Times New Roman" w:cs="Calibri" w:asciiTheme="minorHAnsi" w:cstheme="minorHAnsi" w:hAnsiTheme="minorHAnsi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zCs w:val="20"/>
              </w:rPr>
              <w:t>Możliwość rozbudowy systemu o zintegrowane i dodatkowe płatne moduły do monitoringu aplikacji oraz zarządzania incydentami w ramach infrastruktury IT.</w:t>
            </w:r>
          </w:p>
        </w:tc>
      </w:tr>
      <w:tr>
        <w:trPr/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Serwer musi być wyprodukowany zgodnie z normą ISO-9001:2015, ISO-50001 oraz ISO-14001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Serwer musi posiadać deklaracja CE.</w:t>
            </w:r>
          </w:p>
        </w:tc>
      </w:tr>
      <w:tr>
        <w:trPr>
          <w:trHeight w:val="980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Dokumentacja użytkownika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Cs w:val="20"/>
              </w:rPr>
              <w:t>Zamawiający wymaga dokumentacji w języku polskim lub angi</w:t>
            </w:r>
            <w:r>
              <w:rPr>
                <w:rFonts w:cs="Calibri" w:ascii="Calibri" w:hAnsi="Calibri" w:asciiTheme="minorHAnsi" w:cstheme="minorHAnsi" w:hAnsiTheme="minorHAnsi"/>
                <w:i/>
                <w:szCs w:val="20"/>
              </w:rPr>
              <w:t>e</w:t>
            </w:r>
            <w:r>
              <w:rPr>
                <w:rFonts w:cs="Calibri" w:ascii="Calibri" w:hAnsi="Calibri" w:asciiTheme="minorHAnsi" w:cstheme="minorHAnsi" w:hAnsiTheme="minorHAnsi"/>
                <w:szCs w:val="20"/>
              </w:rPr>
              <w:t>lskim.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Cs w:val="20"/>
              </w:rPr>
              <w:t>Możliwość telefonicznego sprawdzenia konfiguracji sprzętowej serwera oraz warunków gwarancji po podaniu numeru seryjnego bezpośrednio u producenta lub jego przedstawiciela.</w:t>
            </w:r>
          </w:p>
        </w:tc>
      </w:tr>
      <w:tr>
        <w:trPr>
          <w:trHeight w:val="230" w:hRule="atLeast"/>
        </w:trPr>
        <w:tc>
          <w:tcPr>
            <w:tcW w:w="212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Warunki gwarancji</w:t>
            </w:r>
          </w:p>
        </w:tc>
        <w:tc>
          <w:tcPr>
            <w:tcW w:w="694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 xml:space="preserve">Okres gwarancji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szCs w:val="20"/>
              </w:rPr>
              <w:t>minimum 60 miesięc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Cs w:val="20"/>
              </w:rPr>
              <w:t>y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 xml:space="preserve"> gwarancji producenta, z czasem reakcji do następnego dnia roboczego od przyjęcia zgłoszenia, możliwość zgłaszania awarii 24x7x365 poprzez ogólnopolską linię telefoniczną producenta.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Zamawiający wymaga od podmiotu realizującego serwis lub producenta sprzętu dołączenia do oferty oświadczenia, że w przypadku wystąpienia awarii dysku twardego w urządzeniu objętym aktywnym wparciem technicznym, uszkodzony dysk twardy pozostaje u Zamawiającego – dokumenty potwierdzające należy załączyć do oferty.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Wymagane dołączenie do oferty oświadczenia Producenta potwierdzając, że Serwis urządzeń będzie realizowany bezpośrednio przez Producenta i/lub we współpracy z Autoryzowanym Partnerem Serwisowym Producenta – dokumenty potwierdzające należy załączyć do oferty.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Zamawiający oczekuje rozpoczęcia diagnostyki telefonicznej / internetowej już w momencie dokonania zgłoszenia. Certyfikowany Technik wykonawcy / producenta z właściwym zestawem części do naprawy (potwierdzonym na etapie diagnostyki) ma rozpocząć naprawę w siedzibie zamawiającego najpóźniej w następnym dniu roboczym (NBD) od otrzymania zgłoszenia / zakończenia diagnostyki. Naprawa ma się odbywać w siedzibie zamawiającego, chyba, że zamawiający dla danej naprawy zgodzi się na inną formę.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Zamawiający wymaga pojedynczego punktu kontaktu dla całego rozwiązania producenta.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Zgłoszenie przyjęte jest potwierdzane przez zespół pomocy technicznej (mail/telefon / aplikacja / portal) przez nadanie unikalnego numeru zgłoszenia pozwalającego na identyfikację zgłoszenia w trakcie realizacji naprawy i po jej zakończeniu.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Zamawiający oczekuje możliwości samodzielnego kwalifikowania poziomu ważności naprawy.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Możliwość sprawdzenia statusu gwarancji poprzez stronę producenta podając unikatowy numer urządzenia oraz pobieranie uaktualnień mikrokodu oraz sterowników nawet w przypadku wygaśnięcia gwarancji urządzenia.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Automatyczną diagnostykę i zdalne otwieranie zgłoszeń serwisowych.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Firma serwisująca musi posiadać ISO 9001 oraz ISO-27001 na świadczenie usług serwisowych – dokumenty potwierdzające należy załączyć do oferty.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52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Cs w:val="20"/>
              </w:rPr>
              <w:t>Wskazana firma serwisująca musi posiadać autoryzacje producenta urządzeń – na potwierdzenie należy załączyć ogólnodostępny dokument np. certyfikat lub deklaracją producenta, potwierdzającą autoryzację dla wskazanej firmy serwisującej do świadczenia usług serwisowych w imieniu producenta urządzenia. W przypadku gdy dany producent nie posiada takiego ogólnodostępnego dokumentu, Zamawiający dopuszcza Oświadczenie Producenta ze wskazaniem firm(y) serwisującej świadczącej usługi serwisowe dla jej urządzeń na terenie Polski – dokumenty potwierdzające należy załączyć do oferty.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9" w:name="_Toc237435079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i uruchomienie serwera Enterprise</w:t>
      </w:r>
      <w:bookmarkEnd w:id="9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montaż, konfigurację oraz uruchomienie serwera klasy Enterprise w infrastrukturze Zamawiającego. W ramach wdrożenia Wykonawca: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serwer w szafie RACK wraz z kompletem szyn montażowych,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wszystkie dostarczone podzespoły, w tym procesory, pamięć operacyjną, kontroler RAID oraz dyski,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macierz RAID zgodnie z wymaganiami Zamawiającego,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firmware serwera oraz wszystkich komponentów do aktualnych wersji producenta,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kontroler zarządzania serwerem oraz podstawowe parametry monitorowania i zdalnego dostępu,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system operacyjny, jeżeli jest objęty przedmiotem zamówienia,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interfejsy sieciowe oraz podstawowe parametry pracy serwera,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testy poprawności działania podzespołów, macierzy dyskowej oraz komunikacji sieciowej,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poprawność działania systemu po wdrożeniu i przekaże serwer do eksploatacji,</w:t>
      </w:r>
    </w:p>
    <w:p>
      <w:pPr>
        <w:pStyle w:val="Normal"/>
        <w:numPr>
          <w:ilvl w:val="0"/>
          <w:numId w:val="15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podstawową dokumentację powdrożeniową obejmującą konfigurację serwera oraz zastosowane ustawienia.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0" w:name="_Toc237435080"/>
      <w:r>
        <w:rPr>
          <w:rFonts w:cs="Calibri" w:ascii="Calibri" w:hAnsi="Calibri" w:asciiTheme="minorHAnsi" w:cstheme="minorHAnsi" w:hAnsiTheme="minorHAnsi"/>
          <w:sz w:val="20"/>
          <w:szCs w:val="20"/>
        </w:rPr>
        <w:t>System Wirtualizacji</w:t>
      </w:r>
      <w:bookmarkEnd w:id="10"/>
    </w:p>
    <w:tbl>
      <w:tblPr>
        <w:tblStyle w:val="Tabelasiatki1jasnaakcent1"/>
        <w:tblW w:w="9498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124"/>
        <w:gridCol w:w="7373"/>
      </w:tblGrid>
      <w:tr>
        <w:trPr>
          <w:trHeight w:val="403" w:hRule="atLeast"/>
        </w:trPr>
        <w:tc>
          <w:tcPr>
            <w:tcW w:w="2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</w:rPr>
              <w:t>Nazwa</w:t>
            </w:r>
          </w:p>
        </w:tc>
        <w:tc>
          <w:tcPr>
            <w:tcW w:w="737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Tahoma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</w:rPr>
              <w:t>Minimalne wymagania dla sprzętu</w:t>
            </w:r>
          </w:p>
        </w:tc>
      </w:tr>
      <w:tr>
        <w:trPr>
          <w:trHeight w:val="20" w:hRule="atLeast"/>
        </w:trPr>
        <w:tc>
          <w:tcPr>
            <w:tcW w:w="2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30"/>
              <w:jc w:val="left"/>
              <w:rPr>
                <w:rFonts w:ascii="Calibri" w:hAnsi="Calibri" w:eastAsia="Tahoma" w:cs="Calibri" w:asciiTheme="minorHAnsi" w:cstheme="minorHAnsi" w:hAnsiTheme="minorHAns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MS Mincho" w:cs="Calibri" w:ascii="Calibri" w:hAnsi="Calibri" w:asciiTheme="minorHAnsi" w:cstheme="minorHAnsi" w:hAnsiTheme="minorHAnsi"/>
                <w:sz w:val="20"/>
                <w:szCs w:val="20"/>
                <w:lang w:val="en-US" w:bidi="ar-SA"/>
              </w:rPr>
              <w:t>Ogólne</w:t>
            </w:r>
          </w:p>
        </w:tc>
        <w:tc>
          <w:tcPr>
            <w:tcW w:w="7373" w:type="dxa"/>
            <w:tcBorders/>
          </w:tcPr>
          <w:p>
            <w:pPr>
              <w:pStyle w:val="P1"/>
              <w:widowControl/>
              <w:suppressAutoHyphens w:val="true"/>
              <w:spacing w:before="0" w:after="28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kopii zapasowych klasy enterprise oparty o komponenty Open Source, przeznaczony do centralnego zarządzania kopiami bezpieczeństwa środowisk fizycznych oraz wirtualnych. Rozwiązanie umożliwia wdrożenie w środowisku wirtualnym Zamawiającego oraz zapewnia skalowalną architekturę umożliwiającą dalszą rozbudowę systemu backupowego wraz ze wzrostem infrastruktury.</w:t>
            </w:r>
          </w:p>
          <w:p>
            <w:pPr>
              <w:pStyle w:val="P1"/>
              <w:widowControl/>
              <w:suppressAutoHyphens w:val="true"/>
              <w:spacing w:before="280" w:after="28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realizuje mechanizmy wykonywania kopii pełnych oraz przyrostowych z wykorzystaniem deduplikacji blokowej, kompresji danych oraz mechanizmów syntetycznych kopii bezpieczeństwa. Rozwiązanie umożliwia definiowanie polityk retencji danych, harmonogramów backupu, wykonywanie kopii lokalnych i wynaszanych (off-site), a także szybkie odtwarzanie danych na poziomie pojedynczych plików, katalogów, obrazów systemów oraz środowisk wirtualnych.</w:t>
            </w:r>
          </w:p>
          <w:p>
            <w:pPr>
              <w:pStyle w:val="P2"/>
              <w:widowControl/>
              <w:suppressAutoHyphens w:val="true"/>
              <w:spacing w:before="280" w:after="28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Rozwiązanie zapewnia: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Autospacing="1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centralne zarządzanie z poziomu interfejsu WWW oraz CLI,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szyfrowanie komunikacji oraz danych backupowych,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monitorowanie procesów backupu i odtwarzania,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obsługę polityk retencji i harmonogramów,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ograniczanie wykorzystania pasma sieciowego,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mechanizmy integralności danych,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możliwość replikacji danych pomiędzy lokalizacjami,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obsługę środowisk fizycznych oraz wirtualnych,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możliwość rozbudowy o dodatkowe repozytoria danych,</w:t>
            </w:r>
          </w:p>
          <w:p>
            <w:pPr>
              <w:pStyle w:val="Normal"/>
              <w:widowControl/>
              <w:numPr>
                <w:ilvl w:val="0"/>
                <w:numId w:val="35"/>
              </w:numPr>
              <w:suppressAutoHyphens w:val="true"/>
              <w:spacing w:before="0" w:afterAutospacing="1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zabezpieczenie dostępu do interfejsu administracyjnego z wykorzystaniem SSL/TLS.</w:t>
            </w:r>
          </w:p>
          <w:p>
            <w:pPr>
              <w:pStyle w:val="P1"/>
              <w:widowControl/>
              <w:suppressAutoHyphens w:val="true"/>
              <w:spacing w:before="280" w:after="28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W ramach wdrożenia wykonana zostanie instalacja, konfiguracja oraz uruchomienie systemu kopii zapasowych wraz z konfiguracją repozytoriów danych, harmonogramów, polityk retencji oraz mechanizmów bezpieczeństwa. Wykonane zostaną testy poprawności działania oraz procedury odtworzeniowe potwierdzające poprawność działania rozwiązania.</w:t>
            </w:r>
          </w:p>
          <w:p>
            <w:pPr>
              <w:pStyle w:val="P1"/>
              <w:widowControl/>
              <w:suppressAutoHyphens w:val="true"/>
              <w:spacing w:before="280" w:after="28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W ramach realizacji przewidziane jest również szkolenie administratora obejmujące konfigurację systemu, zarządzanie zadaniami backupowymi, procedury odtwarzania danych, monitorowanie pracy systemu oraz podstawowe czynności administracyjne i eksploatacyjne.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color w:val="000000"/>
                <w:sz w:val="24"/>
                <w:szCs w:val="24"/>
                <w:lang w:val="pl-PL" w:bidi="ar-SA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1" w:name="_Toc237435081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wirtualizacji serwera</w:t>
      </w:r>
      <w:bookmarkEnd w:id="11"/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 ramach realizacji zamówienia Wykonawca:</w:t>
      </w:r>
    </w:p>
    <w:p>
      <w:pPr>
        <w:pStyle w:val="Normal"/>
        <w:numPr>
          <w:ilvl w:val="0"/>
          <w:numId w:val="36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system kopii zapasowych w środowisku Zamawiającego,</w:t>
      </w:r>
    </w:p>
    <w:p>
      <w:pPr>
        <w:pStyle w:val="Normal"/>
        <w:numPr>
          <w:ilvl w:val="0"/>
          <w:numId w:val="36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repozytoria danych przeznaczone do przechowywania kopii zapasowych,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oprogramowanie systemowe do aktualnej stabilnej wersji producenta/projektu,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harmonogramy wykonywania kopii zapasowych oraz polityki retencji danych,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deduplikacji, kompresji, szyfrowania oraz weryfikacji integralności kopii zapasowych,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wykonywanie kopii zapasowych wskazanych maszyn wirtualnych, serwerów oraz danych zgodnie z wymaganiami Zamawiającego,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replikacji lub wykonywania kopii poza lokalizację podstawową (off-site), jeżeli będą wykorzystywane,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monitorowanie procesów wykonywania kopii zapasowych oraz powiadamianie o błędach i zakończonych zadaniach,</w:t>
      </w:r>
    </w:p>
    <w:p>
      <w:pPr>
        <w:pStyle w:val="Normal"/>
        <w:numPr>
          <w:ilvl w:val="0"/>
          <w:numId w:val="3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 testowe kopie zapasowe oraz przeprowadzi testy odtworzenia danych, potwierdzające poprawność działania rozwiązania,</w:t>
      </w:r>
    </w:p>
    <w:p>
      <w:pPr>
        <w:pStyle w:val="Normal"/>
        <w:numPr>
          <w:ilvl w:val="0"/>
          <w:numId w:val="36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przygotuje i przekaże dokumentację powdrożeniową obejmującą konfigurację systemu, harmonogramy, polityki retencji oraz procedury wykonywania i odtwarzania kopii zapasowych,</w:t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2" w:name="_Toc237435082"/>
      <w:r>
        <w:rPr>
          <w:rFonts w:cs="Calibri" w:ascii="Calibri" w:hAnsi="Calibri" w:asciiTheme="minorHAnsi" w:cstheme="minorHAnsi" w:hAnsiTheme="minorHAnsi"/>
          <w:sz w:val="20"/>
          <w:szCs w:val="20"/>
        </w:rPr>
        <w:t>Oprogramowanie do monitorowania serwerów, stacji roboczych, urządzeń sieciowych</w:t>
      </w:r>
      <w:bookmarkEnd w:id="12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Style w:val="Tabelasiatki1jasnaakcent1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49"/>
        <w:gridCol w:w="7420"/>
      </w:tblGrid>
      <w:tr>
        <w:trPr/>
        <w:tc>
          <w:tcPr>
            <w:tcW w:w="906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System monitoringu infrastruktury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Nazwa parametru</w:t>
            </w:r>
          </w:p>
        </w:tc>
        <w:tc>
          <w:tcPr>
            <w:tcW w:w="74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Minimalna wartość parametru</w:t>
            </w:r>
          </w:p>
        </w:tc>
      </w:tr>
      <w:tr>
        <w:trPr>
          <w:trHeight w:val="2966" w:hRule="atLeast"/>
        </w:trPr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Ogólne</w:t>
            </w:r>
          </w:p>
        </w:tc>
        <w:tc>
          <w:tcPr>
            <w:tcW w:w="7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monitorowania infrastruktury IT klasy Open Source przeznaczony do centralnego nadzoru nad dostępnością, wydajnością i stanem technicznym urządzeń oraz usług teleinformatycznych. Rozwiązanie umożliwia monitorowanie serwerów fizycznych i wirtualnych, stacji roboczych, urządzeń sieciowych, systemów operacyjnych, aplikacji, baz danych, usług sieciowych oraz środowisk chmurowych.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lang w:val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powinien zapewniać: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lang w:val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centralne zbieranie danych eksploatacyjnych i wydajnościowych z urządzeń oraz systemów,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monitorowanie dostępności usług, aplikacji, serwerów, urządzeń sieciowych oraz zasobów infrastruktury,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monitorowanie parametrów pracy takich jak wykorzystanie procesora, pamięci RAM, przestrzeni dyskowej, interfejsów sieciowych i usług systemowych,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obsługę standardów monitorowania, w tym m.in. SNMP, ICMP, IPMI, JMX, Syslog oraz mechanizmów agentowych,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automatyczne wykrywanie urządzeń sieciowych, interfejsów, usług i zasobów infrastruktury,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budowę map topologii sieci oraz wizualizację zależności pomiędzy monitorowanymi zasobami,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definiowanie progów alarmowych, reguł korelacji zdarzeń oraz automatycznych działań reakcyjnych,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generowanie powiadomień o awariach, przekroczeniu parametrów lub utracie dostępności usług,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wysyłanie powiadomień za pomocą poczty elektronicznej oraz integrację z zewnętrznymi systemami komunikacji,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tworzenie dashboardów prezentujących stan infrastruktury w czasie rzeczywistym,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budowę raportów historycznych i analiz trendów wykorzystania zasobów,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planowanie pojemności infrastruktury na podstawie danych historycznych,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przechowywanie danych historycznych wraz z możliwością definiowania okresów retencji,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zarządzanie monitorowanymi zasobami z wykorzystaniem szablonów konfiguracyjnych,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delegowanie uprawnień użytkownikom oraz integrację z usługami katalogowymi,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dostęp do systemu za pomocą interfejsu WWW,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* integrację z systemami zarządzania bezpieczeństwem, systemami klasy SIEM oraz platformami automatyzacji.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lang w:val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Architektura rozwiązania powinna umożliwiać pracę rozproszoną z wykorzystaniem serwerów pośredniczących zbierających dane z lokalizacji zdalnych, zapewniając skalowalność i możliwość monitorowania infrastruktury wielooddziałowej.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lang w:val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Rozwiązanie powinno być dostarczone na licencji Open Source i nie może wymagać ponoszenia kosztów licencyjnych za monitorowanie urządzeń, serwerów, usług lub użytkowników.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3" w:name="_Toc237435083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oprogramowania do monitorowania infrastruktury informatycznej</w:t>
      </w:r>
      <w:bookmarkEnd w:id="13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instalację, konfigurację oraz uruchomienie centralnego systemu monitorowania infrastruktury IT. W ramach wdrożenia Wykonawca:</w:t>
      </w:r>
    </w:p>
    <w:p>
      <w:pPr>
        <w:pStyle w:val="Normal"/>
        <w:numPr>
          <w:ilvl w:val="0"/>
          <w:numId w:val="16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serwer systemu monitorowania,</w:t>
      </w:r>
    </w:p>
    <w:p>
      <w:pPr>
        <w:pStyle w:val="Normal"/>
        <w:numPr>
          <w:ilvl w:val="0"/>
          <w:numId w:val="16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bazę danych oraz interfejs administracyjny,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doda do monitorowania wskazane serwery, stacje robocze, urządzenia sieciowe oraz usługi,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monitorowania z wykorzystaniem protokołów SNMP, ICMP, agentów systemowych oraz innych obsługiwanych metod monitorowania,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automatyczne wykrywanie urządzeń i usług w infrastrukturze,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przygotuje dashboardy prezentujące stan monitorowanych zasobów,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progi alarmowe, reguły powiadomień oraz kanały powiadamiania,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zbieranie danych historycznych oraz retencję danych,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mapy infrastruktury oraz podstawowe wizualizacje zależności pomiędzy monitorowanymi urządzeniami,</w:t>
      </w:r>
    </w:p>
    <w:p>
      <w:pPr>
        <w:pStyle w:val="Normal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poprawność działania monitoringu poprzez przeprowadzenie testów działania i generowania alarmów,</w:t>
      </w:r>
    </w:p>
    <w:p>
      <w:pPr>
        <w:pStyle w:val="Normal"/>
        <w:numPr>
          <w:ilvl w:val="0"/>
          <w:numId w:val="16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system do eksploatacji wraz z podstawową dokumentacją powdrożeniową.</w:t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4" w:name="_Toc237435084"/>
      <w:r>
        <w:rPr>
          <w:rFonts w:cs="Calibri" w:ascii="Calibri" w:hAnsi="Calibri" w:asciiTheme="minorHAnsi" w:cstheme="minorHAnsi" w:hAnsiTheme="minorHAnsi"/>
          <w:sz w:val="20"/>
          <w:szCs w:val="20"/>
        </w:rPr>
        <w:t>System automatycznego skanowania sieci, serwerów, aplikacji i urządzeń pod kątem podatności bezpieczeństwa</w:t>
      </w:r>
      <w:bookmarkEnd w:id="14"/>
    </w:p>
    <w:tbl>
      <w:tblPr>
        <w:tblStyle w:val="Tabelasiatki1jasnaakcent1"/>
        <w:tblW w:w="97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77"/>
        <w:gridCol w:w="7793"/>
      </w:tblGrid>
      <w:tr>
        <w:trPr>
          <w:trHeight w:val="403" w:hRule="atLeast"/>
        </w:trPr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Nazwa</w:t>
            </w:r>
          </w:p>
        </w:tc>
        <w:tc>
          <w:tcPr>
            <w:tcW w:w="77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Minimalne wymagania dla sprzętu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Ogólne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klasy Vulnerability Management w modelu Open Source przeznaczony do identyfikacji podatności oraz oceny poziomu bezpieczeństwa infrastruktury IT i OT.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Skanowanie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Możliwość wykonywania skanów podatności urządzeń sieciowych, serwerów, stacji roboczych, systemów operacyjnych oraz usług sieciowych z wykorzystaniem skanów uwierzytelnionych i nieuwierzytelnionych.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Baza podatności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Wykorzystanie aktualizowanej bazy testów podatności (VT) obejmującej informacje CVE, CPE, CVSS oraz inne publicznie dostępne źródła informacji o zagrożeniach.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Funkcjonalność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Harmonogramy automatycznych skanów.• Tworzenie raportów i historii skanowań.• Klasyfikacja podatności według poziomu ryzyka.• Obsługa skanów zgodności (Compliance).• Zarządzanie zasobami (Asset Management).• Eksport raportów do popularnych formatów.• Powiadomienia o zakończonych skanach.• Zarządzanie zadaniami skanowania z poziomu interfejsu WWW.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Integracja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Możliwość integracji z systemami monitorowania, SIEM oraz innymi rozwiązaniami bezpieczeństwa z wykorzystaniem dostępnych interfejsów i mechanizmów eksportu danych.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b/>
                <w:b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Licencjonowanie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Rozwiązanie Open Source niewymagające opłat licencyjnych za korzystanie z oprogramowania.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Ogólne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System klasy Vulnerability Management w modelu Open Source przeznaczony do identyfikacji podatności oraz oceny poziomu bezpieczeństwa infrastruktury IT i OT.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5" w:name="_Toc237435085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systemu automatycznego skanowania sieci, serwerów, aplikacji i urządzeń pod kątem podatności bezpieczeństwa</w:t>
      </w:r>
      <w:bookmarkEnd w:id="15"/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instalację, konfigurację oraz uruchomienie systemu zarządzania podatnościami. W ramach wdrożenia Wykonawca zainstaluje i skonfiguruje system, zaktualizuje bazę testów podatności, skonfiguruje skanowanie wskazanych zasobów infrastruktury IT i OT, utworzy harmonogramy automatycznych skanów, skonfiguruje raportowanie oraz powiadomienia, zintegruje rozwiązanie z systemem monitorowania infrastruktury oraz systemem SIEM, jeżeli są dostarczane w ramach niniejszego zamówienia, przeprowadzi testy poprawności działania oraz przekaże rozwiązanie do eksploatacji wraz z podstawową dokumentacją powdrożeniową.</w:t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6" w:name="_Toc237435086"/>
      <w:r>
        <w:rPr>
          <w:rFonts w:cs="Calibri" w:ascii="Calibri" w:hAnsi="Calibri" w:asciiTheme="minorHAnsi" w:cstheme="minorHAnsi" w:hAnsiTheme="minorHAnsi"/>
          <w:sz w:val="20"/>
          <w:szCs w:val="20"/>
        </w:rPr>
        <w:t>Urządzenie UTM</w:t>
      </w:r>
      <w:bookmarkEnd w:id="16"/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</w:t>
      </w:r>
    </w:p>
    <w:tbl>
      <w:tblPr>
        <w:tblStyle w:val="Tabelasiatki1jasnaakcent1"/>
        <w:tblW w:w="97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77"/>
        <w:gridCol w:w="7793"/>
      </w:tblGrid>
      <w:tr>
        <w:trPr>
          <w:trHeight w:val="403" w:hRule="atLeast"/>
        </w:trPr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Nazwa</w:t>
            </w:r>
          </w:p>
        </w:tc>
        <w:tc>
          <w:tcPr>
            <w:tcW w:w="77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Minimalne wymagania dla sprzętu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Typ urządzenia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Urządzenie klasy UTM / Firewall w dedykowanej obudowie producenta umożliwiającej montaż w standardowej rack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color w:val="000000"/>
                <w:sz w:val="20"/>
                <w:szCs w:val="20"/>
                <w:lang w:val="pl-PL" w:bidi="ar-SA"/>
                <w14:ligatures w14:val="standardContextual"/>
              </w:rPr>
              <w:t>Procesor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color w:val="000000"/>
                <w:sz w:val="20"/>
                <w:szCs w:val="20"/>
                <w:lang w:val="pl-PL" w:bidi="ar-SA"/>
                <w14:ligatures w14:val="standardContextual"/>
              </w:rPr>
              <w:t>Urządzenie wyposażone w minimum ośmiordzeniowy procesor zgodny z architekturą x86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Pamięć operacyjna (RAM)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Minimum 32 GB DDR4 lub nowsza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Pamięć masowa (SSD)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Minimum 512 GB w technologii NVMe M.2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Interfejsy sieciowe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Minimum 3 porty RJ-45 o przepustowości 2.5 Gb/s.</w:t>
              <w:br/>
              <w:t>Minimum 4 porty SFP o przepustowości 1 Gb/s</w:t>
              <w:br/>
              <w:t>Minimum 4 porty SFP+ o przepustowości 10 Gb/s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b/>
                <w:b/>
                <w:sz w:val="20"/>
                <w:szCs w:val="20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Porty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Minimum 2 wolne sloty PCIe do rozbudowy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Minimum 2 porty USB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Minimum jeden port konsolowy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Wydajność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L3 Forwarding dla IPERF3 Traffic: min 35 Gbps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Firewall 10k ACLs dla IPERF3 Traffic: min 25 Gbps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IPsec VPN AES dla PERF3 Traffic: min.14 Gbps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Zasilanie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Redundantne zasilacze Hot-Plug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b/>
                <w:b/>
                <w:sz w:val="20"/>
                <w:szCs w:val="20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Parametry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bezpieczeństwa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Oprogramowanie routera współpracujące z istniejącą infrastrukturą Zamawiającego i zapewniające funkcjonalności typowe dla firewalli klasy enterprise, w tym filtrowanie ruchu na podstawie adresów IP, portów i protokołów) Router w, obsługę reguł NAT (DNAT, SNAT, port forwarding) oraz stateful packet inspection. Urządzenie powinno obsługiwać rozwiązania VPN kompatybilne z posiadaną infrastrukturą Zamawiającego, oraz protokoły tunelowania i wirtualizacji sieci, takie jak IPsec, VLAN i GRE, umożliwiając zestawianie tuneli site-to-site oraz client-to-site z uwierzytelnianiem użytkowników za pomocą certyfikatów, login/hasło lub RADIUS/LDAP.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Router musi obsługiwać zarówno trasy statyczne, jak i dynamiczne protokoły routingu, w tym BGP, OSPF i RIP. W przypadku protokołu BGP urządzenie musi umożliwiać obsługę tablicy routingu. Funkcjonalność DHCP dla IPv4 oraz IPv6 (DHCPv6) jest wymagana, w tym przydzielanie adresów IPv6 zarówno w trybie stateless, jak i stateful, wraz z możliwością konfiguracji zakresów adresów, rezerwacji i przydzielania statycznych adresów dla urządzeń sieciowych.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Urządzenie musi posiadać mechanizmy QoS i shaping ruchu, umożliwiające priorytetyzację i ograniczanie pasma dla wybranych usług, użytkowników lub interfejsów, wraz z obsługą kolejkowania ruchu. Dodatkowo router musi oferować funkcje bezpieczeństwa i monitorowania, w tym IDS/IPS, obsługę blacklist oraz możliwość wysyłania logów na zewnętrzny serwer (syslog). System musi umożliwiać monitorowanie ruchu sieciowego i obciążenia urządzenia w czasie rzeczywistym.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Administracja routera powinna odbywać się zarówno za pomocą graficznego interfejsu WWW (HTTPS), jak i CLI (SSH), z możliwością tworzenia kopii zapasowych i przywracania konfiguracji. Aktualizacje bezpieczeństwa muszą być dostępne bez dodatkowych opłat w okresie gwarancji. Oprogramowanie routera musi być dostępne wraz z kodem źródłowym i umożliwiać niezależnym deweloperom tworzenie i instalowanie dodatkowych funkcjonalności w formie modułów lub wtyczek, zgodnie z zasadami open source, co umożliwia rozwój i integrację z innymi rozwiązaniami.</w:t>
            </w:r>
          </w:p>
        </w:tc>
      </w:tr>
      <w:tr>
        <w:trPr>
          <w:trHeight w:val="105" w:hRule="atLeast"/>
        </w:trPr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 xml:space="preserve">Gwarancja </w:t>
            </w:r>
            <w:r>
              <w:rPr>
                <w:rFonts w:cs="Calibri" w:ascii="Calibri" w:hAnsi="Calibri" w:asciiTheme="minorHAnsi" w:cstheme="minorHAnsi" w:hAnsiTheme="minorHAnsi"/>
                <w:strike/>
                <w:sz w:val="20"/>
                <w:szCs w:val="20"/>
                <w:lang w:val="pl-PL" w:bidi="ar-SA"/>
              </w:rPr>
              <w:t>producenta</w:t>
            </w:r>
          </w:p>
        </w:tc>
        <w:tc>
          <w:tcPr>
            <w:tcW w:w="77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</w:rPr>
              <w:t>Min. 12 miesięcy gwarancji realizowanej przez producenta lub Autoryzowanego Partnera Serwisowego producent.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7" w:name="_Toc237435087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urządzenia UTM</w:t>
      </w:r>
      <w:bookmarkEnd w:id="17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montaż, konfigurację oraz uruchomienie urządzenia klasy UTM/Firewall w infrastrukturze Zamawiającego. W ramach wdrożenia Wykonawca:</w:t>
      </w:r>
    </w:p>
    <w:p>
      <w:pPr>
        <w:pStyle w:val="Normal"/>
        <w:numPr>
          <w:ilvl w:val="0"/>
          <w:numId w:val="33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urządzenie w szafie RACK Zamawiającego,</w:t>
      </w:r>
    </w:p>
    <w:p>
      <w:pPr>
        <w:pStyle w:val="Normal"/>
        <w:numPr>
          <w:ilvl w:val="0"/>
          <w:numId w:val="33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oraz uruchomi system operacyjny urządzenia,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firmware oraz oprogramowanie systemowe do aktualnej stabilnej wersji producenta,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podstawową adresację IP oraz interfejsy sieciowe,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routing statyczny oraz dynamiczny zgodnie z wymaganiami Zamawiającego,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translację adresów NAT (SNAT, DNAT oraz Port Forwarding),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polityki zapory sieciowej wraz z kontrolą dostępu pomiędzy segmentami sieci,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obsługę sieci VLAN oraz podstawową segmentację ruchu,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usługi DHCP dla IPv4 oraz IPv6, jeżeli będą wykorzystywane,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tunele VPN typu Site-to-Site oraz/lub Client-to-Site zgodnie z wymaganiami Zamawiającego,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IDS/IPS oraz podstawowe mechanizmy ochrony przed zagrożeniami,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QoS oraz ograniczania przepustowości dla wskazanych usług lub użytkowników,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wysyłanie logów do centralnego systemu monitorowania lub systemu SIEM,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monitorowanie stanu urządzenia, wykorzystania zasobów oraz ruchu sieciowego,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 kopię zapasową konfiguracji urządzenia,</w:t>
      </w:r>
    </w:p>
    <w:p>
      <w:pPr>
        <w:pStyle w:val="Normal"/>
        <w:numPr>
          <w:ilvl w:val="0"/>
          <w:numId w:val="33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testy poprawności działania wszystkich skonfigurowanych usług, w tym routingu, zapory sieciowej, translacji NAT, VPN oraz mechanizmów bezpieczeństwa,</w:t>
      </w:r>
    </w:p>
    <w:p>
      <w:pPr>
        <w:pStyle w:val="Normal"/>
        <w:numPr>
          <w:ilvl w:val="0"/>
          <w:numId w:val="33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urządzenie do eksploatacji wraz z podstawową dokumentacją powdrożeniową zawierającą opis konfiguracji oraz procedurę odtworzenia konfiguracji z kopii zapasowej.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8" w:name="_Toc237435088"/>
      <w:r>
        <w:rPr>
          <w:rFonts w:cs="Calibri" w:ascii="Calibri" w:hAnsi="Calibri" w:asciiTheme="minorHAnsi" w:cstheme="minorHAnsi" w:hAnsiTheme="minorHAnsi"/>
          <w:sz w:val="20"/>
          <w:szCs w:val="20"/>
        </w:rPr>
        <w:t>Przełączniki zarządzalne z obsługą VLAN i protokołu 802.1X. (4 szt.)</w:t>
      </w:r>
      <w:bookmarkEnd w:id="18"/>
    </w:p>
    <w:tbl>
      <w:tblPr>
        <w:tblW w:w="9007" w:type="dxa"/>
        <w:jc w:val="left"/>
        <w:tblInd w:w="1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59"/>
        <w:gridCol w:w="6947"/>
      </w:tblGrid>
      <w:tr>
        <w:trPr>
          <w:trHeight w:val="56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Ogólne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Zarządzalny przełącznik warstwy L3 przeznaczony do montażu w szafie RACK 19” (1U), wyposażony w porty Gigabit Ethernet z obsługą PoE+, porty Multi-Gigabit 2.5GbE PoE+, porty uplink 10GBase-T oraz 10G SFP+. Urządzenie umożliwia fizyczne i wirtualne stackowanie, routing warstwy 3 oraz centralne zarządzanie siecią.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Parametry techniczne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Obudowa Rack 19”, wysokość 1U• 44 × port 10/100/1000Base-T PoE+</w:t>
              <w:br/>
              <w:t>• 4 × port 2.5GBase-T PoE+• 2 × port 10GBase-T</w:t>
              <w:br/>
              <w:t>• 2 × port 10G SFP+• Budżet PoE: do 370 W• Przepustowość przełączania: 188 Gbps</w:t>
              <w:br/>
              <w:t>• Maksymalna szybkość przekazywania pakietów: 139,88 Mpps</w:t>
              <w:br/>
              <w:t>• Tablica adresów MAC: minimum 16 384 wpisów</w:t>
              <w:br/>
              <w:t>• Obsługa do 512 statycznych adresów MAC• Obsługa ramek Jumbo do 12 288 B• MTBF: minimum 328 174 godzin• Wymiary: 441 × 308,5 × 44 mm• Masa: maks. 4,8 kg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Funkcjonalność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Fizyczne stackowanie do 8 urządzeń z przepustowością stosu do 80 Gbps• Wirtualne stackowanie do 32 urządzeń• Obsługa VLAN (802.1Q, Voice VLAN, MAC VLAN, Private VLAN, Q-in-Q, Selective Q-in-Q)• Link Aggregation (LACP 802.1AX/802.3ad)• STP, RSTP, MSTP• ERPS• IGMP Snooping v1/v2/v3 oraz MLD Snooping• Routing IPv4/IPv6, trasy statyczne, RIP/RIPng, OSPF, VRRP• QoS z 8 kolejkami na port• ACL IPv4/IPv6• DHCP Snooping, Dynamic ARP Inspection, IP Source Guard, IPv6 Guard• 802.1X, RADIUS, TACACS+, Dynamic VLAN• Zarządzanie przez WWW, CLI, SNMP v1/v2c/v3, SSH, HTTPS, Syslog, sFlow, LLDP/LLDP-MED• Zero Touch Provisioning (ZTP) oraz D-Link Network Assistant (DNA)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Odporność i zgodność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Temperatura pracy: od -5°C do +50°C• Wilgotność pracy: 10–95% RH• Temperatura składowania: od -40°C do +70°C• Zgodność z CE Class A, FCC Class A, IC Class A, RCM Class A, VCCI Class A oraz BSMI Class A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5 lat gwarancji producenta lub zgodnie z warunkami producenta.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19" w:name="_Toc237435089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Przełączników zarządzalnych z obsługą VLAN i protokołu 802.1X.</w:t>
      </w:r>
      <w:bookmarkEnd w:id="19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montaż, konfigurację oraz uruchomienie przełącznika sieciowego w infrastrukturze Zamawiającego. W ramach wdrożenia Wykonawca:</w:t>
      </w:r>
    </w:p>
    <w:p>
      <w:pPr>
        <w:pStyle w:val="Normal"/>
        <w:numPr>
          <w:ilvl w:val="0"/>
          <w:numId w:val="18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urządzenie w szafie RACK Zamawiającego,</w:t>
      </w:r>
    </w:p>
    <w:p>
      <w:pPr>
        <w:pStyle w:val="Normal"/>
        <w:numPr>
          <w:ilvl w:val="0"/>
          <w:numId w:val="18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oprogramowanie systemowe do aktualnej wersji producenta,</w:t>
      </w:r>
    </w:p>
    <w:p>
      <w:pPr>
        <w:pStyle w:val="Normal"/>
        <w:numPr>
          <w:ilvl w:val="0"/>
          <w:numId w:val="18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podstawowe parametry sieciowe, w tym adresację IP oraz dostęp administracyjny,</w:t>
      </w:r>
    </w:p>
    <w:p>
      <w:pPr>
        <w:pStyle w:val="Normal"/>
        <w:numPr>
          <w:ilvl w:val="0"/>
          <w:numId w:val="18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porty dostępowe, trunk, sieci VLAN oraz mechanizmy agregacji łączy zgodnie z wymaganiami Zamawiającego,</w:t>
      </w:r>
    </w:p>
    <w:p>
      <w:pPr>
        <w:pStyle w:val="Normal"/>
        <w:numPr>
          <w:ilvl w:val="0"/>
          <w:numId w:val="18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funkcje bezpieczeństwa przełącznika, w tym mechanizmy kontroli dostępu, zabezpieczenia portów oraz zarządzanie,</w:t>
      </w:r>
    </w:p>
    <w:p>
      <w:pPr>
        <w:pStyle w:val="Normal"/>
        <w:numPr>
          <w:ilvl w:val="0"/>
          <w:numId w:val="18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zasilanie PoE dla urządzeń końcowych, jeżeli będzie wykorzystywane,</w:t>
      </w:r>
    </w:p>
    <w:p>
      <w:pPr>
        <w:pStyle w:val="Normal"/>
        <w:numPr>
          <w:ilvl w:val="0"/>
          <w:numId w:val="18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 poprawności działania, komunikacji sieciowej oraz zasilania PoE,</w:t>
      </w:r>
    </w:p>
    <w:p>
      <w:pPr>
        <w:pStyle w:val="Normal"/>
        <w:numPr>
          <w:ilvl w:val="0"/>
          <w:numId w:val="18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urządzenie do eksploatacji wraz z podstawową dokumentacją powdrożeniową.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0" w:name="_Toc237435090"/>
      <w:r>
        <w:rPr>
          <w:rFonts w:cs="Calibri" w:ascii="Calibri" w:hAnsi="Calibri" w:asciiTheme="minorHAnsi" w:cstheme="minorHAnsi" w:hAnsiTheme="minorHAnsi"/>
          <w:sz w:val="20"/>
          <w:szCs w:val="20"/>
        </w:rPr>
        <w:t>Zapora sieciowa UTM klasy przemysłowej dla segmentacji i ochrony sieci OT/ICS</w:t>
      </w:r>
      <w:bookmarkEnd w:id="20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Style w:val="Tabelasiatki1jasnaakcent1"/>
        <w:tblW w:w="97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77"/>
        <w:gridCol w:w="7793"/>
      </w:tblGrid>
      <w:tr>
        <w:trPr>
          <w:trHeight w:val="403" w:hRule="atLeast"/>
        </w:trPr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Nazwa</w:t>
            </w:r>
          </w:p>
        </w:tc>
        <w:tc>
          <w:tcPr>
            <w:tcW w:w="77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val="pl-PL" w:eastAsia="en-US" w:bidi="ar-SA"/>
                <w14:ligatures w14:val="standardContextual"/>
              </w:rPr>
              <w:t>Minimalne wymagania dla sprzętu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Typ urządzenia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Urządzenie klasy UTM / Firewall przeznaczone do pracy z systemami Open Source (m.in. pfSense CE, OPNsense, OpenWRT lub równoważnymi), wykonane w kompaktowej obudowie umożliwiającej pracę ciągłą 24/7.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Procesor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Minimum czterordzeniowy procesor x86-64 o taktowaniu do 3,4 GHz, TDP nie większym niż 10 W.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Pamięć operacyjna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Minimum 8 GB DDR5 z możliwością rozbudowy do co najmniej 32 GB.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Pamięć masowa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Minimum 1 × gniazdo M.2 NVMe 2280 umożliwiające instalację dysku SSD.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Interfejsy sieciowe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Minimum 2 × port Ethernet 10 Gb/s SFP+ lub RJ45 oraz minimum 4 × port Ethernet 2.5 Gb/s RJ45.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b/>
                <w:b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Interfejsy I/O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Minimum 1 × USB 3.0, minimum 4 × USB 2.0, minimum 1 × USB-C, gniazdo kart pamięci microSD/TF oraz port konsolowy lub równoważny interfejs administracyjny.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Grafika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Wyjście HDMI oraz DisplayPort lub USB-C DisplayPort Alternate Mode umożliwiające lokalną administrację urządzeniem.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Obudowa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Aluminiowa obudowa przystosowana do ciągłej pracy, wyposażona w aktywny układ chłodzenia.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Zasilanie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Zasilacz zewnętrzny 12 V DC.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Funkcjonalność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Obsługa automatycznego uruchamiania po przywróceniu zasilania (Auto Power On).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b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pl-PL" w:bidi="ar-SA"/>
              </w:rPr>
              <w:t>Warunki pracy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Temperatura pracy minimum od -20°C do +60°C</w:t>
            </w:r>
          </w:p>
        </w:tc>
      </w:tr>
      <w:tr>
        <w:trPr>
          <w:trHeight w:val="70" w:hRule="atLeast"/>
        </w:trPr>
        <w:tc>
          <w:tcPr>
            <w:tcW w:w="1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b/>
                <w:b/>
                <w:sz w:val="20"/>
                <w:szCs w:val="20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Parametry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Tahoma" w:cs="Calibri" w:asciiTheme="minorHAnsi" w:cstheme="minorHAnsi" w:hAnsiTheme="minorHAnsi"/>
                <w:b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Aptos" w:cs="Calibri" w:ascii="Calibri" w:hAnsi="Calibri" w:asciiTheme="minorHAnsi" w:cstheme="minorHAnsi" w:hAnsiTheme="minorHAnsi"/>
                <w:b/>
                <w:sz w:val="20"/>
                <w:szCs w:val="20"/>
                <w:lang w:val="pl-PL" w:bidi="ar-SA"/>
                <w14:ligatures w14:val="standardContextual"/>
              </w:rPr>
              <w:t>bezpieczeństwa</w:t>
            </w:r>
          </w:p>
        </w:tc>
        <w:tc>
          <w:tcPr>
            <w:tcW w:w="77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Oprogramowanie routera współpracujące z istniejącą infrastrukturą Zamawiającego i zapewniające funkcjonalności typowe dla firewalli klasy enterprise, w tym filtrowanie ruchu na podstawie adresów IP, portów i protokołów) Router w, obsługę reguł NAT (DNAT, SNAT, port forwarding) oraz stateful packet inspection. Urządzenie powinno obsługiwać rozwiązania VPN kompatybilne z posiadaną infrastrukturą Zamawiającego, oraz protokoły tunelowania i wirtualizacji sieci, takie jak IPsec, VLAN i GRE, umożliwiając zestawianie tuneli site-to-site oraz client-to-site z uwierzytelnianiem użytkowników za pomocą certyfikatów, login/hasło lub RADIUS/LDAP.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Aptos" w:cs="Calibri" w:asciiTheme="minorHAnsi" w:cstheme="minorHAnsi" w:hAnsiTheme="minorHAnsi"/>
                <w:sz w:val="20"/>
                <w:szCs w:val="20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Router musi obsługiwać zarówno trasy statyczne, jak i dynamiczne protokoły routingu, w tym BGP, OSPF i RIP. W przypadku protokołu BGP urządzenie musi umożliwiać obsługę tablicy routingu. Funkcjonalność DHCP dla IPv4 oraz IPv6 (DHCPv6) jest wymagana, w tym przydzielanie adresów IPv6 zarówno w trybie stateless, jak i stateful, wraz z możliwością konfiguracji zakresów adresów, rezerwacji i przydzielania statycznych adresów dla urządzeń sieciowych.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Urządzenie musi posiadać mechanizmy QoS i shaping ruchu, umożliwiające priorytetyzację i ograniczanie pasma dla wybranych usług, użytkowników lub interfejsów, wraz z obsługą kolejkowania ruchu. Dodatkowo router musi oferować funkcje bezpieczeństwa i monitorowania, w tym IDS/IPS, obsługę blacklist oraz możliwość wysyłania logów na zewnętrzny serwer (syslog). System musi umożliwiać monitorowanie ruchu sieciowego i obciążenia urządzenia w czasie rzeczywistym.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sz w:val="20"/>
                <w:szCs w:val="20"/>
                <w:lang w:val="pl-PL" w:bidi="ar-SA"/>
                <w14:ligatures w14:val="standardContextual"/>
              </w:rPr>
              <w:t>Administracja routera powinna odbywać się zarówno za pomocą graficznego interfejsu WWW (HTTPS), jak i CLI (SSH), z możliwością tworzenia kopii zapasowych i przywracania konfiguracji. Aktualizacje bezpieczeństwa muszą być dostępne bez dodatkowych opłat w okresie gwarancji. Oprogramowanie routera musi być dostępne wraz z kodem źródłowym i umożliwiać niezależnym deweloperom tworzenie i instalowanie dodatkowych funkcjonalności w formie modułów lub wtyczek, zgodnie z zasadami open source, co umożliwia rozwój i integrację z innymi rozwiązaniami.</w:t>
            </w:r>
          </w:p>
        </w:tc>
      </w:tr>
      <w:tr>
        <w:trPr>
          <w:trHeight w:val="280" w:hRule="atLeast"/>
        </w:trPr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Gwarancja</w:t>
            </w:r>
          </w:p>
        </w:tc>
        <w:tc>
          <w:tcPr>
            <w:tcW w:w="77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pl-PL" w:bidi="ar-SA"/>
              </w:rPr>
              <w:t>12 miesięcy</w:t>
            </w:r>
          </w:p>
        </w:tc>
      </w:tr>
    </w:tbl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1" w:name="_Toc237435091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zapory sieciowej UTM klasy przemysłowej dla segmentacji i ochrony sieci OT/ICS</w:t>
      </w:r>
      <w:bookmarkEnd w:id="21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instalację, konfigurację oraz uruchomienie zapory sieciowej opartej o oprogramowanie Open Source. W ramach wdrożenia Wykonawca:</w:t>
      </w:r>
    </w:p>
    <w:p>
      <w:pPr>
        <w:pStyle w:val="Normal"/>
        <w:numPr>
          <w:ilvl w:val="0"/>
          <w:numId w:val="34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zamontuje i uruchomi urządzenie w miejscu wskazanym przez Zamawiającego,</w:t>
      </w:r>
    </w:p>
    <w:p>
      <w:pPr>
        <w:pStyle w:val="Normal"/>
        <w:numPr>
          <w:ilvl w:val="0"/>
          <w:numId w:val="34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oraz skonfiguruje system operacyjny zapory sieciowej,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zaktualizuje BIOS/UEFI urządzenia oraz oprogramowanie systemowe i wszystkie komponenty do aktualnych stabilnych wersji,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interfejsy sieciowe, adresację IP oraz podstawowy routing,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translację adresów NAT (SNAT, DNAT oraz Port Forwarding),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polityki zapory sieciowej wraz z regułami filtrowania ruchu pomiędzy sieciami,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sieci VLAN oraz podstawową segmentację ruchu sieciowego,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usługi DHCP dla IPv4 oraz IPv6, jeżeli będą wykorzystywane,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routing statyczny oraz dynamiczny zgodnie z wymaganiami Zamawiającego,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tunele VPN typu Site-to-Site oraz Client-to-Site wraz z mechanizmami uwierzytelniania użytkowników,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moduły rozszerzające realizujące funkcje IDS/IPS, filtrowania ruchu oraz ochrony przed zagrożeniami,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QoS oraz Traffic Shaping dla wskazanych usług lub interfejsów,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wysyłanie logów do centralnego systemu monitorowania lub systemu SIEM z wykorzystaniem protokołu Syslog,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monitorowania stanu urządzenia, wykorzystania zasobów oraz ruchu sieciowego,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 kopię zapasową konfiguracji urządzenia oraz przygotuje możliwość jej odtworzenia,</w:t>
      </w:r>
    </w:p>
    <w:p>
      <w:pPr>
        <w:pStyle w:val="Normal"/>
        <w:numPr>
          <w:ilvl w:val="0"/>
          <w:numId w:val="34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testy poprawności działania obejmujące w szczególności routing, NAT, VPN, polityki bezpieczeństwa, segmentację VLAN, mechanizmy IDS/IPS oraz komunikację z systemem monitorowania,</w:t>
      </w:r>
    </w:p>
    <w:p>
      <w:pPr>
        <w:pStyle w:val="Normal"/>
        <w:numPr>
          <w:ilvl w:val="0"/>
          <w:numId w:val="34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urządzenie do eksploatacji wraz z dokumentacją powdrożeniową zawierającą opis konfiguracji, kopię konfiguracji oraz instrukcję odtworzenia systemu po awarii.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2" w:name="_Toc237435092"/>
      <w:r>
        <w:rPr>
          <w:rFonts w:cs="Calibri" w:ascii="Calibri" w:hAnsi="Calibri" w:asciiTheme="minorHAnsi" w:cstheme="minorHAnsi" w:hAnsiTheme="minorHAnsi"/>
          <w:sz w:val="20"/>
          <w:szCs w:val="20"/>
        </w:rPr>
        <w:t>EDR do ochrony stacji roboczych i serwerów OT (3 szt.)</w:t>
      </w:r>
      <w:bookmarkEnd w:id="22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Obecnie Zamawiający użytkuję oprogramowanie ESET PROTECT ENTRY o identyfikatorze licencji 3A2-PSA-XNU Dostarczone oprogramowanie musi zostać przedłużone o rok oraz podniesione przynajmniej do wersji ESET PROTECT Enterprise oraz chronić minimum 3 serwery, zachowując przy tym możliwość chronienia minimum 20 komputerów opisanych w punkcie 1 OPZ.</w:t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  <w:bookmarkStart w:id="23" w:name="_Hlk233371563"/>
      <w:bookmarkStart w:id="24" w:name="_Hlk233371563"/>
      <w:bookmarkEnd w:id="24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5" w:name="_Toc237435093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systemu EDR do ochrony stacji roboczych i serwerów OT</w:t>
      </w:r>
      <w:bookmarkEnd w:id="25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rozszerzenie istniejącego środowiska EDR o ochronę trzech serwerów wykorzystywanych w środowisku OT. W ramach wdrożenia Wykonawca:</w:t>
      </w:r>
    </w:p>
    <w:p>
      <w:pPr>
        <w:pStyle w:val="Normal"/>
        <w:numPr>
          <w:ilvl w:val="0"/>
          <w:numId w:val="17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konfigurację istniejącego środowiska EDR,</w:t>
      </w:r>
    </w:p>
    <w:p>
      <w:pPr>
        <w:pStyle w:val="Normal"/>
        <w:numPr>
          <w:ilvl w:val="0"/>
          <w:numId w:val="17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rozszerzy licencję o ochronę trzech serwerów,</w:t>
      </w:r>
    </w:p>
    <w:p>
      <w:pPr>
        <w:pStyle w:val="Normal"/>
        <w:numPr>
          <w:ilvl w:val="0"/>
          <w:numId w:val="17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agenty EDR na wskazanych serwerach,</w:t>
      </w:r>
    </w:p>
    <w:p>
      <w:pPr>
        <w:pStyle w:val="Normal"/>
        <w:numPr>
          <w:ilvl w:val="0"/>
          <w:numId w:val="17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przypisze serwery do odpowiednich polityk bezpieczeństwa,</w:t>
      </w:r>
    </w:p>
    <w:p>
      <w:pPr>
        <w:pStyle w:val="Normal"/>
        <w:numPr>
          <w:ilvl w:val="0"/>
          <w:numId w:val="17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mechanizmy wykrywania zagrożeń i raportowania zdarzeń,</w:t>
      </w:r>
    </w:p>
    <w:p>
      <w:pPr>
        <w:pStyle w:val="Normal"/>
        <w:numPr>
          <w:ilvl w:val="0"/>
          <w:numId w:val="17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zweryfikuje komunikację z centralną konsolą zarządzającą,</w:t>
      </w:r>
    </w:p>
    <w:p>
      <w:pPr>
        <w:pStyle w:val="Normal"/>
        <w:numPr>
          <w:ilvl w:val="0"/>
          <w:numId w:val="17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 poprawności działania systemu oraz potwierdzi prawidłową ochronę wszystkich wdrożonych serwerów.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6" w:name="_Toc237435094"/>
      <w:r>
        <w:rPr>
          <w:rFonts w:cs="Calibri" w:ascii="Calibri" w:hAnsi="Calibri" w:asciiTheme="minorHAnsi" w:cstheme="minorHAnsi" w:hAnsiTheme="minorHAnsi"/>
          <w:sz w:val="20"/>
          <w:szCs w:val="20"/>
        </w:rPr>
        <w:t>System monitorowania infrastruktury OT do analizy logów, zdarzeń i anomalii w środowisku przemysłowym</w:t>
      </w:r>
      <w:bookmarkEnd w:id="26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9007" w:type="dxa"/>
        <w:jc w:val="left"/>
        <w:tblInd w:w="1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59"/>
        <w:gridCol w:w="6947"/>
      </w:tblGrid>
      <w:tr>
        <w:trPr>
          <w:trHeight w:val="56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Ogólne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klasy SIEM w modelu Open Source przeznaczony do centralnego monitorowania bezpieczeństwa infrastruktury IT i OT. Rozwiązanie musi umożliwiać zbieranie, analizę, korelację oraz przechowywanie logów z serwerów, stacji roboczych, urządzeń sieciowych, systemów operacyjnych, aplikacji oraz urządzeń przemysłowych. Licencja nie może ograniczać liczby monitorowanych urządzeń, użytkowników ani serwerów.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Monitorowanie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Centralne zbieranie logów w czasie rzeczywistym.• Obsługa agentów oraz monitorowania bezagentowego (m.in. Syslog).• Monitorowanie serwerów, stacji roboczych, urządzeń sieciowych oraz usług.• Dashboardy prezentujące stan bezpieczeństwa infrastruktury.• Raportowanie historyczne oraz analiza trendów.• Korelacja zdarzeń pochodzących z wielu źródeł.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Cyberbezpieczeństwo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Wykrywanie zagrożeń z mapowaniem do MITRE ATT&amp;CK.• Monitorowanie integralności plików (FIM).• Rootcheck.• Monitorowanie konfiguracji systemów.• Ocena zgodności konfiguracji z politykami bezpieczeństwa.• Wykrywanie podatności oraz błędnych konfiguracji.• Inwentaryzacja sprzętu i oprogramowania.• Możliwość tworzenia własnych reguł detekcji oraz dekoderów logów.• Integracja z zewnętrznymi źródłami Threat Intelligence.• Powiadamianie o incydentach bezpieczeństwa.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Integracja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Integracja z Active Directory/LDAP.• Integracja z rozwiązaniami EDR, XDR, IDS/IPS, firewallami, systemami pocztowymi oraz urządzeniami sieciowymi.• Możliwość integracji z systemami zgłoszeniowymi oraz zewnętrznymi platformami bezpieczeństwa.• Możliwość monitorowania środowisk lokalnych oraz rozproszonych.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Zarządzanie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Zarządzanie przez interfejs WWW.• Role administratorów i operatorów.• Definiowanie retencji danych.• Konfigurowalne reguły alarmowania.• Możliwość automatycznej reakcji na wybrane incydenty bezpieczeństwa.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Licencjonowanie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Rozwiązanie Open Source niewymagające opłat licencyjnych za liczbę monitorowanych urządzeń, użytkowników ani serwerów oraz umożliwiające swobodną rozbudowę środowiska.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7" w:name="_Toc237435095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systemu monitorowania infrastruktury OT</w:t>
      </w:r>
      <w:bookmarkEnd w:id="27"/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Usługa obejmuje dostawę, instalację, konfigurację oraz uruchomienie systemu klasy SIEM w infrastrukturze Zamawiającego. W ramach wdrożenia Wykonawca:</w:t>
      </w:r>
    </w:p>
    <w:p>
      <w:pPr>
        <w:pStyle w:val="Normal"/>
        <w:numPr>
          <w:ilvl w:val="0"/>
          <w:numId w:val="19"/>
        </w:numPr>
        <w:spacing w:beforeAutospacing="1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analizę infrastruktury IT oraz OT i określi źródła logów przeznaczone do integracji z systemem,</w:t>
      </w:r>
    </w:p>
    <w:p>
      <w:pPr>
        <w:pStyle w:val="Normal"/>
        <w:numPr>
          <w:ilvl w:val="0"/>
          <w:numId w:val="19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zainstaluje i skonfiguruje serwer systemu SIEM wraz z komponentami zarządzającymi,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bezpieczną komunikację pomiędzy agentami oraz serwerem centralnym,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wdroży monitorowanie serwerów, stacji roboczych, urządzeń sieciowych, systemów operacyjnych oraz wybranych urządzeń OT,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zbieranie logów z wykorzystaniem agentów oraz mechanizmów bezagentowych (m.in. Syslog),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wdroży monitorowanie integralności plików (FIM), kontrolę konfiguracji, wykrywanie podatności, inwentaryzację sprzętu i oprogramowania oraz mechanizmy Rootcheck,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reguły korelacji zdarzeń, mechanizmy wykrywania zagrożeń oraz mapowanie zdarzeń do macierzy MITRE ATT&amp;CK,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polityki zgodności z wymaganiami bezpieczeństwa oraz mechanizmy monitorowania zmian konfiguracji,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przygotuje dashboardy administracyjne, raporty oraz mechanizmy powiadamiania o incydentach,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strojenie (tuning) reguł detekcji w celu ograniczenia liczby fałszywych alarmów i zwiększenia skuteczności wykrywania zagrożeń,</w:t>
      </w:r>
    </w:p>
    <w:p>
      <w:pPr>
        <w:pStyle w:val="Normal"/>
        <w:numPr>
          <w:ilvl w:val="0"/>
          <w:numId w:val="19"/>
        </w:numPr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 testy poprawności działania systemu obejmujące zbieranie logów, korelację zdarzeń, generowanie alarmów oraz mechanizmy aktywnej odpowiedzi,</w:t>
      </w:r>
    </w:p>
    <w:p>
      <w:pPr>
        <w:pStyle w:val="Normal"/>
        <w:numPr>
          <w:ilvl w:val="0"/>
          <w:numId w:val="19"/>
        </w:numPr>
        <w:spacing w:before="0" w:afterAutospacing="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przekaże system do eksploatacji wraz z dokumentacją powdrożeniową obejmującą konfigurację systemu, źródła logów, zastosowane reguły oraz procedury administracyjne.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8" w:name="_Toc237435096"/>
      <w:r>
        <w:rPr>
          <w:rFonts w:cs="Calibri" w:ascii="Calibri" w:hAnsi="Calibri" w:asciiTheme="minorHAnsi" w:cstheme="minorHAnsi" w:hAnsiTheme="minorHAnsi"/>
          <w:sz w:val="20"/>
          <w:szCs w:val="20"/>
        </w:rPr>
        <w:t>Sondy/sensory do pasywnego monitorowania ruchu i protokołów przemysłowych w sieciach OT</w:t>
      </w:r>
      <w:bookmarkEnd w:id="28"/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– 3 szt</w:t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9007" w:type="dxa"/>
        <w:jc w:val="left"/>
        <w:tblInd w:w="1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59"/>
        <w:gridCol w:w="6947"/>
      </w:tblGrid>
      <w:tr>
        <w:trPr>
          <w:trHeight w:val="56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Ogólne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Rozwiązanie przeznaczone do pasywnego monitorowania ruchu sieciowego w środowiskach OT/ICS, umożliwiające identyfikację urządzeń, analizę komunikacji oraz wykrywanie anomalii bez ingerencji w pracę sieci przemysłowej.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Monitorowanie ruchu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Sondy muszą obsługiwać monitorowanie ruchu z wykorzystaniem portów SPAN, TAP lub równoważnych mechanizmów, zapewniając analizę komunikacji pomiędzy urządzeniami pracującymi w sieci OT.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Obsługa protokołów przemysłowych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Rozwiązanie musi umożliwiać analizę ruchu charakterystycznego dla środowisk przemysłowych oraz identyfikację urządzeń i usług wykorzystujących protokoły przemysłowe.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Integracja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Sondy muszą zapewniać pełną integrację z Systemem monitorowania infrastruktury OT do analizy logów, zdarzeń i anomalii w środowisku przemysłowym opisanym w poz. 25, przekazując dane telemetryczne, informacje o wykrytych urządzeniach, zdarzeniach oraz wykrytych anomaliach.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Nazwa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Minimalne wymagania dla sprzętu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Typ urządzenia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Urządzenie wykonane w kompaktowej obudowie umożliwiającej pracę ciągłą 24/7.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czterordzeniowy procesor x86-64 o taktowaniu do 3,4 GHz, TDP nie większym niż 10 W.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Pamięć operacyjna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8 GB DDR5 z możliwością rozbudowy do co najmniej 32 GB.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1 × gniazdo M.2 NVMe 2280 umożliwiające instalację dysku SSD.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Interfejsy sieciowe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2 × port Ethernet 10 Gb/s SFP+ lub RJ45 oraz minimum 4 × port Ethernet 2.5 Gb/s RJ45.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Interfejsy I/O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Minimum 1 × USB 3.0, minimum 4 × USB 2.0, minimum 1 × USB-C, gniazdo kart pamięci microSD/TF oraz port konsolowy lub równoważny interfejs administracyjny.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Grafika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Wyjście HDMI oraz DisplayPort lub USB-C DisplayPort Alternate Mode umożliwiające lokalną administrację urządzeniem.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Aluminiowa obudowa przystosowana do ciągłej pracy, wyposażona w aktywny układ chłodzenia.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Zasilanie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Zasilacz zewnętrzny 12 V DC.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Funkcjonalność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Obsługa automatycznego uruchamiania po przywróceniu zasilania (Auto Power On).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Warunki pracy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Temperatura pracy minimum od -20°C do +60°C</w:t>
            </w:r>
          </w:p>
        </w:tc>
      </w:tr>
      <w:tr>
        <w:trPr>
          <w:trHeight w:val="280" w:hRule="atLeast"/>
        </w:trPr>
        <w:tc>
          <w:tcPr>
            <w:tcW w:w="20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69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12 miesięcy</w:t>
            </w:r>
          </w:p>
        </w:tc>
      </w:tr>
    </w:tbl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9" w:name="_Toc237435097"/>
      <w:r>
        <w:rPr>
          <w:rFonts w:cs="Calibri" w:ascii="Calibri" w:hAnsi="Calibri" w:asciiTheme="minorHAnsi" w:cstheme="minorHAnsi" w:hAnsiTheme="minorHAnsi"/>
          <w:sz w:val="20"/>
          <w:szCs w:val="20"/>
        </w:rPr>
        <w:t>Wdrożenie sond/sensorów do pasywnego monitorowania ruchu i protokołów przemysłowych w sieciach OT</w:t>
      </w:r>
      <w:bookmarkEnd w:id="29"/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– 3 szt.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Usługa obejmuje instalację, konfigurację oraz uruchomienie sond monitorujących ruch sieciowy w środowisku OT, ich podłączenie do punktów monitorowania ruchu (SPAN, TAP lub równoważnych), integrację z </w:t>
      </w:r>
      <w:r>
        <w:rPr>
          <w:rStyle w:val="S1"/>
          <w:rFonts w:cs="Calibri" w:ascii="Calibri" w:hAnsi="Calibri" w:asciiTheme="minorHAnsi" w:cstheme="minorHAnsi" w:hAnsiTheme="minorHAnsi"/>
          <w:b/>
          <w:bCs/>
          <w:sz w:val="20"/>
          <w:szCs w:val="20"/>
        </w:rPr>
        <w:t>Systemem monitorowania infrastruktury OT do analizy logów, zdarzeń i anomalii w środowisku przemysłowym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opisanym w </w:t>
      </w:r>
      <w:r>
        <w:rPr>
          <w:rStyle w:val="S1"/>
          <w:rFonts w:cs="Calibri" w:ascii="Calibri" w:hAnsi="Calibri" w:asciiTheme="minorHAnsi" w:cstheme="minorHAnsi" w:hAnsiTheme="minorHAnsi"/>
          <w:b/>
          <w:bCs/>
          <w:sz w:val="20"/>
          <w:szCs w:val="20"/>
        </w:rPr>
        <w:t>poz. 25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, konfigurację przekazywania danych, zdarzeń i wykrytych anomalii do tego systemu oraz przeprowadzenie testów poprawności działania całego rozwiązania.</w:t>
        <w:br/>
        <w:t>W ramach wdrożenia Wykonawca:</w:t>
      </w:r>
    </w:p>
    <w:p>
      <w:pPr>
        <w:pStyle w:val="P1"/>
        <w:numPr>
          <w:ilvl w:val="0"/>
          <w:numId w:val="37"/>
        </w:numPr>
        <w:spacing w:before="28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monitorowanie ruchu sieciowego w środowisku OT,</w:t>
      </w:r>
    </w:p>
    <w:p>
      <w:pPr>
        <w:pStyle w:val="P1"/>
        <w:numPr>
          <w:ilvl w:val="0"/>
          <w:numId w:val="37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analizę wykorzystywanych protokołów przemysłowych,</w:t>
      </w:r>
    </w:p>
    <w:p>
      <w:pPr>
        <w:pStyle w:val="P1"/>
        <w:numPr>
          <w:ilvl w:val="0"/>
          <w:numId w:val="37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zintegruje rozwiązanie z systemem monitorowania OT opisanym w poz. 25,</w:t>
      </w:r>
    </w:p>
    <w:p>
      <w:pPr>
        <w:pStyle w:val="P1"/>
        <w:numPr>
          <w:ilvl w:val="0"/>
          <w:numId w:val="37"/>
        </w:numPr>
        <w:spacing w:before="0" w:after="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skonfiguruje przekazywanie danych telemetrycznych, zdarzeń oraz wykrytych anomalii,</w:t>
      </w:r>
    </w:p>
    <w:p>
      <w:pPr>
        <w:pStyle w:val="P1"/>
        <w:numPr>
          <w:ilvl w:val="0"/>
          <w:numId w:val="37"/>
        </w:numPr>
        <w:spacing w:before="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przeprowadzi testy poprawności działania monitorowania oraz integracji z systemem centralnym.</w:t>
      </w:r>
    </w:p>
    <w:p>
      <w:pPr>
        <w:pStyle w:val="Nagwek1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  </w:t>
      </w:r>
      <w:bookmarkStart w:id="30" w:name="_Toc234843049"/>
      <w:bookmarkStart w:id="31" w:name="_Toc237435098"/>
      <w:r>
        <w:rPr>
          <w:rFonts w:cs="Calibri" w:ascii="Calibri" w:hAnsi="Calibri" w:asciiTheme="minorHAnsi" w:cstheme="minorHAnsi" w:hAnsiTheme="minorHAnsi"/>
          <w:sz w:val="20"/>
          <w:szCs w:val="20"/>
        </w:rPr>
        <w:t>Instalacja, konfiguracja i wsparcie techniczne systemu uwierzytelniania i autoryzacji dostępu do sieci RADIUS</w:t>
      </w:r>
      <w:bookmarkEnd w:id="30"/>
      <w:bookmarkEnd w:id="31"/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8"/>
        </w:numPr>
        <w:suppressAutoHyphens w:val="false"/>
        <w:spacing w:lineRule="auto" w:line="240" w:before="0" w:after="240"/>
        <w:contextualSpacing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Wymagania funkcjonalne i techniczne</w:t>
      </w:r>
    </w:p>
    <w:tbl>
      <w:tblPr>
        <w:tblW w:w="9026" w:type="dxa"/>
        <w:jc w:val="left"/>
        <w:tblInd w:w="90" w:type="dxa"/>
        <w:tblLayout w:type="fixed"/>
        <w:tblCellMar>
          <w:top w:w="70" w:type="dxa"/>
          <w:left w:w="100" w:type="dxa"/>
          <w:bottom w:w="70" w:type="dxa"/>
          <w:right w:w="100" w:type="dxa"/>
        </w:tblCellMar>
        <w:tblLook w:firstRow="1" w:noVBand="1" w:lastRow="0" w:firstColumn="1" w:lastColumn="0" w:noHBand="0" w:val="04a0"/>
      </w:tblPr>
      <w:tblGrid>
        <w:gridCol w:w="600"/>
        <w:gridCol w:w="8425"/>
      </w:tblGrid>
      <w:tr>
        <w:trPr>
          <w:tblHeader w:val="true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2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Wymaganie / Opis wymagania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Cel systemu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Centralny system AAA zapewniający uwierzytelnianie użytkowników i urządzeń próbujących uzyskać dostęp do zasobów sieciowych, kontrolujący polityki dostępu oraz rejestrujący zdarzenia dostępowe na potrzeby audytów bezpieczeństwa.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Uwierzytelnianie użytkowników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obsługiwać uwierzytelnianie użytkowników metodami EAP: co najmniej EAP-TLS (certyfikaty X.509), PEAP/MSCHAPv2 oraz EAP-TTLS/MSCHAPv2 lub EAP-TTLS/PAP.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Obsługa 802.1X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obsługiwać uwierzytelnianie portów sieciowych zgodnie z normą IEEE 802.1X dla sieci bezprzewodowej (WPA2-Enterprise lub WPA3-Enterprise) oraz sieci przewodowej.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Autoryzacja i dynamiczne VLAN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umożliwiać definiowanie polityk autoryzacji z dynamicznym przypisywaniem identyfikatora VLAN (Tunnel-Private-Group-ID) do sesji sieciowej.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Rozliczanie dostępu (accounting)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rejestrować zdarzenia rozliczeniowe (accounting start, stop, interim-update) zgodnie z RFC 2866. Logi muszą zawierać: tożsamość użytkownika, adres MAC urządzenia, adres IP, czas trwania sesji oraz wynik uwierzytelnienia. Wymagany eksport logów do zewnętrznego systemu zarządzania logami (Syslog lub równoważny).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Obsługa wielu klientów RADIUS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obsługiwać równoczesną pracę z wieloma klientami RADIUS (NAS): punktami dostępowymi Wi-Fi, przełącznikami sieciowymi. Każdy klient konfigurowany z indywidualnym kluczem współdzielonym (shared secret).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Wymagania techniczne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Oprogramowanie musi działać jako usługa systemowa na serwerze GNU/Linux (Ubuntu Server, Debian lub równoważny). Dopuszczalna instalacja na maszynie wirtualnej w infrastrukturze Zamawiającego. Minimalne wymagania sprzętowe: 2 vCPU, 4 GB RAM, 40 GB przestrzeni dyskowej. Porty: UDP 1812 (uwierzytelnianie/autoryzacja) i UDP 1813 (accounting). Wymagane szyfrowanie TLS 1.2 lub wyższe dla metod EAP.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Normal"/>
              <w:widowControl w:val="false"/>
              <w:spacing w:lineRule="auto" w:line="276" w:before="0" w:after="8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</w:rPr>
              <w:t>Kompatybilność z infrastrukturą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System musi współpracować z urządzeniami sieciowymi wdrożonymi u Zamawiającego. Szczegółowy wykaz urządzeń zostanie przekazany Wykonawcy przed rozpoczęciem prac wdrożeniowych.</w:t>
            </w:r>
          </w:p>
        </w:tc>
      </w:tr>
    </w:tbl>
    <w:p>
      <w:pPr>
        <w:pStyle w:val="Normal"/>
        <w:spacing w:lineRule="auto" w:line="276" w:before="0" w:after="120"/>
        <w:jc w:val="both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ListParagraph"/>
        <w:numPr>
          <w:ilvl w:val="0"/>
          <w:numId w:val="38"/>
        </w:numPr>
        <w:suppressAutoHyphens w:val="false"/>
        <w:spacing w:lineRule="auto" w:line="240" w:before="0" w:after="240"/>
        <w:contextualSpacing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Instalacja i konfiguracja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Wykonawca zainstaluje i skonfiguruje oprogramowanie w siedzibie Zamawiającego. Zakres prac obejmuje: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a)</w:t>
        <w:tab/>
        <w:t>Instalację oprogramowania i wszystkich niezbędnych komponentów na serwerze wskazanym przez Zamawiającego.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b)</w:t>
        <w:tab/>
        <w:t>Konfigurację metod EAP wraz z certyfikatami TLS dla serwera.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c)</w:t>
        <w:tab/>
        <w:t>Konfigurację klientów RADIUS: punktów dostępowych Wi-Fi, przełączników.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d)</w:t>
        <w:tab/>
        <w:t>Konfigurację polityk autoryzacji z dynamicznym przypisywaniem VLAN.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r)</w:t>
        <w:tab/>
        <w:t>Testy funkcjonalne potwierdzone protokołem odbioru.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f)</w:t>
        <w:tab/>
        <w:t>Dokumentację powdrożeniową w języku polskim (opis architektury, konfiguracja, instrukcja obsługi).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Wszystkie prace muszą być realizowane stacjonarnie w siedzibie Zamawiającego. Nie dopuszcza się formy zdalnej.</w:t>
      </w:r>
    </w:p>
    <w:p>
      <w:pPr>
        <w:pStyle w:val="ListParagraph"/>
        <w:numPr>
          <w:ilvl w:val="0"/>
          <w:numId w:val="38"/>
        </w:numPr>
        <w:suppressAutoHyphens w:val="false"/>
        <w:spacing w:lineRule="auto" w:line="240" w:before="0" w:after="240"/>
        <w:contextualSpacing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Szkolenie administratorów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Wykonawca przeprowadzi szkolenie stacjonarne administratorów IT Zamawiającego </w:t>
        <w:br/>
        <w:t xml:space="preserve">z obsługi wdrożonego systemu. Szkolenie musi trwać minimum 8 godzin dydaktycznych </w:t>
        <w:br/>
        <w:t>i obejmować co najmniej: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a)</w:t>
        <w:tab/>
        <w:t>Architekturę protokołu RADIUS i zasadę działania systemu AAA.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b)</w:t>
        <w:tab/>
        <w:t>Zarządzanie klientami RADIUS – dodawanie, modyfikacja, usuwanie.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c)</w:t>
        <w:tab/>
        <w:t>Modyfikację polityk autoryzacji i reguł dostępu.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d)</w:t>
        <w:tab/>
        <w:t>Zarządzanie certyfikatami TLS – odnawianie i wymiana certyfikatu serwera.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e)</w:t>
        <w:tab/>
        <w:t>Analizę logów i diagnozowanie błędów uwierzytelniania.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f)</w:t>
        <w:tab/>
        <w:t>Procedury awaryjne: restart usługi, odtwarzanie po awarii.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Szkolenie odbywa się stacjonarnie w siedzibie Zamawiającego. Nie dopuszcza się formy zdalnej. Wykonawca dostarcza materiały szkoleniowe i wystawia potwierdzenie odbycia szkolenia dla każdego uczestnika.</w:t>
      </w:r>
    </w:p>
    <w:p>
      <w:pPr>
        <w:pStyle w:val="ListParagraph"/>
        <w:numPr>
          <w:ilvl w:val="0"/>
          <w:numId w:val="38"/>
        </w:numPr>
        <w:suppressAutoHyphens w:val="false"/>
        <w:spacing w:lineRule="auto" w:line="240" w:before="240" w:after="240"/>
        <w:contextualSpacing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Wsparcie techniczne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Wykonawca zapewni wsparcie techniczne przez okres 36 miesięcy od daty odbioru końcowego, obejmujące: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a)</w:t>
        <w:tab/>
        <w:t xml:space="preserve">Pomoc w rozwiązywaniu problemów z uwierzytelnianiem użytkowników </w:t>
        <w:br/>
        <w:t>i urządzeń.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b)</w:t>
        <w:tab/>
        <w:t xml:space="preserve">Konsultacje w zakresie modyfikacji konfiguracji, aktualizacji oprogramowania </w:t>
        <w:br/>
        <w:t>i zarządzania certyfikatami.</w:t>
      </w:r>
    </w:p>
    <w:p>
      <w:pPr>
        <w:pStyle w:val="Normal"/>
        <w:spacing w:lineRule="auto" w:line="276" w:before="0" w:after="160"/>
        <w:ind w:left="36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c)</w:t>
        <w:tab/>
        <w:t>Ogólną asystę w utrzymaniu systemu.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Wsparcie świadczone jest stacjonarnie w siedzibie Zamawiającego w godzinach roboczych (pon.–pt. 6:00–15:00). Nie dopuszcza się formy zdalnej. Zakres i czas reakcji na zgłoszenia będzie zgodny z umową.</w:t>
      </w:r>
    </w:p>
    <w:p>
      <w:pPr>
        <w:pStyle w:val="ListParagraph"/>
        <w:numPr>
          <w:ilvl w:val="0"/>
          <w:numId w:val="38"/>
        </w:numPr>
        <w:suppressAutoHyphens w:val="false"/>
        <w:spacing w:lineRule="auto" w:line="240" w:before="240" w:after="240"/>
        <w:contextualSpacing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Warunki odbioru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Odbiór nastąpi po pozytywnym przejściu testów akceptacyjnych obejmujących co najmniej: pomyślne uwierzytelnienie użytkownika AD do sieci Wi-Fi metodą EAP, pomyślne uwierzytelnienie urządzenia OT/ICS metodą MAB z przypisaniem do właściwego VLAN, pomyślne uwierzytelnienie połączenia VPN, odrzucenie próby uwierzytelnienia dla użytkownika spoza uprawnionych grup AD, poprawną rejestrację zdarzeń accounting w logach, przeprowadzenie szkolenia oraz przekazanie dokumentacji powdrożeniowej.</w:t>
      </w:r>
    </w:p>
    <w:p>
      <w:pPr>
        <w:pStyle w:val="Normal"/>
        <w:spacing w:lineRule="auto" w:line="276" w:before="0" w:after="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Zamawiający ma prawo do zgłoszenia uwag i usterek w terminie 14 dni od odbioru. Wykonawca usuwa usterki w terminie uzgodnionym z Zamawiającym.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Wykonawca zobowiązany jest do zachowania poufności wszelkich danych uzyskanych </w:t>
        <w:br/>
        <w:t>w trakcie realizacji zamówienia, w tym logów i danych dostępowych.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agwek1"/>
        <w:rPr/>
      </w:pPr>
      <w:bookmarkStart w:id="32" w:name="_Toc234843050"/>
      <w:bookmarkStart w:id="33" w:name="_Toc237435099"/>
      <w:r>
        <w:rPr/>
        <w:t>instalacja, konfiguracja, wdrożenie i uruchomienie systemu log manager do scentralizowanego gromadzenia, przechowywania, wyszukiwania, analizy i alarmowania zdarzeń logowych z infrastruktury IT/OT</w:t>
      </w:r>
      <w:bookmarkEnd w:id="32"/>
      <w:bookmarkEnd w:id="33"/>
    </w:p>
    <w:p>
      <w:pPr>
        <w:pStyle w:val="Normal"/>
        <w:spacing w:lineRule="auto" w:line="276" w:before="80" w:after="8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 w:before="80" w:after="8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System ma być oparty na oprogramowaniu open-source (self-managed, bez opłat licencyjnych), zapewniającym bezpieczeństwo, nadzór operacyjny oraz szybką reakcję na incydenty, z wsparciem dla wielu źródeł danych i mechanizmów raportowania. </w:t>
      </w:r>
    </w:p>
    <w:p>
      <w:pPr>
        <w:pStyle w:val="Normal"/>
        <w:spacing w:lineRule="auto" w:line="276" w:before="80" w:after="8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System powinien spełniać minimum wymagania opisane poniżej i być realizowany na infrastrukturze Zamawiającego (fizycznej lub wirtualnej). Licencja oprogramowania musi być bezpłatna dla Zamawiającego, z prawem do nieograniczonego korzystania w ramach własnej infrastruktury.</w:t>
      </w:r>
    </w:p>
    <w:p>
      <w:pPr>
        <w:pStyle w:val="Normal"/>
        <w:spacing w:lineRule="auto" w:line="276" w:before="0" w:after="16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40"/>
        </w:numPr>
        <w:suppressAutoHyphens w:val="false"/>
        <w:spacing w:lineRule="auto" w:line="240" w:before="0" w:after="0"/>
        <w:contextualSpacing/>
        <w:rPr>
          <w:rFonts w:ascii="Calibri" w:hAnsi="Calibri" w:cs="Calibri" w:asciiTheme="minorHAnsi" w:cstheme="minorHAnsi" w:hAnsiTheme="minorHAnsi"/>
          <w:b/>
          <w:b/>
          <w:bCs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Cs w:val="20"/>
        </w:rPr>
        <w:t>Wymagania minimalne</w:t>
      </w:r>
    </w:p>
    <w:p>
      <w:pPr>
        <w:pStyle w:val="ListParagraph"/>
        <w:spacing w:lineRule="auto" w:line="240" w:before="0" w:after="0"/>
        <w:contextualSpacing/>
        <w:rPr>
          <w:rFonts w:ascii="Calibri" w:hAnsi="Calibri" w:cs="Calibri" w:asciiTheme="minorHAnsi" w:cstheme="minorHAnsi" w:hAnsiTheme="minorHAnsi"/>
          <w:b/>
          <w:b/>
          <w:bCs/>
          <w:szCs w:val="20"/>
        </w:rPr>
      </w:pPr>
      <w:r>
        <w:rPr>
          <w:rFonts w:cs="Calibri" w:cstheme="minorHAnsi" w:ascii="Calibri" w:hAnsi="Calibri"/>
          <w:b/>
          <w:bCs/>
          <w:szCs w:val="20"/>
        </w:rPr>
      </w:r>
    </w:p>
    <w:p>
      <w:pPr>
        <w:pStyle w:val="Normal"/>
        <w:rPr/>
      </w:pPr>
      <w:r>
        <w:rPr/>
        <w:t>I. Wymagania funkcjonalne</w:t>
      </w:r>
    </w:p>
    <w:p>
      <w:pPr>
        <w:pStyle w:val="ListParagraph"/>
        <w:numPr>
          <w:ilvl w:val="0"/>
          <w:numId w:val="42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Zbieranie dzienników z wielu źródeł jednocześnie: serwery Windows i Linux, urządzenia sieciowe (firewalle, routery, przełączniki przemysłowe), systemy katalogowe, aplikacje biznesowe i środowisko OT; obsługiwane protokoły i formaty: Syslog UDP/TCP, GELF, CEF, JSON, Beats/NXLog lub równoważne, z możliwością zdefiniowania dowolnego numeru portu nasłuchu dla każdego wejścia.</w:t>
      </w:r>
    </w:p>
    <w:p>
      <w:pPr>
        <w:pStyle w:val="ListParagraph"/>
        <w:numPr>
          <w:ilvl w:val="0"/>
          <w:numId w:val="43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Klasyfikacja i filtrowanie dzienników na niezależne strumienie danych z możliwością przypisywania uprawnień dostępu per strumień; zaawansowane wyszukiwanie pełnotekstowe po dowolnych polach, zakresach czasu i słowach kluczowych; zapisywanie często używanych zapytań oraz eksport wyników.</w:t>
      </w:r>
    </w:p>
    <w:p>
      <w:pPr>
        <w:pStyle w:val="ListParagraph"/>
        <w:numPr>
          <w:ilvl w:val="0"/>
          <w:numId w:val="44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Tworzenie interaktywnych dashboardów zawierających wykresy, tabele i wskaźniki KPI prezentujące dane w czasie rzeczywistym lub zbiorczym; możliwość udostępniania dashboardów w trybie tylko do odczytu (read-only) lub dowolnej przeglądarce bez konieczności logowania.</w:t>
      </w:r>
    </w:p>
    <w:p>
      <w:pPr>
        <w:pStyle w:val="ListParagraph"/>
        <w:numPr>
          <w:ilvl w:val="0"/>
          <w:numId w:val="45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Definiowanie reguł alarmowania wyzwalanych przez zdarzenia w napływających danych (m.in. nieudane próby logowania, błędy krytyczne, anomalie w ruchu sieciowym, zmiany konfiguracji urządzeń OT); automatyczne powiadomienia e-mail po wyzwoleniu alarmu; możliwość integracji z zewnętrznymi systemami przez REST API.</w:t>
      </w:r>
    </w:p>
    <w:p>
      <w:pPr>
        <w:pStyle w:val="ListParagraph"/>
        <w:numPr>
          <w:ilvl w:val="0"/>
          <w:numId w:val="46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Zarządzanie retencją i rotacją indeksów z możliwością konfiguracji okresu przechowywania i zasad rotacji; eksport wybranych zbiorów dzienników do archiwizacji zewnętrznej; rozszerzalność przez REST API i importowalne pakiety konfiguracyjne (content packs).</w:t>
      </w:r>
    </w:p>
    <w:p>
      <w:pPr>
        <w:pStyle w:val="ListParagraph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cstheme="minorHAnsi" w:ascii="Calibri" w:hAnsi="Calibri"/>
          <w:szCs w:val="20"/>
        </w:rPr>
      </w:r>
    </w:p>
    <w:p>
      <w:pPr>
        <w:pStyle w:val="Normal"/>
        <w:rPr/>
      </w:pPr>
      <w:r>
        <w:rPr/>
        <w:t>II. Wymagania techniczne i architektura</w:t>
      </w:r>
    </w:p>
    <w:p>
      <w:pPr>
        <w:pStyle w:val="ListParagraph"/>
        <w:numPr>
          <w:ilvl w:val="0"/>
          <w:numId w:val="47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Architektura trójskładowa oparta na komponentach open-source: warstwa aplikacyjna systemu log manager + baza metadanych i konfiguracji (np. MongoDB lub równoważna) + silnik wyszukiwania i indeksowania danych (np. OpenSearch/Elasticsearch lub równoważny).</w:t>
      </w:r>
    </w:p>
    <w:p>
      <w:pPr>
        <w:pStyle w:val="ListParagraph"/>
        <w:numPr>
          <w:ilvl w:val="0"/>
          <w:numId w:val="48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Minimalne wymagania sprzętowe dla wolumenu 1–10 GB dzienników dziennie: węzeł aplikacyjny z bazą metadanych – min. 8 vCPU, 16 GB RAM, 130 GB SSD; węzeł silnika wyszukiwania – min. 8 vCPU, 24 GB RAM, 100 GB SSD o wysokim IOPS. Możliwość skalowania pionowego i poziomego przez dodawanie węzłów. Zamawiający dysponuje serwerem lub maszyną wirtualną – Wykonawca jest zobowiązany wskazać w ofercie czy dostępna infrastruktura spełnia powyższe wymagania, a w przypadku niezgodności zaproponować rozwiązanie alternatywne.</w:t>
      </w:r>
    </w:p>
    <w:p>
      <w:pPr>
        <w:pStyle w:val="ListParagraph"/>
        <w:numPr>
          <w:ilvl w:val="0"/>
          <w:numId w:val="49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System operacyjny: Linux (dystrybucja LTS wspierana przez producenta oprogramowania, np. Ubuntu Server, Debian lub RHEL/równoważna).</w:t>
      </w:r>
    </w:p>
    <w:p>
      <w:pPr>
        <w:pStyle w:val="ListParagraph"/>
        <w:numPr>
          <w:ilvl w:val="0"/>
          <w:numId w:val="50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Bezpieczeństwo: dostęp do interfejsu webowego wyłącznie przez HTTPS; uwierzytelnianie przez lokalne konta użytkowników oraz opcjonalnie przez LDAP/Active Directory; polityka kontroli dostępu per strumień danych i dashboard; możliwość szyfrowania transmisji dzienników od źródeł do systemu (TLS).</w:t>
      </w:r>
    </w:p>
    <w:p>
      <w:pPr>
        <w:pStyle w:val="ListParagraph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cstheme="minorHAnsi" w:ascii="Calibri" w:hAnsi="Calibri"/>
          <w:szCs w:val="20"/>
        </w:rPr>
      </w:r>
    </w:p>
    <w:p>
      <w:pPr>
        <w:pStyle w:val="Normal"/>
        <w:rPr/>
      </w:pPr>
      <w:r>
        <w:rPr/>
        <w:t>III. Wymagania licencyjne i dokumentacja</w:t>
      </w:r>
    </w:p>
    <w:p>
      <w:pPr>
        <w:pStyle w:val="ListParagraph"/>
        <w:numPr>
          <w:ilvl w:val="0"/>
          <w:numId w:val="51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Oprogramowanie open-source bez opłat licencyjnych za samo oprogramowanie; Zamawiający uzyskuje prawo do nieograniczonego czasowo korzystania z oprogramowania w granicach własnej infrastruktury.</w:t>
      </w:r>
    </w:p>
    <w:p>
      <w:pPr>
        <w:pStyle w:val="ListParagraph"/>
        <w:numPr>
          <w:ilvl w:val="0"/>
          <w:numId w:val="52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Wykonawca dostarczy dokumentację powdrożeniową w języku polskim lub angielskim zawierającą: opis architektury systemu, konfigurację źródeł dzienników, opis zdefiniowanych reguł alarmowania oraz zasady zarządzania retencją i archiwizacją.</w:t>
      </w:r>
    </w:p>
    <w:p>
      <w:pPr>
        <w:pStyle w:val="ListParagraph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cstheme="minorHAnsi" w:ascii="Calibri" w:hAnsi="Calibri"/>
          <w:szCs w:val="20"/>
        </w:rPr>
      </w:r>
    </w:p>
    <w:p>
      <w:pPr>
        <w:pStyle w:val="Normal"/>
        <w:rPr/>
      </w:pPr>
      <w:r>
        <w:rPr/>
        <w:t>IV. Zakres wdrożenia i usług</w:t>
      </w:r>
    </w:p>
    <w:p>
      <w:pPr>
        <w:pStyle w:val="Nagwek2"/>
        <w:numPr>
          <w:ilvl w:val="0"/>
          <w:numId w:val="0"/>
        </w:numPr>
        <w:spacing w:lineRule="auto" w:line="276"/>
        <w:ind w:left="576" w:hanging="0"/>
        <w:jc w:val="both"/>
        <w:rPr>
          <w:rFonts w:ascii="Calibri" w:hAnsi="Calibri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bookmarkStart w:id="34" w:name="_Toc234843051"/>
      <w:bookmarkStart w:id="35" w:name="_Toc237435100"/>
      <w:r>
        <w:rPr>
          <w:rFonts w:cs="Calibri" w:ascii="Calibri" w:hAnsi="Calibri" w:asciiTheme="minorHAnsi" w:cstheme="minorHAnsi" w:hAnsiTheme="minorHAnsi"/>
          <w:b/>
          <w:bCs/>
          <w:color w:val="auto"/>
          <w:sz w:val="20"/>
          <w:szCs w:val="20"/>
        </w:rPr>
        <w:t>Instalacja i konfiguracja</w:t>
      </w:r>
      <w:bookmarkEnd w:id="34"/>
      <w:bookmarkEnd w:id="35"/>
    </w:p>
    <w:p>
      <w:pPr>
        <w:pStyle w:val="ListParagraph"/>
        <w:numPr>
          <w:ilvl w:val="0"/>
          <w:numId w:val="53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Instalacja systemu operacyjnego na wskazanym przez Zamawiającego serwerze lub maszynie wirtualnej.</w:t>
      </w:r>
    </w:p>
    <w:p>
      <w:pPr>
        <w:pStyle w:val="ListParagraph"/>
        <w:numPr>
          <w:ilvl w:val="0"/>
          <w:numId w:val="54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Instalacja i konfiguracja wszystkich komponentów systemu log manager wraz z testami funkcjonalnymi.</w:t>
      </w:r>
    </w:p>
    <w:p>
      <w:pPr>
        <w:pStyle w:val="ListParagraph"/>
        <w:numPr>
          <w:ilvl w:val="0"/>
          <w:numId w:val="55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Weryfikacja synchronizacji czasu (NTP) na wszystkich urządzeniach wysyłających dzienniki; w przypadku braku wspólnego zegara Wykonawca zaproponuje rozwiązanie uwspólniające czas w sieci Zamawiającego.</w:t>
      </w:r>
    </w:p>
    <w:p>
      <w:pPr>
        <w:pStyle w:val="ListParagraph"/>
        <w:numPr>
          <w:ilvl w:val="0"/>
          <w:numId w:val="56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Konfiguracja osobnych wejść (inputs) z odrębnymi portami nasłuchu dla poszczególnych kategorii urządzeń, umożliwiająca separację danych napływających z różnych typów źródeł.</w:t>
      </w:r>
    </w:p>
    <w:p>
      <w:pPr>
        <w:pStyle w:val="Nagwek2"/>
        <w:numPr>
          <w:ilvl w:val="0"/>
          <w:numId w:val="0"/>
        </w:numPr>
        <w:spacing w:lineRule="auto" w:line="276"/>
        <w:ind w:left="576" w:hanging="0"/>
        <w:jc w:val="both"/>
        <w:rPr>
          <w:rFonts w:ascii="Calibri" w:hAnsi="Calibri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bookmarkStart w:id="36" w:name="_Toc234843052"/>
      <w:bookmarkStart w:id="37" w:name="_Toc237435101"/>
      <w:r>
        <w:rPr>
          <w:rFonts w:cs="Calibri" w:ascii="Calibri" w:hAnsi="Calibri" w:asciiTheme="minorHAnsi" w:cstheme="minorHAnsi" w:hAnsiTheme="minorHAnsi"/>
          <w:b/>
          <w:bCs/>
          <w:color w:val="auto"/>
          <w:sz w:val="20"/>
          <w:szCs w:val="20"/>
        </w:rPr>
        <w:t>Podłączenie źródeł dzienników</w:t>
      </w:r>
      <w:bookmarkEnd w:id="36"/>
      <w:bookmarkEnd w:id="37"/>
    </w:p>
    <w:p>
      <w:pPr>
        <w:pStyle w:val="Normal"/>
        <w:spacing w:lineRule="auto" w:line="276" w:before="80" w:after="8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 zakresie minimalnym Wykonawca skonfiguruje przesyłanie dzienników z następujących urządzeń i systemów Zamawiającego:</w:t>
      </w:r>
    </w:p>
    <w:p>
      <w:pPr>
        <w:pStyle w:val="ListParagraph"/>
        <w:numPr>
          <w:ilvl w:val="0"/>
          <w:numId w:val="57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urządzenie klasy UTM (Fortigate lub równoważne),</w:t>
      </w:r>
    </w:p>
    <w:p>
      <w:pPr>
        <w:pStyle w:val="ListParagraph"/>
        <w:numPr>
          <w:ilvl w:val="0"/>
          <w:numId w:val="58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przełączniki zarządzalne (Cisco lub równoważne),</w:t>
      </w:r>
    </w:p>
    <w:p>
      <w:pPr>
        <w:pStyle w:val="ListParagraph"/>
        <w:numPr>
          <w:ilvl w:val="0"/>
          <w:numId w:val="59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serwery Windows,</w:t>
      </w:r>
    </w:p>
    <w:p>
      <w:pPr>
        <w:pStyle w:val="ListParagraph"/>
        <w:numPr>
          <w:ilvl w:val="0"/>
          <w:numId w:val="60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serwer Linux,</w:t>
      </w:r>
    </w:p>
    <w:p>
      <w:pPr>
        <w:pStyle w:val="ListParagraph"/>
        <w:numPr>
          <w:ilvl w:val="0"/>
          <w:numId w:val="61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Cs w:val="20"/>
        </w:rPr>
        <w:t>stacje robocze Windows 10/11 (konfiguracja zbiorcza przez politykę grupową GPO lub agenta).</w:t>
      </w:r>
    </w:p>
    <w:p>
      <w:pPr>
        <w:pStyle w:val="Nagwek2"/>
        <w:numPr>
          <w:ilvl w:val="0"/>
          <w:numId w:val="0"/>
        </w:numPr>
        <w:spacing w:lineRule="auto" w:line="276"/>
        <w:ind w:left="576" w:hanging="0"/>
        <w:jc w:val="both"/>
        <w:rPr>
          <w:rFonts w:ascii="Calibri" w:hAnsi="Calibri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bookmarkStart w:id="38" w:name="_Toc234843053"/>
      <w:bookmarkStart w:id="39" w:name="_Toc237435102"/>
      <w:r>
        <w:rPr>
          <w:rFonts w:cs="Calibri" w:ascii="Calibri" w:hAnsi="Calibri" w:asciiTheme="minorHAnsi" w:cstheme="minorHAnsi" w:hAnsiTheme="minorHAnsi"/>
          <w:b/>
          <w:bCs/>
          <w:color w:val="auto"/>
          <w:sz w:val="20"/>
          <w:szCs w:val="20"/>
        </w:rPr>
        <w:t>Konfiguracja analityczna</w:t>
      </w:r>
      <w:bookmarkEnd w:id="38"/>
      <w:bookmarkEnd w:id="39"/>
    </w:p>
    <w:p>
      <w:pPr>
        <w:pStyle w:val="ListParagraph"/>
        <w:numPr>
          <w:ilvl w:val="0"/>
          <w:numId w:val="62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Konfiguracja ekstraktorów i reguł przetwarzania dla napływających strumieni danych.</w:t>
      </w:r>
    </w:p>
    <w:p>
      <w:pPr>
        <w:pStyle w:val="ListParagraph"/>
        <w:numPr>
          <w:ilvl w:val="0"/>
          <w:numId w:val="63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Konfiguracja polityki retencji i rotacji indeksów zgodnie z wymogami prawnymi i wskazaniami Zamawiającego.</w:t>
      </w:r>
    </w:p>
    <w:p>
      <w:pPr>
        <w:pStyle w:val="ListParagraph"/>
        <w:numPr>
          <w:ilvl w:val="0"/>
          <w:numId w:val="64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Konfiguracja co najmniej 3 dashboardów zbiorczych (odrębnie dla urządzeń sieciowych, serwerów i stacji roboczych) prezentujących kluczowe wskaźniki bezpieczeństwa i operacyjne.</w:t>
      </w:r>
    </w:p>
    <w:p>
      <w:pPr>
        <w:pStyle w:val="ListParagraph"/>
        <w:numPr>
          <w:ilvl w:val="0"/>
          <w:numId w:val="65"/>
        </w:numPr>
        <w:suppressAutoHyphens w:val="false"/>
        <w:spacing w:lineRule="auto" w:line="276" w:before="50" w:after="50"/>
        <w:contextualSpacing w:val="false"/>
        <w:rPr>
          <w:rFonts w:ascii="Calibri" w:hAnsi="Calibri" w:cs="Calibri" w:asciiTheme="minorHAnsi" w:cstheme="minorHAnsi" w:hAnsiTheme="minorHAnsi"/>
          <w:szCs w:val="20"/>
        </w:rPr>
      </w:pPr>
      <w:r>
        <w:rPr>
          <w:rFonts w:cs="Calibri" w:ascii="Calibri" w:hAnsi="Calibri" w:asciiTheme="minorHAnsi" w:cstheme="minorHAnsi" w:hAnsiTheme="minorHAnsi"/>
          <w:szCs w:val="20"/>
        </w:rPr>
        <w:t>Konfiguracja co najmniej 5 reguł alarmowania e-mail, obejmujących m.in.: nieudane próby logowania, błędy krytyczne urządzeń, zmiany konfiguracji urządzeń sieciowych, wykrycie aktywności poza godzinami pracy.</w:t>
      </w:r>
    </w:p>
    <w:p>
      <w:pPr>
        <w:pStyle w:val="Nagwek2"/>
        <w:numPr>
          <w:ilvl w:val="0"/>
          <w:numId w:val="0"/>
        </w:numPr>
        <w:spacing w:lineRule="auto" w:line="276"/>
        <w:ind w:left="576" w:hanging="0"/>
        <w:jc w:val="both"/>
        <w:rPr>
          <w:rFonts w:ascii="Calibri" w:hAnsi="Calibri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bookmarkStart w:id="40" w:name="_Toc234843054"/>
      <w:bookmarkStart w:id="41" w:name="_Toc237435103"/>
      <w:r>
        <w:rPr>
          <w:rFonts w:cs="Calibri" w:ascii="Calibri" w:hAnsi="Calibri" w:asciiTheme="minorHAnsi" w:cstheme="minorHAnsi" w:hAnsiTheme="minorHAnsi"/>
          <w:b/>
          <w:bCs/>
          <w:color w:val="auto"/>
          <w:sz w:val="20"/>
          <w:szCs w:val="20"/>
        </w:rPr>
        <w:t>Szkolenie</w:t>
      </w:r>
      <w:bookmarkEnd w:id="40"/>
      <w:bookmarkEnd w:id="41"/>
    </w:p>
    <w:p>
      <w:pPr>
        <w:pStyle w:val="Normal"/>
        <w:spacing w:lineRule="auto" w:line="276" w:before="80" w:after="8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Wykonawca przeprowadzi szkolenie dla administratora Zamawiającego w wymiarze co najmniej 8 godzin, obejmujące: zasady działania systemu, zarządzanie źródłami danych, wyszukiwanie i filtrowanie dzienników, tworzenie dashboardów i reguł alarmowania, zarządzanie użytkownikami oraz zarządzanie retencją. </w:t>
      </w:r>
    </w:p>
    <w:p>
      <w:pPr>
        <w:pStyle w:val="Normal"/>
        <w:spacing w:lineRule="auto" w:line="276" w:before="80" w:after="8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Szkolenie odbędzie się w siedzibie Zamawiającego lub zdalnie, nie później niż 14 dni od odbioru końcowego.</w:t>
      </w:r>
    </w:p>
    <w:p>
      <w:pPr>
        <w:pStyle w:val="Nagwek2"/>
        <w:numPr>
          <w:ilvl w:val="0"/>
          <w:numId w:val="0"/>
        </w:numPr>
        <w:spacing w:lineRule="auto" w:line="276"/>
        <w:ind w:left="576" w:hanging="0"/>
        <w:jc w:val="both"/>
        <w:rPr>
          <w:rFonts w:ascii="Calibri" w:hAnsi="Calibri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bookmarkStart w:id="42" w:name="_Toc234843055"/>
      <w:bookmarkStart w:id="43" w:name="_Toc237435104"/>
      <w:r>
        <w:rPr>
          <w:rFonts w:cs="Calibri" w:ascii="Calibri" w:hAnsi="Calibri" w:asciiTheme="minorHAnsi" w:cstheme="minorHAnsi" w:hAnsiTheme="minorHAnsi"/>
          <w:b/>
          <w:bCs/>
          <w:color w:val="auto"/>
          <w:sz w:val="20"/>
          <w:szCs w:val="20"/>
        </w:rPr>
        <w:t>Wsparcie techniczne</w:t>
      </w:r>
      <w:bookmarkEnd w:id="42"/>
      <w:bookmarkEnd w:id="43"/>
    </w:p>
    <w:p>
      <w:pPr>
        <w:pStyle w:val="Normal"/>
        <w:spacing w:lineRule="auto" w:line="276" w:before="80" w:after="8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Wykonawca świadczyć będzie wsparcie techniczne w formie puli 60 godzin zegarowych do wykorzystania w ciągu 36 miesięcy od daty odbioru końcowego. Wsparcie obejmuje zdalną pomoc techniczną i modyfikacje konfiguracji systemu. Zgłoszenia przyjmowane e-mailem i telefonicznie w godzinach roboczych (8:00–16:00). Czas reakcji: do 4 godzin roboczych dla zgłoszeń krytycznych, do końca następnego dnia roboczego dla zgłoszeń standardowych. Jednostka rozliczeniowa: 0,5 godziny. Dostęp zdalny wyłącznie za jednorazową zgodą Zamawiającego. Godziny niewykorzystane wygasają po 12 miesiącach.</w:t>
      </w:r>
    </w:p>
    <w:p>
      <w:pPr>
        <w:pStyle w:val="P1"/>
        <w:spacing w:before="280" w:after="280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418" w:right="1418" w:gutter="0" w:header="416" w:top="1511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Garamond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ee"/>
    <w:family w:val="roman"/>
    <w:pitch w:val="variable"/>
  </w:font>
  <w:font w:name="Sylfae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5759450" cy="527685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decimal"/>
      <w:lvlText w:val="%1"/>
      <w:lvlJc w:val="left"/>
      <w:pPr>
        <w:tabs>
          <w:tab w:val="num" w:pos="0"/>
        </w:tabs>
        <w:ind w:left="432" w:hanging="432"/>
      </w:pPr>
      <w:rPr>
        <w:sz w:val="20"/>
        <w:szCs w:val="20"/>
        <w:rFonts w:ascii="Arial" w:hAnsi="Arial" w:cs="Arial"/>
      </w:rPr>
    </w:lvl>
    <w:lvl w:ilvl="1">
      <w:start w:val="1"/>
      <w:pStyle w:val="Nagwek2"/>
      <w:numFmt w:val="decimal"/>
      <w:lvlText w:val="%1.%2"/>
      <w:lvlJc w:val="left"/>
      <w:pPr>
        <w:tabs>
          <w:tab w:val="num" w:pos="0"/>
        </w:tabs>
        <w:ind w:left="576" w:hanging="576"/>
      </w:pPr>
      <w:rPr>
        <w:sz w:val="20"/>
        <w:b/>
      </w:rPr>
    </w:lvl>
    <w:lvl w:ilvl="2">
      <w:start w:val="1"/>
      <w:pStyle w:val="Nagwek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Nagwek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Nagwek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Nagwek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Nagwek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8"/>
        <w:i w:val="false"/>
        <w:b/>
        <w:rFonts w:ascii="Calibri Light" w:hAnsi="Calibri Ligh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sz w:val="24"/>
        <w:i w:val="false"/>
        <w:b/>
        <w:rFonts w:ascii="Calibri Light" w:hAnsi="Calibri Ligh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2084" w:hanging="180"/>
      </w:pPr>
      <w:rPr>
        <w:sz w:val="24"/>
        <w:i w:val="false"/>
        <w:b w:val="false"/>
        <w:rFonts w:ascii="Calibri Light" w:hAnsi="Calibri Light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sz w:val="24"/>
        <w:rFonts w:ascii="Calibri Light" w:hAnsi="Calibri Ligh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sz w:val="24"/>
        <w:rFonts w:ascii="Calibri Light" w:hAnsi="Calibri Ligh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1"/>
    <w:lvlOverride w:ilvl="0">
      <w:startOverride w:val="1"/>
    </w:lvlOverride>
  </w:num>
  <w:num w:numId="43">
    <w:abstractNumId w:val="41"/>
  </w:num>
  <w:num w:numId="44">
    <w:abstractNumId w:val="41"/>
  </w:num>
  <w:num w:numId="45">
    <w:abstractNumId w:val="41"/>
  </w:num>
  <w:num w:numId="46">
    <w:abstractNumId w:val="41"/>
  </w:num>
  <w:num w:numId="47">
    <w:abstractNumId w:val="41"/>
  </w:num>
  <w:num w:numId="48">
    <w:abstractNumId w:val="41"/>
  </w:num>
  <w:num w:numId="49">
    <w:abstractNumId w:val="41"/>
  </w:num>
  <w:num w:numId="50">
    <w:abstractNumId w:val="41"/>
  </w:num>
  <w:num w:numId="51">
    <w:abstractNumId w:val="41"/>
  </w:num>
  <w:num w:numId="52">
    <w:abstractNumId w:val="41"/>
  </w:num>
  <w:num w:numId="53">
    <w:abstractNumId w:val="41"/>
  </w:num>
  <w:num w:numId="54">
    <w:abstractNumId w:val="41"/>
  </w:num>
  <w:num w:numId="55">
    <w:abstractNumId w:val="41"/>
  </w:num>
  <w:num w:numId="56">
    <w:abstractNumId w:val="41"/>
  </w:num>
  <w:num w:numId="57">
    <w:abstractNumId w:val="41"/>
  </w:num>
  <w:num w:numId="58">
    <w:abstractNumId w:val="41"/>
  </w:num>
  <w:num w:numId="59">
    <w:abstractNumId w:val="41"/>
  </w:num>
  <w:num w:numId="60">
    <w:abstractNumId w:val="41"/>
  </w:num>
  <w:num w:numId="61">
    <w:abstractNumId w:val="41"/>
  </w:num>
  <w:num w:numId="62">
    <w:abstractNumId w:val="41"/>
  </w:num>
  <w:num w:numId="63">
    <w:abstractNumId w:val="41"/>
  </w:num>
  <w:num w:numId="64">
    <w:abstractNumId w:val="41"/>
  </w:num>
  <w:num w:numId="65">
    <w:abstractNumId w:val="4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369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715ede"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715ede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"/>
    <w:next w:val="Normal"/>
    <w:link w:val="Nagwek3Znak"/>
    <w:unhideWhenUsed/>
    <w:qFormat/>
    <w:rsid w:val="00715ede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715ede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715ede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715ede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715ede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715ede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715ede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qFormat/>
    <w:rsid w:val="009a4663"/>
    <w:rPr>
      <w:rFonts w:ascii="Garamond" w:hAnsi="Garamond" w:eastAsia="MS Mincho"/>
      <w:kern w:val="0"/>
      <w:sz w:val="20"/>
      <w:szCs w:val="22"/>
      <w14:ligatures w14:val="none"/>
    </w:rPr>
  </w:style>
  <w:style w:type="character" w:styleId="Nagwek1Znak" w:customStyle="1">
    <w:name w:val="Nagłówek 1 Znak"/>
    <w:basedOn w:val="DefaultParagraphFont"/>
    <w:uiPriority w:val="9"/>
    <w:qFormat/>
    <w:rsid w:val="00715ede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styleId="Nagwek2Znak" w:customStyle="1">
    <w:name w:val="Nagłówek 2 Znak"/>
    <w:basedOn w:val="DefaultParagraphFont"/>
    <w:uiPriority w:val="9"/>
    <w:qFormat/>
    <w:rsid w:val="00715ede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styleId="Nagwek3Znak" w:customStyle="1">
    <w:name w:val="Nagłówek 3 Znak"/>
    <w:basedOn w:val="DefaultParagraphFont"/>
    <w:qFormat/>
    <w:rsid w:val="00715ede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kern w:val="0"/>
      <w:lang w:eastAsia="pl-PL"/>
      <w14:ligatures w14:val="none"/>
    </w:rPr>
  </w:style>
  <w:style w:type="character" w:styleId="Nagwek4Znak" w:customStyle="1">
    <w:name w:val="Nagłówek 4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kern w:val="0"/>
      <w:lang w:eastAsia="pl-PL"/>
      <w14:ligatures w14:val="none"/>
    </w:rPr>
  </w:style>
  <w:style w:type="character" w:styleId="Nagwek5Znak" w:customStyle="1">
    <w:name w:val="Nagłówek 5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0"/>
      <w:lang w:eastAsia="pl-PL"/>
      <w14:ligatures w14:val="none"/>
    </w:rPr>
  </w:style>
  <w:style w:type="character" w:styleId="Nagwek6Znak" w:customStyle="1">
    <w:name w:val="Nagłówek 6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kern w:val="0"/>
      <w:lang w:eastAsia="pl-PL"/>
      <w14:ligatures w14:val="none"/>
    </w:rPr>
  </w:style>
  <w:style w:type="character" w:styleId="Nagwek7Znak" w:customStyle="1">
    <w:name w:val="Nagłówek 7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  <w:kern w:val="0"/>
      <w:lang w:eastAsia="pl-PL"/>
      <w14:ligatures w14:val="none"/>
    </w:rPr>
  </w:style>
  <w:style w:type="character" w:styleId="Nagwek8Znak" w:customStyle="1">
    <w:name w:val="Nagłówek 8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kern w:val="0"/>
      <w:sz w:val="21"/>
      <w:szCs w:val="21"/>
      <w:lang w:eastAsia="pl-PL"/>
      <w14:ligatures w14:val="none"/>
    </w:rPr>
  </w:style>
  <w:style w:type="character" w:styleId="Nagwek9Znak" w:customStyle="1">
    <w:name w:val="Nagłówek 9 Znak"/>
    <w:basedOn w:val="DefaultParagraphFont"/>
    <w:uiPriority w:val="9"/>
    <w:semiHidden/>
    <w:qFormat/>
    <w:rsid w:val="00715ede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kern w:val="0"/>
      <w:sz w:val="21"/>
      <w:szCs w:val="21"/>
      <w:lang w:eastAsia="pl-PL"/>
      <w14:ligatures w14:val="none"/>
    </w:rPr>
  </w:style>
  <w:style w:type="character" w:styleId="Appleconvertedspace" w:customStyle="1">
    <w:name w:val="apple-converted-space"/>
    <w:basedOn w:val="DefaultParagraphFont"/>
    <w:qFormat/>
    <w:rsid w:val="00091341"/>
    <w:rPr/>
  </w:style>
  <w:style w:type="character" w:styleId="Appletabspan" w:customStyle="1">
    <w:name w:val="apple-tab-span"/>
    <w:basedOn w:val="DefaultParagraphFont"/>
    <w:qFormat/>
    <w:rsid w:val="00d7773c"/>
    <w:rPr/>
  </w:style>
  <w:style w:type="character" w:styleId="Czeinternetowe" w:customStyle="1">
    <w:name w:val="Łącze internetowe"/>
    <w:basedOn w:val="DefaultParagraphFont"/>
    <w:uiPriority w:val="99"/>
    <w:unhideWhenUsed/>
    <w:rsid w:val="00346088"/>
    <w:rPr>
      <w:color w:val="0563C1" w:themeColor="hyperlink"/>
      <w:u w:val="single"/>
    </w:rPr>
  </w:style>
  <w:style w:type="character" w:styleId="NagwekZnak" w:customStyle="1">
    <w:name w:val="Nagłówek Znak"/>
    <w:basedOn w:val="DefaultParagraphFont"/>
    <w:uiPriority w:val="99"/>
    <w:qFormat/>
    <w:rsid w:val="004161ec"/>
    <w:rPr/>
  </w:style>
  <w:style w:type="character" w:styleId="StopkaZnak" w:customStyle="1">
    <w:name w:val="Stopka Znak"/>
    <w:basedOn w:val="DefaultParagraphFont"/>
    <w:uiPriority w:val="99"/>
    <w:qFormat/>
    <w:rsid w:val="004161ec"/>
    <w:rPr/>
  </w:style>
  <w:style w:type="character" w:styleId="Pointnormal" w:customStyle="1">
    <w:name w:val="point_normal"/>
    <w:basedOn w:val="DefaultParagraphFont"/>
    <w:qFormat/>
    <w:rsid w:val="00b34c46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500b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7e500b"/>
    <w:rPr>
      <w:kern w:val="0"/>
      <w:sz w:val="20"/>
      <w:szCs w:val="20"/>
      <w14:ligatures w14:val="non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e500b"/>
    <w:rPr>
      <w:rFonts w:ascii="Segoe UI" w:hAnsi="Segoe UI" w:cs="Segoe UI"/>
      <w:sz w:val="18"/>
      <w:szCs w:val="18"/>
    </w:rPr>
  </w:style>
  <w:style w:type="character" w:styleId="Teksttreci" w:customStyle="1">
    <w:name w:val="Tekst treści_"/>
    <w:basedOn w:val="DefaultParagraphFont"/>
    <w:link w:val="Teksttreci1"/>
    <w:qFormat/>
    <w:rsid w:val="000f0ad7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Applestylespan" w:customStyle="1">
    <w:name w:val="apple-style-span"/>
    <w:basedOn w:val="DefaultParagraphFont"/>
    <w:qFormat/>
    <w:rsid w:val="00ad5815"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42d46"/>
    <w:rPr>
      <w:rFonts w:ascii="Times New Roman" w:hAnsi="Times New Roman" w:eastAsia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S1" w:customStyle="1">
    <w:name w:val="s1"/>
    <w:basedOn w:val="DefaultParagraphFont"/>
    <w:qFormat/>
    <w:rsid w:val="001a2af8"/>
    <w:rPr/>
  </w:style>
  <w:style w:type="character" w:styleId="S2" w:customStyle="1">
    <w:name w:val="s2"/>
    <w:basedOn w:val="DefaultParagraphFont"/>
    <w:qFormat/>
    <w:rsid w:val="001a2af8"/>
    <w:rPr/>
  </w:style>
  <w:style w:type="character" w:styleId="Czeindeksu" w:customStyle="1">
    <w:name w:val="Łącze indeks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4161e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link w:val="AkapitzlistZnak"/>
    <w:qFormat/>
    <w:rsid w:val="009a4663"/>
    <w:pPr>
      <w:spacing w:lineRule="auto" w:line="259" w:before="0" w:after="160"/>
      <w:ind w:left="720" w:hanging="0"/>
      <w:contextualSpacing/>
      <w:jc w:val="both"/>
    </w:pPr>
    <w:rPr>
      <w:rFonts w:ascii="Garamond" w:hAnsi="Garamond" w:eastAsia="MS Mincho"/>
      <w:sz w:val="20"/>
      <w:szCs w:val="22"/>
    </w:rPr>
  </w:style>
  <w:style w:type="paragraph" w:styleId="Default" w:customStyle="1">
    <w:name w:val="Default"/>
    <w:qFormat/>
    <w:rsid w:val="009a4663"/>
    <w:pPr>
      <w:widowControl/>
      <w:suppressAutoHyphens w:val="true"/>
      <w:bidi w:val="0"/>
      <w:spacing w:before="0" w:after="0"/>
      <w:jc w:val="left"/>
    </w:pPr>
    <w:rPr>
      <w:rFonts w:ascii="Symbol" w:hAnsi="Symbol" w:eastAsia="Calibri" w:cs="Symbol"/>
      <w:color w:val="000000"/>
      <w:kern w:val="0"/>
      <w:sz w:val="24"/>
      <w:szCs w:val="24"/>
      <w:lang w:val="pl-PL" w:eastAsia="en-US" w:bidi="ar-SA"/>
      <w14:ligatures w14:val="none"/>
    </w:rPr>
  </w:style>
  <w:style w:type="paragraph" w:styleId="SL1" w:customStyle="1">
    <w:name w:val="s_L1"/>
    <w:basedOn w:val="ListParagraph"/>
    <w:qFormat/>
    <w:rsid w:val="00715ede"/>
    <w:pPr>
      <w:numPr>
        <w:ilvl w:val="3"/>
        <w:numId w:val="2"/>
      </w:numPr>
      <w:tabs>
        <w:tab w:val="clear" w:pos="708"/>
        <w:tab w:val="left" w:pos="426" w:leader="none"/>
      </w:tabs>
      <w:spacing w:lineRule="auto" w:line="276" w:before="0" w:after="0"/>
      <w:contextualSpacing/>
    </w:pPr>
    <w:rPr>
      <w:rFonts w:ascii="Calibri Light" w:hAnsi="Calibri Light" w:eastAsia="Calibri" w:eastAsiaTheme="minorHAnsi"/>
      <w:color w:val="000000"/>
      <w:sz w:val="24"/>
      <w:szCs w:val="20"/>
    </w:rPr>
  </w:style>
  <w:style w:type="paragraph" w:styleId="Sr1" w:customStyle="1">
    <w:name w:val="s_r1"/>
    <w:basedOn w:val="Normal"/>
    <w:qFormat/>
    <w:rsid w:val="00715ede"/>
    <w:pPr>
      <w:numPr>
        <w:ilvl w:val="0"/>
        <w:numId w:val="2"/>
      </w:numPr>
      <w:spacing w:lineRule="auto" w:line="276" w:before="0" w:after="120"/>
      <w:jc w:val="both"/>
      <w:outlineLvl w:val="0"/>
    </w:pPr>
    <w:rPr>
      <w:rFonts w:ascii="Calibri Light" w:hAnsi="Calibri Light"/>
      <w:b/>
      <w:caps/>
      <w:color w:val="000000"/>
      <w:sz w:val="28"/>
      <w:szCs w:val="28"/>
    </w:rPr>
  </w:style>
  <w:style w:type="paragraph" w:styleId="Sr2" w:customStyle="1">
    <w:name w:val="s_r2"/>
    <w:basedOn w:val="Normal"/>
    <w:qFormat/>
    <w:rsid w:val="00715ede"/>
    <w:pPr>
      <w:numPr>
        <w:ilvl w:val="1"/>
        <w:numId w:val="2"/>
      </w:numPr>
      <w:spacing w:lineRule="auto" w:line="276" w:before="120" w:after="120"/>
      <w:outlineLvl w:val="1"/>
    </w:pPr>
    <w:rPr>
      <w:rFonts w:ascii="Calibri Light" w:hAnsi="Calibri Light"/>
      <w:b/>
      <w:color w:val="000000"/>
      <w:szCs w:val="20"/>
    </w:rPr>
  </w:style>
  <w:style w:type="paragraph" w:styleId="Sr3" w:customStyle="1">
    <w:name w:val="s_r3"/>
    <w:qFormat/>
    <w:rsid w:val="00715ede"/>
    <w:pPr>
      <w:widowControl/>
      <w:numPr>
        <w:ilvl w:val="2"/>
        <w:numId w:val="2"/>
      </w:numPr>
      <w:suppressAutoHyphens w:val="true"/>
      <w:bidi w:val="0"/>
      <w:spacing w:lineRule="auto" w:line="276" w:before="360" w:after="240"/>
      <w:jc w:val="both"/>
    </w:pPr>
    <w:rPr>
      <w:rFonts w:ascii="Calibri Light" w:hAnsi="Calibri Light" w:eastAsia="Calibri" w:cs=""/>
      <w:color w:val="auto"/>
      <w:kern w:val="0"/>
      <w:sz w:val="24"/>
      <w:szCs w:val="24"/>
      <w:lang w:val="pl-PL" w:eastAsia="en-US" w:bidi="ar-SA"/>
      <w14:ligatures w14:val="none"/>
    </w:rPr>
  </w:style>
  <w:style w:type="paragraph" w:styleId="NoSpacing">
    <w:name w:val="No Spacing"/>
    <w:uiPriority w:val="1"/>
    <w:qFormat/>
    <w:rsid w:val="001b207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NormalWeb">
    <w:name w:val="Normal (Web)"/>
    <w:basedOn w:val="Normal"/>
    <w:unhideWhenUsed/>
    <w:qFormat/>
    <w:rsid w:val="00091341"/>
    <w:pPr>
      <w:spacing w:beforeAutospacing="1" w:afterAutospacing="1"/>
    </w:pPr>
    <w:rPr/>
  </w:style>
  <w:style w:type="paragraph" w:styleId="Indexheading">
    <w:name w:val="index heading"/>
    <w:basedOn w:val="Gwka"/>
    <w:qFormat/>
    <w:pPr/>
    <w:rPr/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unhideWhenUsed/>
    <w:qFormat/>
    <w:rsid w:val="001829ac"/>
    <w:pPr>
      <w:numPr>
        <w:ilvl w:val="0"/>
        <w:numId w:val="0"/>
      </w:numPr>
      <w:spacing w:lineRule="auto" w:line="276" w:before="480" w:after="0"/>
      <w:outlineLvl w:val="9"/>
    </w:pPr>
    <w:rPr>
      <w:b/>
      <w:bCs/>
      <w:sz w:val="28"/>
      <w:szCs w:val="28"/>
    </w:rPr>
  </w:style>
  <w:style w:type="paragraph" w:styleId="Spistreci1">
    <w:name w:val="TOC 1"/>
    <w:basedOn w:val="Normal"/>
    <w:next w:val="Normal"/>
    <w:autoRedefine/>
    <w:uiPriority w:val="39"/>
    <w:unhideWhenUsed/>
    <w:rsid w:val="00346088"/>
    <w:pPr>
      <w:tabs>
        <w:tab w:val="clear" w:pos="708"/>
        <w:tab w:val="left" w:pos="480" w:leader="none"/>
        <w:tab w:val="right" w:pos="9060" w:leader="dot"/>
      </w:tabs>
      <w:spacing w:before="100" w:after="0"/>
    </w:pPr>
    <w:rPr>
      <w:rFonts w:cs="Calibri" w:cstheme="minorHAnsi"/>
      <w:b/>
      <w:bCs/>
      <w:caps/>
      <w:sz w:val="20"/>
      <w:szCs w:val="20"/>
    </w:rPr>
  </w:style>
  <w:style w:type="paragraph" w:styleId="Spistreci2">
    <w:name w:val="TOC 2"/>
    <w:basedOn w:val="Normal"/>
    <w:next w:val="Normal"/>
    <w:autoRedefine/>
    <w:uiPriority w:val="39"/>
    <w:unhideWhenUsed/>
    <w:rsid w:val="001829ac"/>
    <w:pPr>
      <w:ind w:left="240" w:hanging="0"/>
    </w:pPr>
    <w:rPr>
      <w:rFonts w:cs="Calibri" w:cstheme="minorHAnsi"/>
      <w:smallCaps/>
      <w:sz w:val="20"/>
      <w:szCs w:val="20"/>
    </w:rPr>
  </w:style>
  <w:style w:type="paragraph" w:styleId="Spistreci3">
    <w:name w:val="TOC 3"/>
    <w:basedOn w:val="Normal"/>
    <w:next w:val="Normal"/>
    <w:autoRedefine/>
    <w:uiPriority w:val="39"/>
    <w:semiHidden/>
    <w:unhideWhenUsed/>
    <w:rsid w:val="001829ac"/>
    <w:pPr>
      <w:ind w:left="480" w:hanging="0"/>
    </w:pPr>
    <w:rPr>
      <w:rFonts w:cs="Calibri" w:cstheme="minorHAnsi"/>
      <w:i/>
      <w:iCs/>
      <w:sz w:val="20"/>
      <w:szCs w:val="20"/>
    </w:rPr>
  </w:style>
  <w:style w:type="paragraph" w:styleId="Spistreci4">
    <w:name w:val="TOC 4"/>
    <w:basedOn w:val="Normal"/>
    <w:next w:val="Normal"/>
    <w:autoRedefine/>
    <w:uiPriority w:val="39"/>
    <w:semiHidden/>
    <w:unhideWhenUsed/>
    <w:rsid w:val="001829ac"/>
    <w:pPr>
      <w:ind w:left="720" w:hanging="0"/>
    </w:pPr>
    <w:rPr>
      <w:rFonts w:cs="Calibri" w:cstheme="minorHAnsi"/>
      <w:sz w:val="18"/>
      <w:szCs w:val="18"/>
    </w:rPr>
  </w:style>
  <w:style w:type="paragraph" w:styleId="Spistreci5">
    <w:name w:val="TOC 5"/>
    <w:basedOn w:val="Normal"/>
    <w:next w:val="Normal"/>
    <w:autoRedefine/>
    <w:uiPriority w:val="39"/>
    <w:semiHidden/>
    <w:unhideWhenUsed/>
    <w:rsid w:val="001829ac"/>
    <w:pPr>
      <w:ind w:left="960" w:hanging="0"/>
    </w:pPr>
    <w:rPr>
      <w:rFonts w:cs="Calibri" w:cstheme="minorHAnsi"/>
      <w:sz w:val="18"/>
      <w:szCs w:val="18"/>
    </w:rPr>
  </w:style>
  <w:style w:type="paragraph" w:styleId="Spistreci6">
    <w:name w:val="TOC 6"/>
    <w:basedOn w:val="Normal"/>
    <w:next w:val="Normal"/>
    <w:autoRedefine/>
    <w:uiPriority w:val="39"/>
    <w:semiHidden/>
    <w:unhideWhenUsed/>
    <w:rsid w:val="001829ac"/>
    <w:pPr>
      <w:ind w:left="1200" w:hanging="0"/>
    </w:pPr>
    <w:rPr>
      <w:rFonts w:cs="Calibri" w:cstheme="minorHAnsi"/>
      <w:sz w:val="18"/>
      <w:szCs w:val="18"/>
    </w:rPr>
  </w:style>
  <w:style w:type="paragraph" w:styleId="Spistreci7">
    <w:name w:val="TOC 7"/>
    <w:basedOn w:val="Normal"/>
    <w:next w:val="Normal"/>
    <w:autoRedefine/>
    <w:uiPriority w:val="39"/>
    <w:semiHidden/>
    <w:unhideWhenUsed/>
    <w:rsid w:val="001829ac"/>
    <w:pPr>
      <w:ind w:left="1440" w:hanging="0"/>
    </w:pPr>
    <w:rPr>
      <w:rFonts w:cs="Calibri" w:cstheme="minorHAnsi"/>
      <w:sz w:val="18"/>
      <w:szCs w:val="18"/>
    </w:rPr>
  </w:style>
  <w:style w:type="paragraph" w:styleId="Spistreci8">
    <w:name w:val="TOC 8"/>
    <w:basedOn w:val="Normal"/>
    <w:next w:val="Normal"/>
    <w:autoRedefine/>
    <w:uiPriority w:val="39"/>
    <w:semiHidden/>
    <w:unhideWhenUsed/>
    <w:rsid w:val="001829ac"/>
    <w:pPr>
      <w:ind w:left="1680" w:hanging="0"/>
    </w:pPr>
    <w:rPr>
      <w:rFonts w:cs="Calibri" w:cstheme="minorHAnsi"/>
      <w:sz w:val="18"/>
      <w:szCs w:val="18"/>
    </w:rPr>
  </w:style>
  <w:style w:type="paragraph" w:styleId="Spistreci9">
    <w:name w:val="TOC 9"/>
    <w:basedOn w:val="Normal"/>
    <w:next w:val="Normal"/>
    <w:autoRedefine/>
    <w:uiPriority w:val="39"/>
    <w:semiHidden/>
    <w:unhideWhenUsed/>
    <w:rsid w:val="001829ac"/>
    <w:pPr>
      <w:ind w:left="1920" w:hanging="0"/>
    </w:pPr>
    <w:rPr>
      <w:rFonts w:cs="Calibri" w:cstheme="minorHAnsi"/>
      <w:sz w:val="18"/>
      <w:szCs w:val="18"/>
    </w:rPr>
  </w:style>
  <w:style w:type="paragraph" w:styleId="Stopka">
    <w:name w:val="Footer"/>
    <w:basedOn w:val="Normal"/>
    <w:link w:val="StopkaZnak"/>
    <w:uiPriority w:val="99"/>
    <w:unhideWhenUsed/>
    <w:rsid w:val="004161e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7e500b"/>
    <w:pPr>
      <w:spacing w:before="0" w:after="16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e500b"/>
    <w:pPr/>
    <w:rPr>
      <w:rFonts w:ascii="Segoe UI" w:hAnsi="Segoe UI" w:cs="Segoe UI"/>
      <w:sz w:val="18"/>
      <w:szCs w:val="18"/>
    </w:rPr>
  </w:style>
  <w:style w:type="paragraph" w:styleId="Teksttreci1" w:customStyle="1">
    <w:name w:val="Tekst treści"/>
    <w:basedOn w:val="Normal"/>
    <w:link w:val="Teksttreci"/>
    <w:qFormat/>
    <w:rsid w:val="000f0ad7"/>
    <w:pPr>
      <w:widowControl w:val="false"/>
      <w:shd w:val="clear" w:color="auto" w:fill="FFFFFF"/>
      <w:spacing w:lineRule="exact" w:line="274" w:before="0" w:after="240"/>
      <w:ind w:hanging="400"/>
      <w:jc w:val="both"/>
    </w:pPr>
    <w:rPr>
      <w:kern w:val="2"/>
      <w:sz w:val="21"/>
      <w:szCs w:val="21"/>
      <w:lang w:eastAsia="en-US"/>
      <w14:ligatures w14:val="standardContextual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442d46"/>
    <w:pPr>
      <w:spacing w:before="0" w:after="0"/>
    </w:pPr>
    <w:rPr>
      <w:b/>
      <w:bCs/>
    </w:rPr>
  </w:style>
  <w:style w:type="paragraph" w:styleId="P1" w:customStyle="1">
    <w:name w:val="p1"/>
    <w:basedOn w:val="Normal"/>
    <w:qFormat/>
    <w:rsid w:val="005618a8"/>
    <w:pPr>
      <w:spacing w:beforeAutospacing="1" w:afterAutospacing="1"/>
    </w:pPr>
    <w:rPr/>
  </w:style>
  <w:style w:type="paragraph" w:styleId="P3" w:customStyle="1">
    <w:name w:val="p3"/>
    <w:basedOn w:val="Normal"/>
    <w:qFormat/>
    <w:rsid w:val="005618a8"/>
    <w:pPr>
      <w:spacing w:beforeAutospacing="1" w:afterAutospacing="1"/>
    </w:pPr>
    <w:rPr/>
  </w:style>
  <w:style w:type="paragraph" w:styleId="P2" w:customStyle="1">
    <w:name w:val="p2"/>
    <w:basedOn w:val="Normal"/>
    <w:qFormat/>
    <w:rsid w:val="001a2af8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Snum" w:customStyle="1">
    <w:name w:val="s_num"/>
    <w:uiPriority w:val="99"/>
    <w:qFormat/>
    <w:rsid w:val="00715ede"/>
  </w:style>
  <w:style w:type="numbering" w:styleId="Biecalista1" w:customStyle="1">
    <w:name w:val="Bieżąca lista1"/>
    <w:uiPriority w:val="99"/>
    <w:qFormat/>
    <w:rsid w:val="00193b15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1">
    <w:name w:val="Plain Table 1"/>
    <w:basedOn w:val="Standardowy"/>
    <w:uiPriority w:val="41"/>
    <w:rsid w:val="009a4663"/>
    <w:rPr>
      <w:sz w:val="22"/>
      <w:szCs w:val="22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FFFFF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1">
    <w:name w:val="Grid Table 1 Light Accent 1"/>
    <w:basedOn w:val="Standardowy"/>
    <w:uiPriority w:val="46"/>
    <w:rsid w:val="009a4663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-Siatka">
    <w:name w:val="Table Grid"/>
    <w:basedOn w:val="Standardowy"/>
    <w:uiPriority w:val="39"/>
    <w:rsid w:val="00715e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siatki1jasnaakcent11">
    <w:name w:val="Tabela siatki 1 — jasna — akcent 11"/>
    <w:basedOn w:val="Standardowy"/>
    <w:uiPriority w:val="46"/>
    <w:rsid w:val="002d5e8d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Tabelasiatki1jasnaakcent111">
    <w:name w:val="Tabela siatki 1 — jasna — akcent 111"/>
    <w:basedOn w:val="Standardowy"/>
    <w:uiPriority w:val="46"/>
    <w:rsid w:val="0061256a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Tabelasiatki1jasnaakcent112">
    <w:name w:val="Tabela siatki 1 — jasna — akcent 112"/>
    <w:basedOn w:val="Standardowy"/>
    <w:uiPriority w:val="46"/>
    <w:rsid w:val="005c638e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B1629F98393B4AA3DA12A94CC5D07F" ma:contentTypeVersion="18" ma:contentTypeDescription="Utwórz nowy dokument." ma:contentTypeScope="" ma:versionID="c978f6068f7a03ecd8e0e568cf6dc563">
  <xsd:schema xmlns:xsd="http://www.w3.org/2001/XMLSchema" xmlns:xs="http://www.w3.org/2001/XMLSchema" xmlns:p="http://schemas.microsoft.com/office/2006/metadata/properties" xmlns:ns2="b427c48c-460b-460c-88b1-24701ec1e053" xmlns:ns3="21405468-a37f-45b6-8068-73f5dca2472b" targetNamespace="http://schemas.microsoft.com/office/2006/metadata/properties" ma:root="true" ma:fieldsID="d3c3847d069ea2eec07110ea7aa520d8" ns2:_="" ns3:_="">
    <xsd:import namespace="b427c48c-460b-460c-88b1-24701ec1e053"/>
    <xsd:import namespace="21405468-a37f-45b6-8068-73f5dca24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7c48c-460b-460c-88b1-24701ec1e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2b20ff5-11f0-40ba-aaea-add5e55eab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05468-a37f-45b6-8068-73f5dca24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ff8b17-8fce-4c06-bfe7-4b678a72f8e3}" ma:internalName="TaxCatchAll" ma:showField="CatchAllData" ma:web="21405468-a37f-45b6-8068-73f5dca247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27c48c-460b-460c-88b1-24701ec1e053">
      <Terms xmlns="http://schemas.microsoft.com/office/infopath/2007/PartnerControls"/>
    </lcf76f155ced4ddcb4097134ff3c332f>
    <TaxCatchAll xmlns="21405468-a37f-45b6-8068-73f5dca247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DA4080-A55F-4866-9287-EA6766FCD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0B488-D578-4FB0-8F74-473A5B33A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7c48c-460b-460c-88b1-24701ec1e053"/>
    <ds:schemaRef ds:uri="21405468-a37f-45b6-8068-73f5dca24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085A5-3B8E-4BA4-AC50-72012336ED9F}">
  <ds:schemaRefs>
    <ds:schemaRef ds:uri="http://schemas.microsoft.com/office/2006/metadata/properties"/>
    <ds:schemaRef ds:uri="http://schemas.microsoft.com/office/infopath/2007/PartnerControls"/>
    <ds:schemaRef ds:uri="b427c48c-460b-460c-88b1-24701ec1e053"/>
    <ds:schemaRef ds:uri="21405468-a37f-45b6-8068-73f5dca2472b"/>
  </ds:schemaRefs>
</ds:datastoreItem>
</file>

<file path=customXml/itemProps4.xml><?xml version="1.0" encoding="utf-8"?>
<ds:datastoreItem xmlns:ds="http://schemas.openxmlformats.org/officeDocument/2006/customXml" ds:itemID="{8989E5E4-FC23-49A8-8817-ED4EB747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LibreOffice/7.3.2.2$Windows_X86_64 LibreOffice_project/49f2b1bff42cfccbd8f788c8dc32c1c309559be0</Application>
  <AppVersion>15.0000</AppVersion>
  <DocSecurity>4</DocSecurity>
  <Pages>35</Pages>
  <Words>11190</Words>
  <Characters>78458</Characters>
  <CharactersWithSpaces>88316</CharactersWithSpaces>
  <Paragraphs>893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2026-08-24T11:58:00Z</dcterms:created>
  <dc:creator>Piotr</dc:creator>
  <dc:description/>
  <dc:language>pl-PL</dc:language>
  <cp:lastModifiedBy/>
  <dcterms:modified xsi:type="dcterms:W3CDTF">2026-08-24T15:22:34Z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