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D57" w:rsidRDefault="001B3E6C">
      <w:pPr>
        <w:spacing w:after="40"/>
        <w:jc w:val="right"/>
      </w:pPr>
      <w:r>
        <w:rPr>
          <w:b/>
          <w:bCs/>
        </w:rPr>
        <w:t>Załącznik Nr 1 do SWZ</w:t>
      </w:r>
    </w:p>
    <w:p w:rsidR="00A87D57" w:rsidRDefault="001B3E6C">
      <w:pPr>
        <w:spacing w:before="200" w:after="60"/>
        <w:jc w:val="center"/>
      </w:pPr>
      <w:r>
        <w:rPr>
          <w:b/>
          <w:bCs/>
          <w:sz w:val="30"/>
          <w:szCs w:val="30"/>
        </w:rPr>
        <w:t>SZCZEGÓŁOWY OPIS PRZEDMIOTU ZAMÓWIENIA</w:t>
      </w:r>
    </w:p>
    <w:p w:rsidR="00A87D57" w:rsidRDefault="00A87D57">
      <w:pPr>
        <w:spacing w:after="200"/>
        <w:jc w:val="center"/>
      </w:pPr>
      <w:bookmarkStart w:id="0" w:name="_GoBack"/>
      <w:bookmarkEnd w:id="0"/>
    </w:p>
    <w:p w:rsidR="00A87D57" w:rsidRDefault="001B3E6C">
      <w:pPr>
        <w:spacing w:after="80"/>
        <w:jc w:val="center"/>
      </w:pPr>
      <w:r>
        <w:t>dla zadania pn.:</w:t>
      </w:r>
    </w:p>
    <w:p w:rsidR="00A87D57" w:rsidRDefault="001B3E6C">
      <w:pPr>
        <w:spacing w:after="240"/>
        <w:jc w:val="center"/>
      </w:pPr>
      <w:r>
        <w:rPr>
          <w:b/>
          <w:bCs/>
          <w:i/>
          <w:iCs/>
          <w:sz w:val="24"/>
          <w:szCs w:val="24"/>
        </w:rPr>
        <w:t>„Remont konserwatorski elewacji zab</w:t>
      </w:r>
      <w:r w:rsidR="00B12688">
        <w:rPr>
          <w:b/>
          <w:bCs/>
          <w:i/>
          <w:iCs/>
          <w:sz w:val="24"/>
          <w:szCs w:val="24"/>
        </w:rPr>
        <w:t xml:space="preserve">ytkowego Pałacu </w:t>
      </w:r>
      <w:proofErr w:type="spellStart"/>
      <w:r w:rsidR="00B12688">
        <w:rPr>
          <w:b/>
          <w:bCs/>
          <w:i/>
          <w:iCs/>
          <w:sz w:val="24"/>
          <w:szCs w:val="24"/>
        </w:rPr>
        <w:t>Opatek</w:t>
      </w:r>
      <w:proofErr w:type="spellEnd"/>
      <w:r w:rsidR="00B12688">
        <w:rPr>
          <w:b/>
          <w:bCs/>
          <w:i/>
          <w:iCs/>
          <w:sz w:val="24"/>
          <w:szCs w:val="24"/>
        </w:rPr>
        <w:t xml:space="preserve"> przy ul. </w:t>
      </w:r>
      <w:r>
        <w:rPr>
          <w:b/>
          <w:bCs/>
          <w:i/>
          <w:iCs/>
          <w:sz w:val="24"/>
          <w:szCs w:val="24"/>
        </w:rPr>
        <w:t>Klasztornej 4, stanowiącego część komple</w:t>
      </w:r>
      <w:r w:rsidR="00B12688">
        <w:rPr>
          <w:b/>
          <w:bCs/>
          <w:i/>
          <w:iCs/>
          <w:sz w:val="24"/>
          <w:szCs w:val="24"/>
        </w:rPr>
        <w:t>ksu budynków Muzeum im. ks. dr. </w:t>
      </w:r>
      <w:r>
        <w:rPr>
          <w:b/>
          <w:bCs/>
          <w:i/>
          <w:iCs/>
          <w:sz w:val="24"/>
          <w:szCs w:val="24"/>
        </w:rPr>
        <w:t>Wł. Łęgi w Grudziądzu”</w:t>
      </w:r>
    </w:p>
    <w:p w:rsidR="00A87D57" w:rsidRDefault="001B3E6C">
      <w:pPr>
        <w:pStyle w:val="Nagwek1"/>
      </w:pPr>
      <w:r>
        <w:t>1. Informacje ogólne o przedmiocie zamówienia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A87D57"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Nazwa zamówienia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 xml:space="preserve">Remont konserwatorski elewacji zabytkowego Pałacu </w:t>
            </w:r>
            <w:proofErr w:type="spellStart"/>
            <w:r>
              <w:rPr>
                <w:sz w:val="21"/>
                <w:szCs w:val="21"/>
              </w:rPr>
              <w:t>Opatek</w:t>
            </w:r>
            <w:proofErr w:type="spellEnd"/>
            <w:r>
              <w:rPr>
                <w:sz w:val="21"/>
                <w:szCs w:val="21"/>
              </w:rPr>
              <w:t xml:space="preserve"> przy ul. Klasztornej 4, stanowiącego część kompleksu budynków Muzeum im. ks. dr. Wł. Łęgi w Grudziądzu</w:t>
            </w:r>
          </w:p>
        </w:tc>
      </w:tr>
      <w:tr w:rsidR="00A87D57"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Rodzaj zamówienia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Roboty budowlane (konserwatorsko-restauratorskie)</w:t>
            </w:r>
          </w:p>
        </w:tc>
      </w:tr>
      <w:tr w:rsidR="00A87D57"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Zamawiający / Inwestor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Muzeum im. ks. dr. Władysława Łęgi w Grudziądzu</w:t>
            </w:r>
          </w:p>
          <w:p w:rsidR="00A87D57" w:rsidRDefault="001B3E6C">
            <w:r>
              <w:rPr>
                <w:sz w:val="21"/>
                <w:szCs w:val="21"/>
              </w:rPr>
              <w:t>ul. Wodna 3/5, 86-300 Grudziądz</w:t>
            </w:r>
          </w:p>
        </w:tc>
      </w:tr>
      <w:tr w:rsidR="00A87D57"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Obiekt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 xml:space="preserve">Elewacje budynku Pałacu </w:t>
            </w:r>
            <w:proofErr w:type="spellStart"/>
            <w:r>
              <w:rPr>
                <w:sz w:val="21"/>
                <w:szCs w:val="21"/>
              </w:rPr>
              <w:t>Opatek</w:t>
            </w:r>
            <w:proofErr w:type="spellEnd"/>
            <w:r>
              <w:rPr>
                <w:sz w:val="21"/>
                <w:szCs w:val="21"/>
              </w:rPr>
              <w:t xml:space="preserve"> (budynek użyteczności publicznej, kategoria IX — budynki kultury, nauki i oświaty)</w:t>
            </w:r>
          </w:p>
        </w:tc>
      </w:tr>
      <w:tr w:rsidR="00A87D57"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Adres obiektu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ul. Klasztorna 4, 86-300 Grudziądz</w:t>
            </w:r>
          </w:p>
        </w:tc>
      </w:tr>
      <w:tr w:rsidR="00A87D57"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Lokalizacja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 xml:space="preserve">działka </w:t>
            </w:r>
            <w:proofErr w:type="spellStart"/>
            <w:r>
              <w:rPr>
                <w:sz w:val="21"/>
                <w:szCs w:val="21"/>
              </w:rPr>
              <w:t>ewid</w:t>
            </w:r>
            <w:proofErr w:type="spellEnd"/>
            <w:r>
              <w:rPr>
                <w:sz w:val="21"/>
                <w:szCs w:val="21"/>
              </w:rPr>
              <w:t>. nr 145/1, obręb nr 0046, jednostka ewidencyjna 046201_1 Grudziądz</w:t>
            </w:r>
          </w:p>
        </w:tc>
      </w:tr>
      <w:tr w:rsidR="00A87D57"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Status ochrony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Budynek wpisany do rejestru zabytków województwa kujawsko-pomorskiego pod nr A/574 (pierwotny wpis decyzją Wojewody Pomorskiego z dnia 12 września 1929 r.).</w:t>
            </w:r>
          </w:p>
          <w:p w:rsidR="00A87D57" w:rsidRDefault="001B3E6C">
            <w:r>
              <w:rPr>
                <w:sz w:val="21"/>
                <w:szCs w:val="21"/>
              </w:rPr>
              <w:t>Rzeźby figuralne na elewacji frontowej wpisane odrębnie do rejestru zabytków ruchomych pod nr B/197.</w:t>
            </w:r>
          </w:p>
        </w:tc>
      </w:tr>
    </w:tbl>
    <w:p w:rsidR="00A87D57" w:rsidRDefault="00A87D57">
      <w:pPr>
        <w:spacing w:after="120" w:line="276" w:lineRule="auto"/>
        <w:jc w:val="both"/>
      </w:pP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 xml:space="preserve">Podstawa prowadzenia prac: </w:t>
      </w:r>
      <w:r>
        <w:t xml:space="preserve">decyzja Kujawsko-Pomorskiego Wojewódzkiego Konserwatora Zabytków w Toruniu nr ZN/60/2026 z dnia 17.03.2026 r. (znak: WUOZ.T.WZN.5142.6.3.2026.KM), pozwalająca na prowadzenie prac konserwatorsko-restauratorskich przy Pałacu </w:t>
      </w:r>
      <w:proofErr w:type="spellStart"/>
      <w:r>
        <w:t>Opatek</w:t>
      </w:r>
      <w:proofErr w:type="spellEnd"/>
      <w:r>
        <w:t>, polegających na pracach przy elewacjach oraz skuciu wtórnych tynków w pomieszczeniach piwnicznych. Termin ważności pozwolenia: 31.12.2028 r.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>Roboty realizowane są na podstawie decyzji o pozwoleniu na budowę</w:t>
      </w:r>
      <w:r>
        <w:t xml:space="preserve"> (zgodnie z art. 29 ust. 7 pkt 1 w zw. z art. 29 ust. 4 pkt 2 lit. a ustawy z dnia 7 lipca 1994 r. – Prawo budowlane), z uwagi na indywidualny wpis obiektu do rejestru zabytków.</w:t>
      </w:r>
    </w:p>
    <w:p w:rsidR="00A87D57" w:rsidRDefault="001B3E6C">
      <w:pPr>
        <w:pStyle w:val="Nagwek1"/>
      </w:pPr>
      <w:r>
        <w:t>2. Przedmiot zamówienia</w:t>
      </w:r>
    </w:p>
    <w:p w:rsidR="00A87D57" w:rsidRDefault="001B3E6C">
      <w:pPr>
        <w:spacing w:after="120" w:line="276" w:lineRule="auto"/>
        <w:jc w:val="both"/>
      </w:pPr>
      <w:r>
        <w:t xml:space="preserve">Przedmiotem zamówienia jest wykonanie robót remontowych i konserwatorsko-restauratorskich elewacji zabytkowego Pałacu </w:t>
      </w:r>
      <w:proofErr w:type="spellStart"/>
      <w:r>
        <w:t>Opatek</w:t>
      </w:r>
      <w:proofErr w:type="spellEnd"/>
      <w:r>
        <w:t xml:space="preserve"> w Grudziądzu wraz z kompleksową konserwacją drewnianych rzeźb figuralnych z nisz elewacji frontowej (rej. B/197) — obejmujących elewację frontową (od ul. Klasztornej wraz z przejazdem bramnym), elewację boczną (od strony kościoła św. Ducha wraz z podcieniem wejścia do Muzeum) oraz elewację od strony dziedzińca (podwórza Muzeum), a także skucie wtórnych tynków i osuszanie pomieszczeń piwnicznych — wraz z pracami towarzyszącymi określonymi w niniejszym opisie oraz w dokumentacji projektowej.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lastRenderedPageBreak/>
        <w:t>Zamówienie realizowane jest w podziale na 4 etapy</w:t>
      </w:r>
      <w:r>
        <w:t>, w d</w:t>
      </w:r>
      <w:r w:rsidR="00B12688">
        <w:t>wóch latach budżetowych (2026 i </w:t>
      </w:r>
      <w:r>
        <w:t>2027), zgodnie z rozdziałem „Etapowanie i terminy realizacji”. Zamówienie stanowi jedną, niepodzieloną całość i jest realizowane kompleksowo przez jednego wykonawcę — etapy 1–4 stanowią wewnętrzny podział realizacji jednego zamówienia, a nie odrębne zadania ani odrębne postępowania.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>Zakres rzeczowy obejmuje w szczególności: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ustawienie i utrzymanie rusztowań elewacyjnych wraz z zabezpieczeniami, instalacją odgromową, osłonami z siatki oraz daszkami ochronnymi nad przejściami dla pieszych;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wyłączenie (zajęcie) ciągu pieszego od strony ul. Klasztornej na czas ustawienia rusztowania i prowadzenia robót — wraz ze zgłoszeniem i uzgodnieniem z właściwymi służbami;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demontaż zabezpieczający grupy 8 drewnianych rzeźb z nisz elewacji frontowej, ich inwentaryzację i transport oraz kompleksową konserwację przez osoby posiadające wymagane uprawnienia, a następnie przechowywanie i ponowny montaż po zakończeniu prac elewacyjnych;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wykonanie odkrywek kontrolnych (sondażowej w obrębie pęknięcia elewacji oraz w strefie cokołowej) zgodnie z warunkami pozwolenia konserwatorskiego;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oczyszczenie powierzchni elewacji (mycie hydrodynamiczne, dezynfekcja, doczyszczenia detalu);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naprawy rys, ubytków i spękań tynków, uszczelnienia liniowe i iniekcje podtynkowe, dylatacje spękań konstrukcyjnych;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naprawy i </w:t>
      </w:r>
      <w:proofErr w:type="spellStart"/>
      <w:r>
        <w:t>reprofilacje</w:t>
      </w:r>
      <w:proofErr w:type="spellEnd"/>
      <w:r>
        <w:t xml:space="preserve"> detalu architektonicznego i sztukaterii;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skucie i wymianę tynków na zaprawy </w:t>
      </w:r>
      <w:proofErr w:type="spellStart"/>
      <w:r>
        <w:t>kompresowe</w:t>
      </w:r>
      <w:proofErr w:type="spellEnd"/>
      <w:r>
        <w:t xml:space="preserve"> w partiach cokołów / stref przyziemia;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wykonanie malarskich powłok wykończeniowych i zabezpieczających elewacje;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renowację antykorozyjną elementów metaloplastycznych (brama, kraty okienne, lampa);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skucie wtórnych tynków w pomieszczeniach piwnicznych wraz z czynnościami osuszania (montaż osuszaczy elektroosmotycznych i wentylatorów oraz modyfikacja wentylacji);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prowadzenie dokumentacji konserwatorskiej przebiegu prac oraz sporządzenie dokumentacji powykonawczej.</w:t>
      </w:r>
    </w:p>
    <w:p w:rsidR="00A87D57" w:rsidRDefault="00A87D57">
      <w:pPr>
        <w:spacing w:after="120" w:line="276" w:lineRule="auto"/>
        <w:jc w:val="both"/>
      </w:pP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 xml:space="preserve">Wymagania kwalifikacyjne (rzeźby): </w:t>
      </w:r>
      <w:r>
        <w:t>demontaż, konserwację i ponowny montaż rzeźb (rej. B/197) należy wykonać pod nadzorem i z udziałem osób posiadających uprawnienia do prowadzenia prac konserwatorskich i restauratorskich przy</w:t>
      </w:r>
      <w:r w:rsidR="00B12688">
        <w:t xml:space="preserve"> zabytkach ruchomych (zgodnie z </w:t>
      </w:r>
      <w:r>
        <w:t>art. 37a ustawy o ochronie zabytków i opiece nad zabytkami), w zakresie konserwacji</w:t>
      </w:r>
      <w:r w:rsidR="00B12688">
        <w:t xml:space="preserve"> i </w:t>
      </w:r>
      <w:r>
        <w:t>restauracji rzeźby drewnianej / drewna polichromowanego. Demontaż wymaga uprzedniego sporządzenia inwentaryzacji oraz szczegółowego projektu zabezpieczeń i uzyskania odrębnego pozwolenia KPWKZ na demontaż.</w:t>
      </w:r>
    </w:p>
    <w:p w:rsidR="00B12688" w:rsidRDefault="00B12688">
      <w:pPr>
        <w:spacing w:after="120" w:line="276" w:lineRule="auto"/>
        <w:jc w:val="both"/>
      </w:pPr>
    </w:p>
    <w:p w:rsidR="00B12688" w:rsidRDefault="00B12688">
      <w:pPr>
        <w:spacing w:after="120" w:line="276" w:lineRule="auto"/>
        <w:jc w:val="both"/>
      </w:pPr>
    </w:p>
    <w:p w:rsidR="00B12688" w:rsidRDefault="00B12688">
      <w:pPr>
        <w:spacing w:after="120" w:line="276" w:lineRule="auto"/>
        <w:jc w:val="both"/>
      </w:pPr>
    </w:p>
    <w:p w:rsidR="00B12688" w:rsidRDefault="00B12688">
      <w:pPr>
        <w:spacing w:after="120" w:line="276" w:lineRule="auto"/>
        <w:jc w:val="both"/>
      </w:pPr>
    </w:p>
    <w:p w:rsidR="00B12688" w:rsidRDefault="00B12688">
      <w:pPr>
        <w:spacing w:after="120" w:line="276" w:lineRule="auto"/>
        <w:jc w:val="both"/>
      </w:pPr>
    </w:p>
    <w:p w:rsidR="00B12688" w:rsidRDefault="00B12688">
      <w:pPr>
        <w:spacing w:after="120" w:line="276" w:lineRule="auto"/>
        <w:jc w:val="both"/>
      </w:pPr>
    </w:p>
    <w:p w:rsidR="00A87D57" w:rsidRDefault="001B3E6C">
      <w:pPr>
        <w:pStyle w:val="Nagwek1"/>
      </w:pPr>
      <w:r>
        <w:t>3. Kody Wspólnego Słownika Zamówień (CPV)</w:t>
      </w:r>
    </w:p>
    <w:p w:rsidR="00A87D57" w:rsidRDefault="001B3E6C">
      <w:pPr>
        <w:spacing w:after="120" w:line="276" w:lineRule="auto"/>
        <w:jc w:val="both"/>
      </w:pPr>
      <w:r>
        <w:t>Przedmiot zamówienia klasyfikowany jest następującymi kodami CPV: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60"/>
      </w:tblGrid>
      <w:tr w:rsidR="00A87D57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/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Kod CPV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/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Opis</w:t>
            </w:r>
          </w:p>
        </w:tc>
      </w:tr>
      <w:tr w:rsidR="00A87D57"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45453000-7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Roboty remontowe i renowacyjne (kod główny)</w:t>
            </w:r>
          </w:p>
        </w:tc>
      </w:tr>
      <w:tr w:rsidR="00A87D57"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45453100-8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Roboty renowacyjne</w:t>
            </w:r>
          </w:p>
        </w:tc>
      </w:tr>
      <w:tr w:rsidR="00A87D57"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45262690-4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Remont starych budynków</w:t>
            </w:r>
          </w:p>
        </w:tc>
      </w:tr>
      <w:tr w:rsidR="00A87D57"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45212361-4 / 45200000-9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Roboty budowlane w zakresie obiektów / konserwacja zabytków</w:t>
            </w:r>
          </w:p>
        </w:tc>
      </w:tr>
      <w:tr w:rsidR="00A87D57"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45442100-8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Roboty malarskie</w:t>
            </w:r>
          </w:p>
        </w:tc>
      </w:tr>
      <w:tr w:rsidR="00A87D57"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45410000-4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Tynkowanie</w:t>
            </w:r>
          </w:p>
        </w:tc>
      </w:tr>
      <w:tr w:rsidR="00A87D57"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44212310-5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Rusztowania</w:t>
            </w:r>
          </w:p>
        </w:tc>
      </w:tr>
      <w:tr w:rsidR="00A87D57"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45261900-3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Naprawa i konserwacja elementów metalowych (metaloplastyka)</w:t>
            </w:r>
          </w:p>
        </w:tc>
      </w:tr>
      <w:tr w:rsidR="00A87D57"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92521220-7 / 50800000-3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Ochrona / konserwacja eksponatów i obiektów zabytkowych (rzeźby)</w:t>
            </w:r>
          </w:p>
        </w:tc>
      </w:tr>
      <w:tr w:rsidR="00A87D57"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71300000-1 / 71315300-2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Usługi inżynieryjne / opomiarowania dla budownictwa</w:t>
            </w:r>
          </w:p>
        </w:tc>
      </w:tr>
    </w:tbl>
    <w:p w:rsidR="00A87D57" w:rsidRDefault="001B3E6C">
      <w:pPr>
        <w:pStyle w:val="Nagwek1"/>
      </w:pPr>
      <w:r>
        <w:t>4. Etapowanie i terminy realizacji</w:t>
      </w:r>
    </w:p>
    <w:p w:rsidR="00A87D57" w:rsidRDefault="001B3E6C">
      <w:pPr>
        <w:spacing w:after="120" w:line="276" w:lineRule="auto"/>
        <w:jc w:val="both"/>
      </w:pPr>
      <w:r>
        <w:t>Zamówienie realizowane jest w podziale na cztery etapy, w dwóch latach budżetowych. Etapy 1 i 2 podlegają odbiorowi protokolarnemu i rozliczeniu w roku 2026; etapy 3 i 4 realizowane są w roku 2027, z odbiorem ostatecznym całości zadania.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1500"/>
        <w:gridCol w:w="6760"/>
      </w:tblGrid>
      <w:tr w:rsidR="00A87D57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/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Etap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/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Rok / termin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/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Zakres</w:t>
            </w:r>
          </w:p>
        </w:tc>
      </w:tr>
      <w:tr w:rsidR="00A87D57">
        <w:tc>
          <w:tcPr>
            <w:tcW w:w="1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Etap 1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2026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both"/>
            </w:pPr>
            <w:r>
              <w:rPr>
                <w:sz w:val="21"/>
                <w:szCs w:val="21"/>
              </w:rPr>
              <w:t>Demontaż (zdjęcie) rzeźb z nisz elewacji frontowej przed pracami elewacyjnymi, ich inwentaryzacja i transport oraz kompleksowa konserwacja rzeźb (rej. B/197) przez osoby posiadające wymagane uprawnienia — zgodnie z dokumen</w:t>
            </w:r>
            <w:r w:rsidR="00B12688">
              <w:rPr>
                <w:sz w:val="21"/>
                <w:szCs w:val="21"/>
              </w:rPr>
              <w:t>tacją. Konserwacja prowadzona w </w:t>
            </w:r>
            <w:r>
              <w:rPr>
                <w:sz w:val="21"/>
                <w:szCs w:val="21"/>
              </w:rPr>
              <w:t>okresie pomiędzy demontażem a ponownym montażem.</w:t>
            </w:r>
          </w:p>
        </w:tc>
      </w:tr>
      <w:tr w:rsidR="00A87D57">
        <w:tc>
          <w:tcPr>
            <w:tcW w:w="1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Etap 2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2026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both"/>
            </w:pPr>
            <w:r>
              <w:rPr>
                <w:sz w:val="21"/>
                <w:szCs w:val="21"/>
              </w:rPr>
              <w:t>Roboty w strefie przyziemia (cokoły) oraz w części przejazdu bramnego (ciąg w bramie elewacji), a</w:t>
            </w:r>
            <w:r w:rsidR="00B12688">
              <w:rPr>
                <w:sz w:val="21"/>
                <w:szCs w:val="21"/>
              </w:rPr>
              <w:t xml:space="preserve"> także skucie wtórnych tynków i </w:t>
            </w:r>
            <w:r>
              <w:rPr>
                <w:sz w:val="21"/>
                <w:szCs w:val="21"/>
              </w:rPr>
              <w:t xml:space="preserve">osuszanie pomieszczeń </w:t>
            </w:r>
            <w:r w:rsidR="00B12688">
              <w:rPr>
                <w:sz w:val="21"/>
                <w:szCs w:val="21"/>
              </w:rPr>
              <w:t>piwnicznych (montaż osuszaczy i </w:t>
            </w:r>
            <w:r>
              <w:rPr>
                <w:sz w:val="21"/>
                <w:szCs w:val="21"/>
              </w:rPr>
              <w:t>wentylatorów, modyfikacja wentylacji).</w:t>
            </w:r>
          </w:p>
        </w:tc>
      </w:tr>
      <w:tr w:rsidR="00A87D57">
        <w:tc>
          <w:tcPr>
            <w:tcW w:w="1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Etap 3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2027 (wiosna)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both"/>
            </w:pPr>
            <w:r>
              <w:rPr>
                <w:sz w:val="21"/>
                <w:szCs w:val="21"/>
              </w:rPr>
              <w:t xml:space="preserve">Zasadnicze prace remontowo-konserwatorskie elewacji (oczyszczenie, naprawy, dylatacje, </w:t>
            </w:r>
            <w:proofErr w:type="spellStart"/>
            <w:r>
              <w:rPr>
                <w:sz w:val="21"/>
                <w:szCs w:val="21"/>
              </w:rPr>
              <w:t>reprofilacje</w:t>
            </w:r>
            <w:proofErr w:type="spellEnd"/>
            <w:r>
              <w:rPr>
                <w:sz w:val="21"/>
                <w:szCs w:val="21"/>
              </w:rPr>
              <w:t xml:space="preserve"> sztukaterii, powłoki malarskie, renowacja metaloplastyki).</w:t>
            </w:r>
          </w:p>
        </w:tc>
      </w:tr>
      <w:tr w:rsidR="00A87D57">
        <w:tc>
          <w:tcPr>
            <w:tcW w:w="1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Etap 4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2027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both"/>
            </w:pPr>
            <w:r>
              <w:rPr>
                <w:sz w:val="21"/>
                <w:szCs w:val="21"/>
              </w:rPr>
              <w:t>Przechowywanie rzeźb do czasu zakończenia prac elewacyjnych, ponowny montaż rzeźb w niszach, zak</w:t>
            </w:r>
            <w:r w:rsidR="00B12688">
              <w:rPr>
                <w:sz w:val="21"/>
                <w:szCs w:val="21"/>
              </w:rPr>
              <w:t>ończenie wszystkich prac i </w:t>
            </w:r>
            <w:r>
              <w:rPr>
                <w:sz w:val="21"/>
                <w:szCs w:val="21"/>
              </w:rPr>
              <w:t>odbiór ostateczny.</w:t>
            </w:r>
          </w:p>
        </w:tc>
      </w:tr>
    </w:tbl>
    <w:p w:rsidR="00A87D57" w:rsidRDefault="00A87D57">
      <w:pPr>
        <w:spacing w:after="120" w:line="276" w:lineRule="auto"/>
        <w:jc w:val="both"/>
      </w:pPr>
    </w:p>
    <w:p w:rsidR="003A771F" w:rsidRDefault="003A771F">
      <w:pPr>
        <w:spacing w:after="120" w:line="276" w:lineRule="auto"/>
        <w:jc w:val="both"/>
        <w:rPr>
          <w:b/>
          <w:bCs/>
        </w:rPr>
      </w:pPr>
    </w:p>
    <w:p w:rsidR="003A771F" w:rsidRDefault="003A771F">
      <w:pPr>
        <w:spacing w:after="120" w:line="276" w:lineRule="auto"/>
        <w:jc w:val="both"/>
        <w:rPr>
          <w:b/>
          <w:bCs/>
        </w:rPr>
      </w:pP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lastRenderedPageBreak/>
        <w:t>Kamienie milowe (terminy odbiorów):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Etapy 1 i 2</w:t>
      </w:r>
      <w:r>
        <w:t xml:space="preserve"> — należy zakończyć i odebrać protokolarnie w terminie do dnia 5 listopada 2026 r.; rozliczenie tych etapów następuje w roku 2026.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Etapy 3 i 4</w:t>
      </w:r>
      <w:r>
        <w:t xml:space="preserve"> — realizowane w roku 2027; zakończenie wszystkich prac wraz z ponownym montażem rzeźb i odbiorem ostatecznym, potwierdzonym protokołem, w terminie do dnia 5 listopada 2027 r.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 xml:space="preserve">Warunek następstwa etapów: </w:t>
      </w:r>
      <w:r>
        <w:t xml:space="preserve">zdjęcie rzeźb (etap 1) musi nastąpić przed rozpoczęciem prac na elewacji frontowej. Ponowny montaż rzeźb (etap 4) następuje po zakończeniu i odbiorze prac elewacyjnych elewacji frontowej (etap 3). Przez cały okres pomiędzy demontażem a montażem Wykonawca zapewnia właściwe, bezpieczne przechowywanie rzeźb (stabilne warunki temperatury i wilgotności, kwarantanna ze względu na ryzyko owadów </w:t>
      </w:r>
      <w:proofErr w:type="spellStart"/>
      <w:r>
        <w:t>drewnojedzących</w:t>
      </w:r>
      <w:proofErr w:type="spellEnd"/>
      <w:r>
        <w:t>).</w:t>
      </w:r>
    </w:p>
    <w:p w:rsidR="00A87D57" w:rsidRDefault="001B3E6C">
      <w:pPr>
        <w:pStyle w:val="Nagwek1"/>
      </w:pPr>
      <w:r>
        <w:t>5. Charakterystyka obiektu i stan zachowania</w:t>
      </w:r>
    </w:p>
    <w:p w:rsidR="00A87D57" w:rsidRDefault="001B3E6C">
      <w:pPr>
        <w:spacing w:after="120" w:line="276" w:lineRule="auto"/>
        <w:jc w:val="both"/>
      </w:pPr>
      <w:r>
        <w:t xml:space="preserve">Pałac </w:t>
      </w:r>
      <w:proofErr w:type="spellStart"/>
      <w:r>
        <w:t>Opatek</w:t>
      </w:r>
      <w:proofErr w:type="spellEnd"/>
      <w:r>
        <w:t xml:space="preserve"> to późnobarokowy budynek dawnej furty klasztornej zespołu benedyktynek, wzniesiony ok. 1749–1750 r. Obiekt murowany, piętrowy, posadowiony na wysokich piwnicach, z reprezentacyjną fasadą frontową rozczłonkowaną pilastrami w wielkim porządku, z niszami mieszczącymi drewniane rzeźby świętych. Po zniszczeniach wojennych z 1945 r. obiekt został odbudowany w latach 1949–1954 i wchodzi w skład Muzeu</w:t>
      </w:r>
      <w:r w:rsidR="003A771F">
        <w:t>m im. ks. dr. Władysława Łęgi w </w:t>
      </w:r>
      <w:r>
        <w:t>Grudziądzu.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 xml:space="preserve">Stan zachowania elewacji </w:t>
      </w:r>
      <w:r>
        <w:t>oceniono jako pozornie stabilny, lecz w znacznej mierze stanowiący skorupę wtórnych wypraw tynkarskich pochodzenia cementowego, zakrywających starsze warstwy z okresu odbudowy. Głównymi problemami są: spękania konstrukcyjne (w osiach okien, przechodzące przez kondygnacje), spękania skurczowe, zabrudzenia i zacieki atmosferyczne, lokalne ubytki i odspojenia detalu, a także zawilgocenie stref cokołow</w:t>
      </w:r>
      <w:r w:rsidR="003A771F">
        <w:t>ych i </w:t>
      </w:r>
      <w:r>
        <w:t>przyziemia z podciągania kapilarnego. Współczesna szczelna zacierka cementowa utrudnia dyfuzję wilgoci, przyczyniając się do degradacji warstw spodnich.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 xml:space="preserve">Kolorystyka: </w:t>
      </w:r>
      <w:r>
        <w:t>badania stratygraficzne nie wykazały jednoznacznie pierwotnej aranżacji kolorystycznej; najstarszą rozpoznaną warstwę stanowi powłoka w kolorze ugrowym o spoiwie wapiennym (pigmenty żelazowy i kredowy), miejscami z rel</w:t>
      </w:r>
      <w:r w:rsidR="003A771F">
        <w:t>iktami warstwy jasnobłękitnej w </w:t>
      </w:r>
      <w:r>
        <w:t>obrębie muszli nisz. Docelowa kolorystyka elewacji powinna odnosić się do ciepłej tonacji wypraw wapiennych, w monochromatycznym ujęciu, i podlega zatwierdzeniu komisyjnemu na podstawie prób „in situ”.</w:t>
      </w:r>
    </w:p>
    <w:p w:rsidR="00A87D57" w:rsidRDefault="001B3E6C">
      <w:pPr>
        <w:pStyle w:val="Nagwek1"/>
      </w:pPr>
      <w:r>
        <w:t>6. Szczegółowy zakres prac konserwatorsko-restauratorskich</w:t>
      </w:r>
    </w:p>
    <w:p w:rsidR="00A87D57" w:rsidRDefault="001B3E6C">
      <w:pPr>
        <w:spacing w:after="120" w:line="276" w:lineRule="auto"/>
        <w:jc w:val="both"/>
      </w:pPr>
      <w:r>
        <w:t xml:space="preserve">Zakres prac należy wykonać zgodnie z programem prac konserwatorsko-restauratorskich (oprac. ARS MICHAEL Michał Wrzos, listopad 2025 r.), projektem technicznym (oprac. X-BUD Piotr Bielecki), specyfikacją techniczną wykonania i odbioru robót, przedmiarem robót oraz warunkami decyzji konserwatorskiej. Wskazane poniżej nazwy handlowe materiałów są </w:t>
      </w:r>
      <w:r>
        <w:rPr>
          <w:b/>
          <w:bCs/>
        </w:rPr>
        <w:t>przykładowe</w:t>
      </w:r>
      <w:r>
        <w:t xml:space="preserve"> — dopuszcza się materiały równoważne o nie gorszych właściwościach fizyko-chemicznych, dopuszczone do stosowania w obiektach zabytkowych, po akceptacji nadzoru konserwatorskiego i inwestorskiego.</w:t>
      </w:r>
    </w:p>
    <w:p w:rsidR="00B32C9B" w:rsidRDefault="00B32C9B">
      <w:pPr>
        <w:spacing w:after="120" w:line="276" w:lineRule="auto"/>
        <w:jc w:val="both"/>
      </w:pPr>
    </w:p>
    <w:p w:rsidR="00B32C9B" w:rsidRDefault="00B32C9B">
      <w:pPr>
        <w:spacing w:after="120" w:line="276" w:lineRule="auto"/>
        <w:jc w:val="both"/>
      </w:pPr>
    </w:p>
    <w:p w:rsidR="00A87D57" w:rsidRDefault="001B3E6C">
      <w:pPr>
        <w:pStyle w:val="Nagwek2"/>
      </w:pPr>
      <w:r>
        <w:lastRenderedPageBreak/>
        <w:t>6.1. Rusztowania, zabezpieczenia i organizacja robót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ustawienie rusztowań zewnętrznych rurowych o wysokości do 20 m — ok. 629,73 m²;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instalacja odgromowa na rusztowaniach oraz osłony z siatki — ok. 629,73 m²;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osłony okien folią — ok. 50,68 m²; daszki ochronne ciągłe nad przejściami dla pieszych — ok. 6,5 m²;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zajęcie pasa drogowego / chodnika (ok. 34 m²) — wra</w:t>
      </w:r>
      <w:r w:rsidR="00A655BD">
        <w:t>z z niezbędnymi uzgodnieniami i </w:t>
      </w:r>
      <w:r>
        <w:t>opłatami po stronie Wykonawcy;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zabezpieczenie stolarki okiennej i drzwiowej, instalacji oraz kamer niepodlegających remontowi.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 xml:space="preserve">Wyłączenie ciągu pieszego od ul. Klasztornej. </w:t>
      </w:r>
      <w:r>
        <w:t>Z uwagi na rusztowanie ustawione od strony elewacji frontowej, konieczne jest wyłączenie (zajęcie) ciągu</w:t>
      </w:r>
      <w:r w:rsidR="00A655BD">
        <w:t xml:space="preserve"> pieszego (chodnika) wzdłuż ul. </w:t>
      </w:r>
      <w:r>
        <w:t>Klasztornej na czas prowadzenia robót. Obowiązek zgłoszenia oraz uzyskania wymaganych uzgodnień/zezwoleń na zajęcie pasa drogowego i wprowadzenie czasowej organizacji ruchu pieszego (w tym opracowanie i uzgodnienie projektu czasowej organizacji ruchu, jeżeli będzie wymagany) spoczywa na Wykonawcy. Wykonawca dokonuje stosownych zgłoszeń do właściwych służb i zarządcy drogi, ponosi związane z tym opłaty oraz zapewnia bezpieczne, oznakowane obejście dla pieszych zgodnie z obowiązującymi przepisami. Koszty te należy ująć w cenie ofertowej.</w:t>
      </w:r>
    </w:p>
    <w:p w:rsidR="00A87D57" w:rsidRDefault="001B3E6C">
      <w:pPr>
        <w:pStyle w:val="Nagwek2"/>
      </w:pPr>
      <w:r>
        <w:t>6.2. Rzeźby w niszach (rej. B/197) — demontaż</w:t>
      </w:r>
      <w:r w:rsidR="00A655BD">
        <w:t>, konserwacja, przechowywanie i </w:t>
      </w:r>
      <w:r>
        <w:t>montaż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>Kompleksowa konserwacja 8 drewnianych rzeźb figuralnych z nisz elewacji frontowej wchodzi w zakres niniejszego zamówienia</w:t>
      </w:r>
      <w:r>
        <w:t xml:space="preserve"> i realizowana je</w:t>
      </w:r>
      <w:r w:rsidR="00A655BD">
        <w:t>st etapowo (etap 1 — demontaż i </w:t>
      </w:r>
      <w:r>
        <w:t>konserwacja; etap 4 — przechowywanie i ponowny montaż). Prace prowadzą osoby posiadające uprawnienia do prac konserwatorskich przy zabytkach ruchomych (rzeźba drewniana / drewno polichromowane).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>Etap 1 — demontaż i konserwacja: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sporządzenie inwentaryzacji konserwatorskiej wszystkich 8 obiektów oraz szczegółowego projektu zabezpieczeń; uzyskanie odrębnego pozwolenia KPWKZ na demontaż;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parcelacja elementów luźnych (m.in. pastorałów), tymczasowe zabezpieczenie elementów newralgicznych (dłonie, flekowania), </w:t>
      </w:r>
      <w:proofErr w:type="spellStart"/>
      <w:r>
        <w:t>wrapowanie</w:t>
      </w:r>
      <w:proofErr w:type="spellEnd"/>
      <w:r>
        <w:t xml:space="preserve"> bryły;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demontaż rzeźb (8 szt., o objętości do 0,3 m³) z mocowań w niszach i z trzpieni montażowych w piedestałach oraz transport do miejsca konserwacji/przechowywania;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kompleksowa konserwacja i restauracja rzeźb zgodnie z dokumentacją (m.in. dezynfekcja/dezynsekcja, konsolidacja zdegradowanego</w:t>
      </w:r>
      <w:r w:rsidR="00A655BD">
        <w:t xml:space="preserve"> drewna, uzupełnienia ubytków i </w:t>
      </w:r>
      <w:r>
        <w:t>flekowania, korekta dłoni i pastorałów, odtworzeni</w:t>
      </w:r>
      <w:r w:rsidR="00A655BD">
        <w:t>e powłok zabezpieczających) — w </w:t>
      </w:r>
      <w:r>
        <w:t>zakresie wynikającym z programu prac konserwatorskich oraz decyzji KPWKZ;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wykonanie dedykowanych „noszy” lub skrzyń transportowych pod wymiar.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>Etap 4 — przechowywanie i montaż: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przechowywanie rzeźb w stabilnych warunkach (temperatura, wilgotność optymalnie do ok. 14%, kwarantanna ze względu na ryzyko owadów </w:t>
      </w:r>
      <w:proofErr w:type="spellStart"/>
      <w:r>
        <w:t>drewnojedzących</w:t>
      </w:r>
      <w:proofErr w:type="spellEnd"/>
      <w:r>
        <w:t>) do czasu zakończenia i odbioru prac elewacyjnych elewacji frontowej;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lastRenderedPageBreak/>
        <w:t>ponowny montaż rzeźb w niszach (na trzpieniach i mocowaniach), z poprawnym ustawieniem i zabezpieczeniem;</w:t>
      </w:r>
    </w:p>
    <w:p w:rsidR="00A655BD" w:rsidRDefault="001B3E6C" w:rsidP="00A655BD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sporządzenie dokumentacji konserwatorskiej rzeźb i przekazanie jej Zamawiającemu oraz KPWKZ.</w:t>
      </w:r>
    </w:p>
    <w:p w:rsidR="000C76CA" w:rsidRDefault="000C76CA" w:rsidP="000C76CA">
      <w:pPr>
        <w:pStyle w:val="Akapitzlist"/>
        <w:spacing w:after="80" w:line="276" w:lineRule="auto"/>
        <w:ind w:left="600"/>
        <w:jc w:val="both"/>
      </w:pP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 xml:space="preserve">Następstwo robót: </w:t>
      </w:r>
      <w:r>
        <w:t>demontaż rzeźb (etap 1) musi nastąpić przed rozpoczęciem prac remontowych na elewacji frontowej; ponowny montaż (eta</w:t>
      </w:r>
      <w:r w:rsidR="00A655BD">
        <w:t>p 4) następuje po zakończeniu i </w:t>
      </w:r>
      <w:r>
        <w:t>odbiorze prac elewacyjnych elewacji frontowej (etap 3). Demontaż i montaż wymagają zapewnienia odpowiednich środków dostępu (rusztowanie</w:t>
      </w:r>
      <w:r w:rsidR="006F5572">
        <w:t xml:space="preserve"> elewacyjne lub podnośnik) oraz </w:t>
      </w:r>
      <w:r>
        <w:t>prowadzone są pod nadzorem konserwatora rzeźby.</w:t>
      </w:r>
    </w:p>
    <w:p w:rsidR="00A87D57" w:rsidRDefault="001B3E6C">
      <w:pPr>
        <w:pStyle w:val="Nagwek2"/>
      </w:pPr>
      <w:r>
        <w:t>6.3. Odkrywki kontrolne (komisyjne)</w:t>
      </w:r>
    </w:p>
    <w:p w:rsidR="00A87D57" w:rsidRDefault="001B3E6C" w:rsidP="00A655BD">
      <w:r>
        <w:t>wykonanie odkrywki sondażowej o wymiarach mi</w:t>
      </w:r>
      <w:r w:rsidR="00A655BD">
        <w:t>n. 50×50 cm w obrębie jednego z </w:t>
      </w:r>
      <w:r>
        <w:t>pęknięć elewacji, obejmującej kilka warstw cegieł — celem oceny stanu muru i problemów konstrukcyjnych;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wykonanie odkrywki w strefie cokołowej przed skuwaniem tynków — celem oceny stanu zachowania muru;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każdorazowo zwołanie komisji z udziałem wojewódzkiego konserwatora zabytków w celu podjęcia decyzji co do dalszego sposobu prowadzenia prac.</w:t>
      </w:r>
    </w:p>
    <w:p w:rsidR="00A87D57" w:rsidRDefault="001B3E6C">
      <w:pPr>
        <w:pStyle w:val="Nagwek2"/>
      </w:pPr>
      <w:r>
        <w:t>6.4. Przygotowanie podłoża — oczyszczenie powierzchni (S.0)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mycie hydrodynamiczne (na gorąco) — odtłuszczenie i usunięcie nalotów organicznych — 100% pow. elewacji;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wspomaganie chemią organiczną (mydło potasowe/szare ~30%) oraz preparatami emulgującymi powłoki (typu AGE lub równoważne) w miejscach o osłabionej adhezji — do ok. 5% pow.;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dezynfekcja nalotów biologicznych preparatami biodegrad</w:t>
      </w:r>
      <w:r w:rsidR="00A655BD">
        <w:t xml:space="preserve">owalnymi (typu BFA, </w:t>
      </w:r>
      <w:proofErr w:type="spellStart"/>
      <w:r w:rsidR="00A655BD">
        <w:t>Algizid</w:t>
      </w:r>
      <w:proofErr w:type="spellEnd"/>
      <w:r w:rsidR="00A655BD">
        <w:t xml:space="preserve"> lub </w:t>
      </w:r>
      <w:r>
        <w:t>równoważne) — do ok. 10% pow.;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oczyszczenia ścierne gładkich połaci (zmatowienie podłoża) — do ok. 50% pow.;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ręczne doczyszczenie detalu sztukateryjnego </w:t>
      </w:r>
      <w:r w:rsidR="00A655BD">
        <w:t xml:space="preserve">(kostki ścierne typu </w:t>
      </w:r>
      <w:proofErr w:type="spellStart"/>
      <w:r w:rsidR="00A655BD">
        <w:t>Akapad</w:t>
      </w:r>
      <w:proofErr w:type="spellEnd"/>
      <w:r w:rsidR="00A655BD">
        <w:t xml:space="preserve"> lub </w:t>
      </w:r>
      <w:r>
        <w:t xml:space="preserve">równoważne, </w:t>
      </w:r>
      <w:proofErr w:type="spellStart"/>
      <w:r>
        <w:t>mikroscaling</w:t>
      </w:r>
      <w:proofErr w:type="spellEnd"/>
      <w:r>
        <w:t>, parownica) — bez usuwania zespolonych powłok z detalu, nieinwazyjnie dla zachowania rysunku;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po umyciu: skucie luźnych/odparzonych tynków, otwarci</w:t>
      </w:r>
      <w:r w:rsidR="00A655BD">
        <w:t>e i poszerzenie rys, szczelin i </w:t>
      </w:r>
      <w:r>
        <w:t xml:space="preserve">pustek, pogłębienie spękań konstrukcyjnych (&gt;1,5 mm) do wypełnień dylatacyjnych — do ok. 150 </w:t>
      </w:r>
      <w:proofErr w:type="spellStart"/>
      <w:r>
        <w:t>mb</w:t>
      </w:r>
      <w:proofErr w:type="spellEnd"/>
      <w:r>
        <w:t>.</w:t>
      </w:r>
    </w:p>
    <w:p w:rsidR="00A87D57" w:rsidRDefault="001B3E6C">
      <w:pPr>
        <w:pStyle w:val="Nagwek2"/>
      </w:pPr>
      <w:r>
        <w:t>6.5. Podstawowe naprawy rys i ubytków tynków z wykończeniem (S.1)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gruntowanie kontaktowo-konsolidujące wodnymi gruntami krzemoorganic</w:t>
      </w:r>
      <w:r w:rsidR="000C76CA">
        <w:t>znymi (typu </w:t>
      </w:r>
      <w:r>
        <w:t>Antiqua G./TFM, ZM HF lub równoważne) — 100% pow.;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szpachlowania, </w:t>
      </w:r>
      <w:proofErr w:type="spellStart"/>
      <w:r>
        <w:t>reprofilacje</w:t>
      </w:r>
      <w:proofErr w:type="spellEnd"/>
      <w:r>
        <w:t xml:space="preserve"> i wypełnienia rys/ubytków zaprawami mineralnymi elastycznymi (typu </w:t>
      </w:r>
      <w:proofErr w:type="spellStart"/>
      <w:r>
        <w:t>Rissfix</w:t>
      </w:r>
      <w:proofErr w:type="spellEnd"/>
      <w:r>
        <w:t xml:space="preserve">, SHF lub równoważne) oraz masami do detalu (typu </w:t>
      </w:r>
      <w:proofErr w:type="spellStart"/>
      <w:r>
        <w:t>Stuccolini</w:t>
      </w:r>
      <w:proofErr w:type="spellEnd"/>
      <w:r>
        <w:t xml:space="preserve">, </w:t>
      </w:r>
      <w:proofErr w:type="spellStart"/>
      <w:r>
        <w:t>Multifill</w:t>
      </w:r>
      <w:proofErr w:type="spellEnd"/>
      <w:r>
        <w:t xml:space="preserve"> lub równoważne) — do ok. 10% pow. retuszu oraz do 150 </w:t>
      </w:r>
      <w:proofErr w:type="spellStart"/>
      <w:r>
        <w:t>mb</w:t>
      </w:r>
      <w:proofErr w:type="spellEnd"/>
      <w:r>
        <w:t xml:space="preserve"> napraw rys;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uzupełnienia i </w:t>
      </w:r>
      <w:proofErr w:type="spellStart"/>
      <w:r>
        <w:t>reprofilacje</w:t>
      </w:r>
      <w:proofErr w:type="spellEnd"/>
      <w:r>
        <w:t xml:space="preserve"> połaci przecierkami miner</w:t>
      </w:r>
      <w:r w:rsidR="000C76CA">
        <w:t>alnymi trasowo-wapiennymi (typu </w:t>
      </w:r>
      <w:r>
        <w:t>TKP/TN-D lub równoważne), unifikacyjnie z fakturą podłoża — do ok. 30% pow.</w:t>
      </w:r>
    </w:p>
    <w:p w:rsidR="00A87D57" w:rsidRDefault="001B3E6C">
      <w:pPr>
        <w:pStyle w:val="Nagwek2"/>
      </w:pPr>
      <w:r>
        <w:lastRenderedPageBreak/>
        <w:t>6.6. Głębsze wypełnienia dylatacji, uszczelnienia liniowe, iniekcje podtynkowe (S.2)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gruntowanie penetracyjne szczelin/kawern preparatami krzemoorganicznymi (typu </w:t>
      </w:r>
      <w:proofErr w:type="spellStart"/>
      <w:r>
        <w:t>primer</w:t>
      </w:r>
      <w:proofErr w:type="spellEnd"/>
      <w:r>
        <w:t xml:space="preserve"> SH, </w:t>
      </w:r>
      <w:proofErr w:type="spellStart"/>
      <w:r>
        <w:t>primer</w:t>
      </w:r>
      <w:proofErr w:type="spellEnd"/>
      <w:r>
        <w:t xml:space="preserve"> F, </w:t>
      </w:r>
      <w:proofErr w:type="spellStart"/>
      <w:r>
        <w:t>Primer</w:t>
      </w:r>
      <w:proofErr w:type="spellEnd"/>
      <w:r>
        <w:t xml:space="preserve"> 3N lub równoważne);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wypełnienia liniowe i wgłębne dylatacji masami PU/MS (typ</w:t>
      </w:r>
      <w:r w:rsidR="00BD0D25">
        <w:t xml:space="preserve">u </w:t>
      </w:r>
      <w:proofErr w:type="spellStart"/>
      <w:r w:rsidR="00BD0D25">
        <w:t>Sikaflex</w:t>
      </w:r>
      <w:proofErr w:type="spellEnd"/>
      <w:r w:rsidR="00BD0D25">
        <w:t>, APP lub </w:t>
      </w:r>
      <w:r>
        <w:t>równoważne), optymalnie 5 cm gr. muru z warstwą tynku;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iniekcje zalewowe spękań konstrukcyjnych i pustek masami mineralnymi (typu ICS 2K, S </w:t>
      </w:r>
      <w:proofErr w:type="spellStart"/>
      <w:r>
        <w:t>FiX</w:t>
      </w:r>
      <w:proofErr w:type="spellEnd"/>
      <w:r>
        <w:t xml:space="preserve">, </w:t>
      </w:r>
      <w:proofErr w:type="spellStart"/>
      <w:r>
        <w:t>Mineralit</w:t>
      </w:r>
      <w:proofErr w:type="spellEnd"/>
      <w:r>
        <w:t xml:space="preserve"> MWSK lub równoważne) — do ok. 150 </w:t>
      </w:r>
      <w:proofErr w:type="spellStart"/>
      <w:r>
        <w:t>mb</w:t>
      </w:r>
      <w:proofErr w:type="spellEnd"/>
      <w:r>
        <w:t>.</w:t>
      </w:r>
    </w:p>
    <w:p w:rsidR="00A87D57" w:rsidRDefault="001B3E6C">
      <w:pPr>
        <w:pStyle w:val="Nagwek2"/>
      </w:pPr>
      <w:r>
        <w:t xml:space="preserve">6.7. Naprawy detalu, sztukaterii, </w:t>
      </w:r>
      <w:proofErr w:type="spellStart"/>
      <w:r>
        <w:t>reprofilacje</w:t>
      </w:r>
      <w:proofErr w:type="spellEnd"/>
      <w:r>
        <w:t xml:space="preserve"> ciągnione (S.3)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proofErr w:type="spellStart"/>
      <w:r>
        <w:t>reprofilacje</w:t>
      </w:r>
      <w:proofErr w:type="spellEnd"/>
      <w:r>
        <w:t xml:space="preserve"> odtworzeniowe ubytków detalu zaprawami mineralnymi plastycznymi, szpachlowanymi lub ciągnionymi „in situ” (typu Kombi </w:t>
      </w:r>
      <w:proofErr w:type="spellStart"/>
      <w:r>
        <w:t>Stucco</w:t>
      </w:r>
      <w:proofErr w:type="spellEnd"/>
      <w:r>
        <w:t>, STU lub równoważne) — do ok. 5% pow. ubytków;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naprawy w zakresie profili parapetów, simy gzymsu koronnego, naroży — z narzutu lub</w:t>
      </w:r>
      <w:r w:rsidR="006F5572">
        <w:t> </w:t>
      </w:r>
      <w:r>
        <w:t xml:space="preserve">odcinkowo ciągnione; </w:t>
      </w:r>
      <w:proofErr w:type="spellStart"/>
      <w:r>
        <w:t>reprofilacje</w:t>
      </w:r>
      <w:proofErr w:type="spellEnd"/>
      <w:r>
        <w:t xml:space="preserve"> sztukaterii — szacunkowo ok. 188,9 m².</w:t>
      </w:r>
    </w:p>
    <w:p w:rsidR="00A87D57" w:rsidRDefault="001B3E6C">
      <w:pPr>
        <w:pStyle w:val="Nagwek2"/>
      </w:pPr>
      <w:r>
        <w:t xml:space="preserve">6.8. Skucie i wymiana tynków na zaprawy </w:t>
      </w:r>
      <w:proofErr w:type="spellStart"/>
      <w:r>
        <w:t>kompresowe</w:t>
      </w:r>
      <w:proofErr w:type="spellEnd"/>
      <w:r>
        <w:t xml:space="preserve"> w cokołach (S.4)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skucie wtórnych tynków cementowo-pochodnych w strefach przyziemia/cokołów (po obwodzie, śr. wys. ok. 1 m od gruntu), na ścianach po</w:t>
      </w:r>
      <w:r w:rsidR="006F5572">
        <w:t>dcienia, przejazdu bramnego i w </w:t>
      </w:r>
      <w:r>
        <w:t>strefie zejścia do piwnicy — ok. 93,57 m²;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oczyszczenie lica wątku muru, pogłębienie spoin, badania monitorujące zawilgocenie/zasolenie (np. metodą CM), inwentaryzacja konserwatorska skuwanych warstw;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odtworzenie tynków zaprawą </w:t>
      </w:r>
      <w:proofErr w:type="spellStart"/>
      <w:r>
        <w:t>szerokoporową</w:t>
      </w:r>
      <w:proofErr w:type="spellEnd"/>
      <w:r>
        <w:t xml:space="preserve">, magazynująco-dyfuzyjną (typu </w:t>
      </w:r>
      <w:proofErr w:type="spellStart"/>
      <w:r>
        <w:t>Kompressenputz</w:t>
      </w:r>
      <w:proofErr w:type="spellEnd"/>
      <w:r>
        <w:t xml:space="preserve"> lub równoważne), narzucaną warstwowo (~2 cm), z wykończeniem unifikacyjnym wg pkt 5.9;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wywiezienie i utylizacja gruzu (BDO).</w:t>
      </w:r>
    </w:p>
    <w:p w:rsidR="00A87D57" w:rsidRDefault="001B3E6C">
      <w:pPr>
        <w:pStyle w:val="Nagwek2"/>
      </w:pPr>
      <w:r>
        <w:t>6.9. Malarskie powłoki wykończeniowe i zabezpieczające (S.5)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warstwa podkładowa zbrojąco-wypełniająca z drobnym kruszywem (typu </w:t>
      </w:r>
      <w:proofErr w:type="spellStart"/>
      <w:r>
        <w:t>Fillfarbe</w:t>
      </w:r>
      <w:proofErr w:type="spellEnd"/>
      <w:r>
        <w:t xml:space="preserve">, </w:t>
      </w:r>
      <w:proofErr w:type="spellStart"/>
      <w:r>
        <w:t>Soldalit</w:t>
      </w:r>
      <w:proofErr w:type="spellEnd"/>
      <w:r>
        <w:t xml:space="preserve"> </w:t>
      </w:r>
      <w:proofErr w:type="spellStart"/>
      <w:r>
        <w:t>Grob</w:t>
      </w:r>
      <w:proofErr w:type="spellEnd"/>
      <w:r>
        <w:t>, Antiqua Q, gradacja 0,3–0,5 mm lub równoważne) — 100% pow.;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malowanie nawierzchniowe farbami krzemoorganicznymi (typu QX 360, </w:t>
      </w:r>
      <w:proofErr w:type="spellStart"/>
      <w:r>
        <w:t>Novalit</w:t>
      </w:r>
      <w:proofErr w:type="spellEnd"/>
      <w:r>
        <w:t xml:space="preserve">, </w:t>
      </w:r>
      <w:proofErr w:type="spellStart"/>
      <w:r>
        <w:t>Soldalit</w:t>
      </w:r>
      <w:proofErr w:type="spellEnd"/>
      <w:r>
        <w:t xml:space="preserve"> lub równoważne) techniką </w:t>
      </w:r>
      <w:proofErr w:type="spellStart"/>
      <w:r>
        <w:t>tapowania</w:t>
      </w:r>
      <w:proofErr w:type="spellEnd"/>
      <w:r>
        <w:t xml:space="preserve"> laserunkowego — 100% pow.;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 xml:space="preserve">Kolorystyka przewodnia </w:t>
      </w:r>
      <w:r>
        <w:t xml:space="preserve">— monochromatyczna, w ciepłej tonacji wypraw wapiennych (przykładowo wg palety </w:t>
      </w:r>
      <w:proofErr w:type="spellStart"/>
      <w:r>
        <w:t>Keim</w:t>
      </w:r>
      <w:proofErr w:type="spellEnd"/>
      <w:r>
        <w:t xml:space="preserve"> </w:t>
      </w:r>
      <w:proofErr w:type="spellStart"/>
      <w:r>
        <w:t>Exclusiv</w:t>
      </w:r>
      <w:proofErr w:type="spellEnd"/>
      <w:r>
        <w:t xml:space="preserve">: 9317 / 9339 / 9870 / 9215 lub równoważne). </w:t>
      </w:r>
      <w:r>
        <w:rPr>
          <w:b/>
          <w:bCs/>
        </w:rPr>
        <w:t>Przed malowaniem należy wykonać próbę kolorystyczną w dwóch wariantach</w:t>
      </w:r>
      <w:r>
        <w:t xml:space="preserve"> (z niewielkim zróżnicowaniem lica i detalu oraz w wersji z ciemniejszym</w:t>
      </w:r>
      <w:r w:rsidR="00086738">
        <w:t xml:space="preserve"> licem i jaśniejszym detalem) i </w:t>
      </w:r>
      <w:r>
        <w:t>przedstawić ją do wyboru wojewódzkiemu konserwatorowi zabytków. Ostateczna kolorystyka i aranżacja wymagają komisyjnego zatwierdzenia na podstawie prób „in situ”.</w:t>
      </w:r>
    </w:p>
    <w:p w:rsidR="00A87D57" w:rsidRDefault="001B3E6C">
      <w:pPr>
        <w:pStyle w:val="Nagwek2"/>
      </w:pPr>
      <w:r>
        <w:t>6.10. Renowacja elementów metaloplastycznych (S.6)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demontaż / wycięcie ozdobnych krat okiennych, skrzydeł bramy i lampy do renowacji warsztatowej;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oczyszczenie z powłok i korozji (mechanicznie / strumieniowo / ablacja laserowa) do klasy czystości </w:t>
      </w:r>
      <w:proofErr w:type="spellStart"/>
      <w:r>
        <w:t>Sa</w:t>
      </w:r>
      <w:proofErr w:type="spellEnd"/>
      <w:r>
        <w:t xml:space="preserve"> 2;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lastRenderedPageBreak/>
        <w:t>inhibitor korozji (typu BTA lub równoważne), ewentual</w:t>
      </w:r>
      <w:r w:rsidR="00086738">
        <w:t>ne kąpiele elektrolityczne przy </w:t>
      </w:r>
      <w:r>
        <w:t>znacznej korozji;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dwukrotne malowanie kryjące farbami metalicznymi (typu </w:t>
      </w:r>
      <w:proofErr w:type="spellStart"/>
      <w:r>
        <w:t>Eddi</w:t>
      </w:r>
      <w:proofErr w:type="spellEnd"/>
      <w:r>
        <w:t xml:space="preserve"> </w:t>
      </w:r>
      <w:proofErr w:type="spellStart"/>
      <w:r>
        <w:t>Schmied</w:t>
      </w:r>
      <w:proofErr w:type="spellEnd"/>
      <w:r>
        <w:t>, kolor antyczny grafit lub równoważne);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ponowny montaż z maskowaniem i przemalowaniem połączeń — szacunkowo ok. 80 m².</w:t>
      </w:r>
    </w:p>
    <w:p w:rsidR="00A87D57" w:rsidRDefault="001B3E6C">
      <w:pPr>
        <w:pStyle w:val="Nagwek2"/>
      </w:pPr>
      <w:r>
        <w:t>6.11. Skucie tynków i osuszanie pomieszczeń piwnicznych (S.7)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skucie wtórnych tynków cementowo-pochodnych w piw</w:t>
      </w:r>
      <w:r w:rsidR="00086738">
        <w:t>nicach do lica wątku muru — ok. </w:t>
      </w:r>
      <w:r>
        <w:t>400 m²;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oczyszczenie powierzchni muru i ręczne gruntowanie podłoży mineralnych — ok. 400 m²;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inwentaryzacja konserwatorska, badania monitoruj</w:t>
      </w:r>
      <w:r w:rsidR="00086738">
        <w:t>ące zawilgocenie/zasolenie (np. </w:t>
      </w:r>
      <w:r>
        <w:t>metodą CM);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modyfikacja wentylacji (otworowania drzwi i pokrywy </w:t>
      </w:r>
      <w:r w:rsidR="00086738">
        <w:t>szachtu od ul. Klasztornej) dla </w:t>
      </w:r>
      <w:r>
        <w:t>poprawy cyrkulacji powietrza;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dostawa i montaż 2 szt. osuszaczy elektroosmotycznych (typu GPL 111 lub równoważne) oraz 2 szt. wentylatorów elektrycznych (maks. 500 W) — wymuszona cyrkulacja powietrza;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utylizacja gruzu (BDO).</w:t>
      </w:r>
    </w:p>
    <w:p w:rsidR="00A87D57" w:rsidRDefault="001B3E6C">
      <w:pPr>
        <w:pStyle w:val="Nagwek1"/>
      </w:pPr>
      <w:r>
        <w:t>7. Warunki wynikające z decyzji konserwatorskiej</w:t>
      </w:r>
    </w:p>
    <w:p w:rsidR="00A87D57" w:rsidRDefault="001B3E6C">
      <w:pPr>
        <w:spacing w:after="120" w:line="276" w:lineRule="auto"/>
        <w:jc w:val="both"/>
      </w:pPr>
      <w:r>
        <w:t>Wykonawca zobowiązany jest do bezwzględnego przestrze</w:t>
      </w:r>
      <w:r w:rsidR="00086738">
        <w:t>gania warunków decyzji KPWKZ nr </w:t>
      </w:r>
      <w:r>
        <w:t>ZN/60/2026 z dnia 17.03.2026 r., w szczególności:</w:t>
      </w:r>
    </w:p>
    <w:p w:rsidR="00A87D57" w:rsidRDefault="001B3E6C">
      <w:pPr>
        <w:pStyle w:val="Akapitzlist"/>
        <w:numPr>
          <w:ilvl w:val="0"/>
          <w:numId w:val="3"/>
        </w:numPr>
        <w:spacing w:after="80" w:line="276" w:lineRule="auto"/>
        <w:jc w:val="both"/>
      </w:pPr>
      <w:r>
        <w:t>pracami konserwatorskimi i restauratorskimi mogą kierować lub samodzielnie je wykonywać wyłącznie osoby spełniające wymagania art. 37a ustawy o ochronie zabytków i opiece nad zabytkami;</w:t>
      </w:r>
    </w:p>
    <w:p w:rsidR="00A87D57" w:rsidRDefault="001B3E6C">
      <w:pPr>
        <w:pStyle w:val="Akapitzlist"/>
        <w:numPr>
          <w:ilvl w:val="0"/>
          <w:numId w:val="3"/>
        </w:numPr>
        <w:spacing w:after="80" w:line="276" w:lineRule="auto"/>
        <w:jc w:val="both"/>
      </w:pPr>
      <w:r>
        <w:t>nie później niż 14 dni przed rozpoczęciem prac należy przekazać KPWKZ dane osoby kierującej pracami wraz z dokumentami pot</w:t>
      </w:r>
      <w:r w:rsidR="0001767B">
        <w:t>wierdzającymi kwalifikacje oraz </w:t>
      </w:r>
      <w:r>
        <w:t>oświadczeniem o przyjęciu obowiązku kierowania pracami;</w:t>
      </w:r>
    </w:p>
    <w:p w:rsidR="00A87D57" w:rsidRDefault="001B3E6C">
      <w:pPr>
        <w:pStyle w:val="Akapitzlist"/>
        <w:numPr>
          <w:ilvl w:val="0"/>
          <w:numId w:val="3"/>
        </w:numPr>
        <w:spacing w:after="80" w:line="276" w:lineRule="auto"/>
        <w:jc w:val="both"/>
      </w:pPr>
      <w:r>
        <w:t>należy zawiadomić KPWKZ o terminie rozpoczęcia i zakończenia prac;</w:t>
      </w:r>
    </w:p>
    <w:p w:rsidR="00A87D57" w:rsidRDefault="001B3E6C">
      <w:pPr>
        <w:pStyle w:val="Akapitzlist"/>
        <w:numPr>
          <w:ilvl w:val="0"/>
          <w:numId w:val="3"/>
        </w:numPr>
        <w:spacing w:after="80" w:line="276" w:lineRule="auto"/>
        <w:jc w:val="both"/>
      </w:pPr>
      <w:r>
        <w:t>przed skuciem tynków ze strefy cokołowej należy wykonać odkrywkę oceniającą stan muru i zwołać komisję z udziałem KPWKZ;</w:t>
      </w:r>
    </w:p>
    <w:p w:rsidR="00A87D57" w:rsidRDefault="001B3E6C">
      <w:pPr>
        <w:pStyle w:val="Akapitzlist"/>
        <w:numPr>
          <w:ilvl w:val="0"/>
          <w:numId w:val="3"/>
        </w:numPr>
        <w:spacing w:after="80" w:line="276" w:lineRule="auto"/>
        <w:jc w:val="both"/>
      </w:pPr>
      <w:r>
        <w:t>należy wykonać odkrywkę min. 50×50 cm w obrębie pęknięcia elewacji i zwołać komisję z udziałem KPWKZ;</w:t>
      </w:r>
    </w:p>
    <w:p w:rsidR="00A87D57" w:rsidRDefault="001B3E6C">
      <w:pPr>
        <w:pStyle w:val="Akapitzlist"/>
        <w:numPr>
          <w:ilvl w:val="0"/>
          <w:numId w:val="3"/>
        </w:numPr>
        <w:spacing w:after="80" w:line="276" w:lineRule="auto"/>
        <w:jc w:val="both"/>
      </w:pPr>
      <w:r>
        <w:t>przed malowaniem elewacji należy wykonać próbę kol</w:t>
      </w:r>
      <w:r w:rsidR="0001767B">
        <w:t>orystyczną w dwóch wariantach i </w:t>
      </w:r>
      <w:r>
        <w:t>przedstawić ją KPWKZ do wyboru ostatecznego rozwiązania;</w:t>
      </w:r>
    </w:p>
    <w:p w:rsidR="00A87D57" w:rsidRDefault="001B3E6C">
      <w:pPr>
        <w:pStyle w:val="Akapitzlist"/>
        <w:numPr>
          <w:ilvl w:val="0"/>
          <w:numId w:val="3"/>
        </w:numPr>
        <w:spacing w:after="80" w:line="276" w:lineRule="auto"/>
        <w:jc w:val="both"/>
      </w:pPr>
      <w:r>
        <w:t>przed pracami na elewacji frontowej rzeźby (rej. B/197) muszą zostać zdemontowane; demontaż wymaga sporządzenia inwentaryzacji i szczegółowego projektu zabezpieczeń oraz uzyskania odrębnego pozwolenia KPWKZ; demontaż, konserwację i ponowny montaż prowadzą osoby posiadające uprawnienia do prac konserwatorskich przy zabytkach ruchomych;</w:t>
      </w:r>
    </w:p>
    <w:p w:rsidR="00A87D57" w:rsidRDefault="001B3E6C">
      <w:pPr>
        <w:pStyle w:val="Akapitzlist"/>
        <w:numPr>
          <w:ilvl w:val="0"/>
          <w:numId w:val="3"/>
        </w:numPr>
        <w:spacing w:after="80" w:line="276" w:lineRule="auto"/>
        <w:jc w:val="both"/>
      </w:pPr>
      <w:r>
        <w:t>należy niezwłocznie zawiadamiać KPWKZ o zagrożeniach lub nowych okolicznościach ujawnionych w trakcie prac;</w:t>
      </w:r>
    </w:p>
    <w:p w:rsidR="00A87D57" w:rsidRDefault="001B3E6C">
      <w:pPr>
        <w:pStyle w:val="Akapitzlist"/>
        <w:numPr>
          <w:ilvl w:val="0"/>
          <w:numId w:val="3"/>
        </w:numPr>
        <w:spacing w:after="80" w:line="276" w:lineRule="auto"/>
        <w:jc w:val="both"/>
      </w:pPr>
      <w:r>
        <w:lastRenderedPageBreak/>
        <w:t>należy prowadzić dokumentację przebiegu prac umożliwiającą jednoznaczną identyfikację i lokalizację wszystkich czynności, materiałów i odkryć, a następnie przekazać ją KPWKZ w terminie 3 miesięcy od zakończenia prac;</w:t>
      </w:r>
    </w:p>
    <w:p w:rsidR="00A87D57" w:rsidRDefault="001B3E6C">
      <w:pPr>
        <w:pStyle w:val="Akapitzlist"/>
        <w:numPr>
          <w:ilvl w:val="0"/>
          <w:numId w:val="3"/>
        </w:numPr>
        <w:spacing w:after="80" w:line="276" w:lineRule="auto"/>
        <w:jc w:val="both"/>
      </w:pPr>
      <w:r>
        <w:t>należy dokonać odbioru końcowego prac z udziałem KPWKZ.</w:t>
      </w:r>
    </w:p>
    <w:p w:rsidR="00A87D57" w:rsidRDefault="001B3E6C">
      <w:pPr>
        <w:pStyle w:val="Nagwek1"/>
      </w:pPr>
      <w:r>
        <w:t>8. Obowiązki Wykonawcy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wykonanie przedmiotu zamówienia zgodnie z dokumentacją projektową, </w:t>
      </w:r>
      <w:proofErr w:type="spellStart"/>
      <w:r>
        <w:t>STWiOR</w:t>
      </w:r>
      <w:proofErr w:type="spellEnd"/>
      <w:r>
        <w:t>, programem prac konserwatorskich, decyzją konserwatorską oraz zasadami wiedzy technicznej i sztuki konserwatorskiej;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zapewnienie kierownika budowy oraz kierownika prac konserwatorskich o kwalifikacjach zgodnych z art. 37a ustawy o ochronie zabytków;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opracowanie i uzgodnienie projektu organizacji robót oraz planu BIOZ;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wyłączenie (zajęcie) ciągu pieszego od strony ul. Klasztornej pod rusztowanie — wraz ze zgłoszeniem i uzyskaniem wymaganych uzgodn</w:t>
      </w:r>
      <w:r w:rsidR="006F5572">
        <w:t>ień/zezwoleń u zarządcy drogi i </w:t>
      </w:r>
      <w:r>
        <w:t>właściwych służb, opracowaniem (jeżeli wymagane) projektu czasowej organizacji ruchu pieszego, zapewnieniem bezpiecznego, oznakowanego obejścia oraz poniesieniem związanych opłat;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wykonanie demontażu, kompleksowej konserwacji, przechowywania i ponownego montażu rzeźb (rej. B/197) przez osoby posiadające wymagane uprawnienia konserwatorskie, w kolejności wynikającej z etapowania (zdjęcie figur przed pracami na elewacji frontowej, montaż po ich zakończeniu);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prowadzenie prób komisyjnych (oczyszczania, kolorystyki) i uzyskanie akceptacji nadzoru konserwatorskiego przed przystąpieniem do prac zasadniczych;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stosowanie materiałów dopuszczonych do obrotu i stosowania w obiektach zabytkowych, posiadających wymagane atesty/deklaracje; przedstawienie wykazu materiałów równoważnych do akceptacji;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zabezpieczenie terenu i obiektu (w tym elementów niepodlegających remontowi) na czas prowadzenia prac;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prowadzenie inwentaryzacji konserwatorskiej skuwanych warstw i odkryć oraz dokumentacji fotograficznej przebiegu prac;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gospodarka odpadami zgodnie z przepisami (BDO), wywóz i utylizacja gruzu;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sporządzenie dokumentacji powykonawczej oraz </w:t>
      </w:r>
      <w:r w:rsidR="006F5572">
        <w:t>dokumentacji konserwatorskiej i </w:t>
      </w:r>
      <w:r>
        <w:t>przekazanie jej Zamawiającemu oraz KPWKZ w wymaganych terminach;</w:t>
      </w:r>
    </w:p>
    <w:p w:rsidR="00A87D57" w:rsidRDefault="001B3E6C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udział w odbiorach, w tym w odbiorze końcowym z </w:t>
      </w:r>
      <w:r w:rsidR="006F5572">
        <w:t>udziałem KPWKZ; usunięcie wad i </w:t>
      </w:r>
      <w:r>
        <w:t>usterek w okresie gwarancji i rękojmi.</w:t>
      </w:r>
    </w:p>
    <w:p w:rsidR="00A87D57" w:rsidRDefault="001B3E6C">
      <w:pPr>
        <w:pStyle w:val="Nagwek1"/>
      </w:pPr>
      <w:r>
        <w:t>9. Odbiory robót</w:t>
      </w:r>
    </w:p>
    <w:p w:rsidR="00A87D57" w:rsidRDefault="001B3E6C">
      <w:pPr>
        <w:spacing w:after="120" w:line="276" w:lineRule="auto"/>
        <w:jc w:val="both"/>
      </w:pPr>
      <w:r>
        <w:t>Roboty podlegają odbiorom: robót zanikających i ulegających zakryciu, odbiorowi częściowemu, odbiorowi ostatecznemu (końcowemu) oraz odbiorowi pogwarancyjnemu. Odbiór robót zanikających (m.in. stanu muru pod skuwanymi tynkami, napraw iniekcyjnych) następuje przed ich zakryciem. Odbiór końcowy odbywa się z udziałem przedstawiciela Kujawsko-Pomorskiego Wojewódzkiego Konserwatora Zabytków.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lastRenderedPageBreak/>
        <w:t xml:space="preserve">Odbiory etapowe: </w:t>
      </w:r>
      <w:r>
        <w:t>zakończenie etapów 1 i 2 potwierdza się protokołem odbioru (kamień milowy — do 5 listopada 2026 r.), stanowiącym podstawę rozliczenia tych etapów w roku 2026. Zakończenie całości zadania (etapy 3 i 4), w tym ponowny montaż rzeźb, potwierdza protokół odbioru ostatecznego (kamień milowy — do 5 listopada 2027 r.).</w:t>
      </w:r>
    </w:p>
    <w:p w:rsidR="00A87D57" w:rsidRDefault="001B3E6C">
      <w:pPr>
        <w:spacing w:after="120" w:line="276" w:lineRule="auto"/>
        <w:jc w:val="both"/>
      </w:pPr>
      <w:r>
        <w:t>Do odbioru końcowego Wykonawca przygotowuje m.i</w:t>
      </w:r>
      <w:r w:rsidR="006F5572">
        <w:t>n.: dokumentację powykonawczą z </w:t>
      </w:r>
      <w:r>
        <w:t>naniesionymi zmianami, dokumentację konserwatorską przebiegu prac, dziennik budowy, wyniki badań i pomiarów (w tym monitoringu zawilgocenia/zasolenia), deklaracje/certyfikaty zgodności wbudowanych materiałów oraz protokoły prób komisyjnych.</w:t>
      </w:r>
    </w:p>
    <w:p w:rsidR="00A87D57" w:rsidRDefault="001B3E6C">
      <w:pPr>
        <w:pStyle w:val="Nagwek1"/>
      </w:pPr>
      <w:r>
        <w:t>10. Gwarancja i rękojmia</w:t>
      </w:r>
    </w:p>
    <w:p w:rsidR="00A87D57" w:rsidRDefault="001B3E6C">
      <w:pPr>
        <w:spacing w:after="120" w:line="276" w:lineRule="auto"/>
        <w:jc w:val="both"/>
      </w:pPr>
      <w:r>
        <w:t xml:space="preserve">Wykonawca udziela gwarancji jakości oraz rękojmi za wady na wykonane roboty i wbudowane materiały. Wymagany minimalny okres gwarancji oraz zasady jej liczenia określa </w:t>
      </w:r>
      <w:r w:rsidR="006F5572">
        <w:t>SWZ oraz </w:t>
      </w:r>
      <w:r>
        <w:t>wzór umowy (gwarancja stanowi jedno z kryteriów oceny ofert — szczegóły w SWZ).</w:t>
      </w:r>
    </w:p>
    <w:p w:rsidR="00A87D57" w:rsidRDefault="001B3E6C">
      <w:pPr>
        <w:pStyle w:val="Nagwek1"/>
      </w:pPr>
      <w:r>
        <w:t>11. Sposób rozliczenia</w:t>
      </w:r>
    </w:p>
    <w:p w:rsidR="00A87D57" w:rsidRDefault="001B3E6C">
      <w:pPr>
        <w:spacing w:after="120" w:line="276" w:lineRule="auto"/>
        <w:jc w:val="both"/>
      </w:pPr>
      <w:r>
        <w:t xml:space="preserve">Podstawą rozliczenia jest cena ryczałtowa obejmująca wykonanie wszystkich robót wykazanych w dokumentacji projektowej, </w:t>
      </w:r>
      <w:proofErr w:type="spellStart"/>
      <w:r>
        <w:t>STWiOR</w:t>
      </w:r>
      <w:proofErr w:type="spellEnd"/>
      <w:r>
        <w:t xml:space="preserve"> i niniejszym opisie, wraz z pracami i kosztami towarzyszącymi (m.in. rusztowania, zajęcie pasa drogowego, zabezpieczenia, dokumentacja, utylizacja odpadów). Przedmiar robót ma charakter pomocniczy. Wykonawca zobowiązany jest do zapoznania się z całością dokumentacji oraz, w miarę możliwości, do wizji lokalnej obiektu przed złożeniem oferty.</w:t>
      </w:r>
    </w:p>
    <w:p w:rsidR="00A87D57" w:rsidRDefault="001B3E6C">
      <w:pPr>
        <w:spacing w:after="120" w:line="276" w:lineRule="auto"/>
        <w:jc w:val="both"/>
      </w:pPr>
      <w:r>
        <w:rPr>
          <w:b/>
          <w:bCs/>
        </w:rPr>
        <w:t xml:space="preserve">Rozliczenie etapowe: </w:t>
      </w:r>
      <w:r>
        <w:t>rozliczenie następuje w dwóch latach budżetowych — etapy 1 i 2 w roku 2026 (po odbiorze do 5 listopada 2026 r.), etapy 3 i 4 w roku 2027 (po odbiorze ostatecznym do 5 listopada 2027 r.). Szczegółowy podział płatności (w tym ewentualne płatności częściowe) określa wzór umowy.</w:t>
      </w:r>
    </w:p>
    <w:p w:rsidR="00A87D57" w:rsidRDefault="001B3E6C">
      <w:pPr>
        <w:pStyle w:val="Nagwek1"/>
      </w:pPr>
      <w:r>
        <w:t>12. Dokumenty stanowiące podstawę realizacji</w:t>
      </w:r>
    </w:p>
    <w:p w:rsidR="00A87D57" w:rsidRDefault="001B3E6C">
      <w:pPr>
        <w:spacing w:after="120" w:line="276" w:lineRule="auto"/>
        <w:jc w:val="both"/>
      </w:pPr>
      <w:r>
        <w:t>Przedmiot zamówienia należy realizować w oparciu o następujące dokumenty, stanowiące załączniki do SWZ / dokumentację towarzyszącą:</w:t>
      </w:r>
    </w:p>
    <w:p w:rsidR="00A87D57" w:rsidRDefault="001B3E6C">
      <w:pPr>
        <w:pStyle w:val="Akapitzlist"/>
        <w:numPr>
          <w:ilvl w:val="0"/>
          <w:numId w:val="4"/>
        </w:numPr>
        <w:spacing w:after="80" w:line="276" w:lineRule="auto"/>
        <w:jc w:val="both"/>
      </w:pPr>
      <w:r>
        <w:t>Projekt techniczny — „Wykonanie robót remontowych elewacji…”, oprac. X-BUD Piotr Bielecki, Toruń, listopad 2025 r.;</w:t>
      </w:r>
    </w:p>
    <w:p w:rsidR="00A87D57" w:rsidRDefault="001B3E6C">
      <w:pPr>
        <w:pStyle w:val="Akapitzlist"/>
        <w:numPr>
          <w:ilvl w:val="0"/>
          <w:numId w:val="4"/>
        </w:numPr>
        <w:spacing w:after="80" w:line="276" w:lineRule="auto"/>
        <w:jc w:val="both"/>
      </w:pPr>
      <w:r>
        <w:t>Program prac konserwatorsko-restauratorskich, oprac. ARS MICHAEL Michał Wrzos, Warszawa, listopad 2025 r.;</w:t>
      </w:r>
    </w:p>
    <w:p w:rsidR="00A87D57" w:rsidRDefault="001B3E6C">
      <w:pPr>
        <w:pStyle w:val="Akapitzlist"/>
        <w:numPr>
          <w:ilvl w:val="0"/>
          <w:numId w:val="4"/>
        </w:numPr>
        <w:spacing w:after="80" w:line="276" w:lineRule="auto"/>
        <w:jc w:val="both"/>
      </w:pPr>
      <w:r>
        <w:t>Dokumentacja badań konserwatorskich elewacji (badania stratygraficzne i laboratoryjne), oprac. ARTVERK mgr Małgorzata Gałązka, Toruń, listopad 2025 r.;</w:t>
      </w:r>
    </w:p>
    <w:p w:rsidR="00A87D57" w:rsidRDefault="001B3E6C">
      <w:pPr>
        <w:pStyle w:val="Akapitzlist"/>
        <w:numPr>
          <w:ilvl w:val="0"/>
          <w:numId w:val="4"/>
        </w:numPr>
        <w:spacing w:after="80" w:line="276" w:lineRule="auto"/>
        <w:jc w:val="both"/>
      </w:pPr>
      <w:r>
        <w:t>Specyfikacja techniczna wykonania i odbioru robót (</w:t>
      </w:r>
      <w:proofErr w:type="spellStart"/>
      <w:r>
        <w:t>STWiOR</w:t>
      </w:r>
      <w:proofErr w:type="spellEnd"/>
      <w:r>
        <w:t>), oprac. X-BUD Piotr Bielecki, Toruń, listopad 2025 r.;</w:t>
      </w:r>
    </w:p>
    <w:p w:rsidR="00A87D57" w:rsidRDefault="001B3E6C">
      <w:pPr>
        <w:pStyle w:val="Akapitzlist"/>
        <w:numPr>
          <w:ilvl w:val="0"/>
          <w:numId w:val="4"/>
        </w:numPr>
        <w:spacing w:after="80" w:line="276" w:lineRule="auto"/>
        <w:jc w:val="both"/>
      </w:pPr>
      <w:r>
        <w:t>Przedmiar robót (branża konserwatorska), oprac. Michał K. Bielecki, kwiecień 2026 r.;</w:t>
      </w:r>
    </w:p>
    <w:p w:rsidR="00A87D57" w:rsidRDefault="001B3E6C">
      <w:pPr>
        <w:pStyle w:val="Akapitzlist"/>
        <w:numPr>
          <w:ilvl w:val="0"/>
          <w:numId w:val="4"/>
        </w:numPr>
        <w:spacing w:after="80" w:line="276" w:lineRule="auto"/>
        <w:jc w:val="both"/>
      </w:pPr>
      <w:r>
        <w:t>Decyzja KPWKZ nr ZN/60/2026 z dnia 17.03.2026 r. (znak WUOZ.T.WZN.5142.6.3.2026.KM).</w:t>
      </w:r>
    </w:p>
    <w:p w:rsidR="00A87D57" w:rsidRDefault="001B3E6C">
      <w:pPr>
        <w:spacing w:after="120" w:line="276" w:lineRule="auto"/>
        <w:jc w:val="both"/>
      </w:pPr>
      <w:r>
        <w:rPr>
          <w:i/>
          <w:iCs/>
          <w:sz w:val="21"/>
          <w:szCs w:val="21"/>
        </w:rPr>
        <w:t>W przypadku rozbieżności pomiędzy dokumentami, pierwszeństwo mają rozwiązania</w:t>
      </w:r>
      <w:r w:rsidR="00FE4B20">
        <w:rPr>
          <w:i/>
          <w:iCs/>
          <w:sz w:val="21"/>
          <w:szCs w:val="21"/>
        </w:rPr>
        <w:t xml:space="preserve"> wynikające z </w:t>
      </w:r>
      <w:r>
        <w:rPr>
          <w:i/>
          <w:iCs/>
          <w:sz w:val="21"/>
          <w:szCs w:val="21"/>
        </w:rPr>
        <w:t>decyzji konserwatorskiej oraz programu prac konserwatorskich.</w:t>
      </w:r>
    </w:p>
    <w:p w:rsidR="00A87D57" w:rsidRDefault="001B3E6C">
      <w:pPr>
        <w:pStyle w:val="Nagwek1"/>
      </w:pPr>
      <w:r>
        <w:lastRenderedPageBreak/>
        <w:t>13. Zestawienie podstawowych ilości (orientacyjnie)</w:t>
      </w:r>
    </w:p>
    <w:p w:rsidR="00A87D57" w:rsidRDefault="001B3E6C">
      <w:pPr>
        <w:spacing w:after="120" w:line="276" w:lineRule="auto"/>
        <w:jc w:val="both"/>
      </w:pPr>
      <w:r>
        <w:t>Poniższe ilości mają charakter orientacyjny i pomocniczy; podstawą wyceny ryczałtowej jest całość dokumentacji.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0"/>
        <w:gridCol w:w="1400"/>
        <w:gridCol w:w="2200"/>
      </w:tblGrid>
      <w:tr w:rsidR="00A87D57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/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Pozycja zakresu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/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j.m.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/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b/>
                <w:bCs/>
                <w:sz w:val="21"/>
                <w:szCs w:val="21"/>
              </w:rPr>
              <w:t>Ilość (orient.)</w:t>
            </w:r>
          </w:p>
        </w:tc>
      </w:tr>
      <w:tr w:rsidR="00A87D57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Rusztowania zewnętrzne (wys. do 20 m)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m²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629,73</w:t>
            </w:r>
          </w:p>
        </w:tc>
      </w:tr>
      <w:tr w:rsidR="00A87D57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Osłony z siatki / instalacja odgromowa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m²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629,73</w:t>
            </w:r>
          </w:p>
        </w:tc>
      </w:tr>
      <w:tr w:rsidR="00A87D57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Mycie i czyszczenie ciśnieniowe elewacji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m²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ok. 629,73</w:t>
            </w:r>
          </w:p>
        </w:tc>
      </w:tr>
      <w:tr w:rsidR="00A87D57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 xml:space="preserve">Gruntowanie i malowanie farbami </w:t>
            </w:r>
            <w:proofErr w:type="spellStart"/>
            <w:r>
              <w:rPr>
                <w:sz w:val="21"/>
                <w:szCs w:val="21"/>
              </w:rPr>
              <w:t>krzemoorg</w:t>
            </w:r>
            <w:proofErr w:type="spellEnd"/>
            <w:r>
              <w:rPr>
                <w:sz w:val="21"/>
                <w:szCs w:val="21"/>
              </w:rPr>
              <w:t>. (100%)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m²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629,73</w:t>
            </w:r>
          </w:p>
        </w:tc>
      </w:tr>
      <w:tr w:rsidR="00A87D57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Iniekcje / uszczelnienia dylatacji liniowych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proofErr w:type="spellStart"/>
            <w:r>
              <w:rPr>
                <w:sz w:val="21"/>
                <w:szCs w:val="21"/>
              </w:rPr>
              <w:t>mb</w:t>
            </w:r>
            <w:proofErr w:type="spellEnd"/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150</w:t>
            </w:r>
          </w:p>
        </w:tc>
      </w:tr>
      <w:tr w:rsidR="00A87D57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roofErr w:type="spellStart"/>
            <w:r>
              <w:rPr>
                <w:sz w:val="21"/>
                <w:szCs w:val="21"/>
              </w:rPr>
              <w:t>Reprofilacje</w:t>
            </w:r>
            <w:proofErr w:type="spellEnd"/>
            <w:r>
              <w:rPr>
                <w:sz w:val="21"/>
                <w:szCs w:val="21"/>
              </w:rPr>
              <w:t xml:space="preserve"> / naprawy sztukaterii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m²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ok. 188,92</w:t>
            </w:r>
          </w:p>
        </w:tc>
      </w:tr>
      <w:tr w:rsidR="00A87D57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 xml:space="preserve">Skucie i wymiana tynków na </w:t>
            </w:r>
            <w:proofErr w:type="spellStart"/>
            <w:r>
              <w:rPr>
                <w:sz w:val="21"/>
                <w:szCs w:val="21"/>
              </w:rPr>
              <w:t>kompresowe</w:t>
            </w:r>
            <w:proofErr w:type="spellEnd"/>
            <w:r>
              <w:rPr>
                <w:sz w:val="21"/>
                <w:szCs w:val="21"/>
              </w:rPr>
              <w:t xml:space="preserve"> (cokoły)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m²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93,57</w:t>
            </w:r>
          </w:p>
        </w:tc>
      </w:tr>
      <w:tr w:rsidR="00A87D57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Renowacja elementów metaloplastycznych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m²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80</w:t>
            </w:r>
          </w:p>
        </w:tc>
      </w:tr>
      <w:tr w:rsidR="00A87D57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Skucie tynków w piwnicach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m²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400</w:t>
            </w:r>
          </w:p>
        </w:tc>
      </w:tr>
      <w:tr w:rsidR="00A87D57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Demontaż, konserwacja i montaż rzeźb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szt.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8</w:t>
            </w:r>
          </w:p>
        </w:tc>
      </w:tr>
      <w:tr w:rsidR="00A87D57">
        <w:tc>
          <w:tcPr>
            <w:tcW w:w="5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r>
              <w:rPr>
                <w:sz w:val="21"/>
                <w:szCs w:val="21"/>
              </w:rPr>
              <w:t>Osuszacze elektroosmotyczne / wentylatory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proofErr w:type="spellStart"/>
            <w:r>
              <w:rPr>
                <w:sz w:val="21"/>
                <w:szCs w:val="21"/>
              </w:rPr>
              <w:t>kpl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0" w:type="dxa"/>
              <w:left w:w="120" w:type="dxa"/>
              <w:bottom w:w="50" w:type="dxa"/>
              <w:right w:w="120" w:type="dxa"/>
            </w:tcMar>
          </w:tcPr>
          <w:p w:rsidR="00A87D57" w:rsidRDefault="001B3E6C">
            <w:pPr>
              <w:jc w:val="center"/>
            </w:pPr>
            <w:r>
              <w:rPr>
                <w:sz w:val="21"/>
                <w:szCs w:val="21"/>
              </w:rPr>
              <w:t>2 / 2</w:t>
            </w:r>
          </w:p>
        </w:tc>
      </w:tr>
    </w:tbl>
    <w:p w:rsidR="00A87D57" w:rsidRDefault="00A87D57">
      <w:pPr>
        <w:spacing w:before="120"/>
      </w:pPr>
    </w:p>
    <w:sectPr w:rsidR="00A87D57">
      <w:headerReference w:type="default" r:id="rId7"/>
      <w:footerReference w:type="default" r:id="rId8"/>
      <w:pgSz w:w="11906" w:h="16838"/>
      <w:pgMar w:top="1418" w:right="127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541" w:rsidRDefault="002E6541">
      <w:r>
        <w:separator/>
      </w:r>
    </w:p>
  </w:endnote>
  <w:endnote w:type="continuationSeparator" w:id="0">
    <w:p w:rsidR="002E6541" w:rsidRDefault="002E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D57" w:rsidRDefault="001B3E6C">
    <w:pPr>
      <w:pBdr>
        <w:top w:val="single" w:sz="4" w:space="4" w:color="AAAAAA"/>
      </w:pBdr>
      <w:jc w:val="center"/>
    </w:pPr>
    <w:r>
      <w:rPr>
        <w:color w:val="666666"/>
        <w:sz w:val="16"/>
        <w:szCs w:val="16"/>
      </w:rPr>
      <w:t xml:space="preserve">Remont konserwatorski elewacji Pałacu </w:t>
    </w:r>
    <w:proofErr w:type="spellStart"/>
    <w:r>
      <w:rPr>
        <w:color w:val="666666"/>
        <w:sz w:val="16"/>
        <w:szCs w:val="16"/>
      </w:rPr>
      <w:t>Opatek</w:t>
    </w:r>
    <w:proofErr w:type="spellEnd"/>
    <w:r>
      <w:rPr>
        <w:color w:val="666666"/>
        <w:sz w:val="16"/>
        <w:szCs w:val="16"/>
      </w:rPr>
      <w:t xml:space="preserve"> w Grudziądzu  •  Strona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1309B5">
      <w:rPr>
        <w:noProof/>
        <w:color w:val="666666"/>
        <w:sz w:val="16"/>
        <w:szCs w:val="16"/>
      </w:rPr>
      <w:t>11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z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1309B5">
      <w:rPr>
        <w:noProof/>
        <w:color w:val="666666"/>
        <w:sz w:val="16"/>
        <w:szCs w:val="16"/>
      </w:rPr>
      <w:t>11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541" w:rsidRDefault="002E6541">
      <w:r>
        <w:separator/>
      </w:r>
    </w:p>
  </w:footnote>
  <w:footnote w:type="continuationSeparator" w:id="0">
    <w:p w:rsidR="002E6541" w:rsidRDefault="002E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D57" w:rsidRDefault="001B3E6C">
    <w:pPr>
      <w:pBdr>
        <w:bottom w:val="single" w:sz="4" w:space="4" w:color="AAAAAA"/>
      </w:pBdr>
      <w:jc w:val="right"/>
    </w:pPr>
    <w:r>
      <w:rPr>
        <w:color w:val="666666"/>
        <w:sz w:val="16"/>
        <w:szCs w:val="16"/>
      </w:rPr>
      <w:t>Załącznik Nr 1 do SWZ — Szczegółowy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973"/>
    <w:multiLevelType w:val="hybridMultilevel"/>
    <w:tmpl w:val="07406042"/>
    <w:lvl w:ilvl="0" w:tplc="372E51BA">
      <w:start w:val="1"/>
      <w:numFmt w:val="bullet"/>
      <w:lvlText w:val="•"/>
      <w:lvlJc w:val="left"/>
      <w:pPr>
        <w:ind w:left="600" w:hanging="300"/>
      </w:pPr>
    </w:lvl>
    <w:lvl w:ilvl="1" w:tplc="D968EDDE">
      <w:numFmt w:val="decimal"/>
      <w:lvlText w:val=""/>
      <w:lvlJc w:val="left"/>
    </w:lvl>
    <w:lvl w:ilvl="2" w:tplc="0748C91C">
      <w:numFmt w:val="decimal"/>
      <w:lvlText w:val=""/>
      <w:lvlJc w:val="left"/>
    </w:lvl>
    <w:lvl w:ilvl="3" w:tplc="DCBCA6A8">
      <w:numFmt w:val="decimal"/>
      <w:lvlText w:val=""/>
      <w:lvlJc w:val="left"/>
    </w:lvl>
    <w:lvl w:ilvl="4" w:tplc="0F4893F2">
      <w:numFmt w:val="decimal"/>
      <w:lvlText w:val=""/>
      <w:lvlJc w:val="left"/>
    </w:lvl>
    <w:lvl w:ilvl="5" w:tplc="26AAD2C0">
      <w:numFmt w:val="decimal"/>
      <w:lvlText w:val=""/>
      <w:lvlJc w:val="left"/>
    </w:lvl>
    <w:lvl w:ilvl="6" w:tplc="A24839A6">
      <w:numFmt w:val="decimal"/>
      <w:lvlText w:val=""/>
      <w:lvlJc w:val="left"/>
    </w:lvl>
    <w:lvl w:ilvl="7" w:tplc="025E0DD2">
      <w:numFmt w:val="decimal"/>
      <w:lvlText w:val=""/>
      <w:lvlJc w:val="left"/>
    </w:lvl>
    <w:lvl w:ilvl="8" w:tplc="7F964324">
      <w:numFmt w:val="decimal"/>
      <w:lvlText w:val=""/>
      <w:lvlJc w:val="left"/>
    </w:lvl>
  </w:abstractNum>
  <w:abstractNum w:abstractNumId="1" w15:restartNumberingAfterBreak="0">
    <w:nsid w:val="15837136"/>
    <w:multiLevelType w:val="hybridMultilevel"/>
    <w:tmpl w:val="06C402F6"/>
    <w:lvl w:ilvl="0" w:tplc="DB18A296">
      <w:start w:val="1"/>
      <w:numFmt w:val="decimal"/>
      <w:lvlText w:val="%1)"/>
      <w:lvlJc w:val="left"/>
      <w:pPr>
        <w:ind w:left="600" w:hanging="360"/>
      </w:pPr>
    </w:lvl>
    <w:lvl w:ilvl="1" w:tplc="01E4E556">
      <w:numFmt w:val="decimal"/>
      <w:lvlText w:val=""/>
      <w:lvlJc w:val="left"/>
    </w:lvl>
    <w:lvl w:ilvl="2" w:tplc="D2BABF84">
      <w:numFmt w:val="decimal"/>
      <w:lvlText w:val=""/>
      <w:lvlJc w:val="left"/>
    </w:lvl>
    <w:lvl w:ilvl="3" w:tplc="D81A00D0">
      <w:numFmt w:val="decimal"/>
      <w:lvlText w:val=""/>
      <w:lvlJc w:val="left"/>
    </w:lvl>
    <w:lvl w:ilvl="4" w:tplc="66843124">
      <w:numFmt w:val="decimal"/>
      <w:lvlText w:val=""/>
      <w:lvlJc w:val="left"/>
    </w:lvl>
    <w:lvl w:ilvl="5" w:tplc="C31EE7F2">
      <w:numFmt w:val="decimal"/>
      <w:lvlText w:val=""/>
      <w:lvlJc w:val="left"/>
    </w:lvl>
    <w:lvl w:ilvl="6" w:tplc="AE9400FC">
      <w:numFmt w:val="decimal"/>
      <w:lvlText w:val=""/>
      <w:lvlJc w:val="left"/>
    </w:lvl>
    <w:lvl w:ilvl="7" w:tplc="FF225746">
      <w:numFmt w:val="decimal"/>
      <w:lvlText w:val=""/>
      <w:lvlJc w:val="left"/>
    </w:lvl>
    <w:lvl w:ilvl="8" w:tplc="789EB9FA">
      <w:numFmt w:val="decimal"/>
      <w:lvlText w:val=""/>
      <w:lvlJc w:val="left"/>
    </w:lvl>
  </w:abstractNum>
  <w:abstractNum w:abstractNumId="2" w15:restartNumberingAfterBreak="0">
    <w:nsid w:val="2B4953F7"/>
    <w:multiLevelType w:val="hybridMultilevel"/>
    <w:tmpl w:val="D1B47F44"/>
    <w:lvl w:ilvl="0" w:tplc="E266F7FA">
      <w:start w:val="1"/>
      <w:numFmt w:val="decimal"/>
      <w:lvlText w:val="%1)"/>
      <w:lvlJc w:val="left"/>
      <w:pPr>
        <w:ind w:left="600" w:hanging="360"/>
      </w:pPr>
    </w:lvl>
    <w:lvl w:ilvl="1" w:tplc="C36EEAD8">
      <w:numFmt w:val="decimal"/>
      <w:lvlText w:val=""/>
      <w:lvlJc w:val="left"/>
    </w:lvl>
    <w:lvl w:ilvl="2" w:tplc="22FC7216">
      <w:numFmt w:val="decimal"/>
      <w:lvlText w:val=""/>
      <w:lvlJc w:val="left"/>
    </w:lvl>
    <w:lvl w:ilvl="3" w:tplc="24DA3724">
      <w:numFmt w:val="decimal"/>
      <w:lvlText w:val=""/>
      <w:lvlJc w:val="left"/>
    </w:lvl>
    <w:lvl w:ilvl="4" w:tplc="B4EAF682">
      <w:numFmt w:val="decimal"/>
      <w:lvlText w:val=""/>
      <w:lvlJc w:val="left"/>
    </w:lvl>
    <w:lvl w:ilvl="5" w:tplc="6D62EB58">
      <w:numFmt w:val="decimal"/>
      <w:lvlText w:val=""/>
      <w:lvlJc w:val="left"/>
    </w:lvl>
    <w:lvl w:ilvl="6" w:tplc="149E31AA">
      <w:numFmt w:val="decimal"/>
      <w:lvlText w:val=""/>
      <w:lvlJc w:val="left"/>
    </w:lvl>
    <w:lvl w:ilvl="7" w:tplc="C3DA04B2">
      <w:numFmt w:val="decimal"/>
      <w:lvlText w:val=""/>
      <w:lvlJc w:val="left"/>
    </w:lvl>
    <w:lvl w:ilvl="8" w:tplc="9BCA0800">
      <w:numFmt w:val="decimal"/>
      <w:lvlText w:val=""/>
      <w:lvlJc w:val="left"/>
    </w:lvl>
  </w:abstractNum>
  <w:abstractNum w:abstractNumId="3" w15:restartNumberingAfterBreak="0">
    <w:nsid w:val="32EE0694"/>
    <w:multiLevelType w:val="hybridMultilevel"/>
    <w:tmpl w:val="18722B98"/>
    <w:lvl w:ilvl="0" w:tplc="B0067AA4">
      <w:start w:val="1"/>
      <w:numFmt w:val="decimal"/>
      <w:lvlText w:val="%1)"/>
      <w:lvlJc w:val="left"/>
      <w:pPr>
        <w:ind w:left="600" w:hanging="360"/>
      </w:pPr>
    </w:lvl>
    <w:lvl w:ilvl="1" w:tplc="6242000C">
      <w:numFmt w:val="decimal"/>
      <w:lvlText w:val=""/>
      <w:lvlJc w:val="left"/>
    </w:lvl>
    <w:lvl w:ilvl="2" w:tplc="3CEEED50">
      <w:numFmt w:val="decimal"/>
      <w:lvlText w:val=""/>
      <w:lvlJc w:val="left"/>
    </w:lvl>
    <w:lvl w:ilvl="3" w:tplc="9D46EFB8">
      <w:numFmt w:val="decimal"/>
      <w:lvlText w:val=""/>
      <w:lvlJc w:val="left"/>
    </w:lvl>
    <w:lvl w:ilvl="4" w:tplc="0984509C">
      <w:numFmt w:val="decimal"/>
      <w:lvlText w:val=""/>
      <w:lvlJc w:val="left"/>
    </w:lvl>
    <w:lvl w:ilvl="5" w:tplc="D4B00B6E">
      <w:numFmt w:val="decimal"/>
      <w:lvlText w:val=""/>
      <w:lvlJc w:val="left"/>
    </w:lvl>
    <w:lvl w:ilvl="6" w:tplc="D862A162">
      <w:numFmt w:val="decimal"/>
      <w:lvlText w:val=""/>
      <w:lvlJc w:val="left"/>
    </w:lvl>
    <w:lvl w:ilvl="7" w:tplc="B1C8F1A4">
      <w:numFmt w:val="decimal"/>
      <w:lvlText w:val=""/>
      <w:lvlJc w:val="left"/>
    </w:lvl>
    <w:lvl w:ilvl="8" w:tplc="EB388798">
      <w:numFmt w:val="decimal"/>
      <w:lvlText w:val=""/>
      <w:lvlJc w:val="left"/>
    </w:lvl>
  </w:abstractNum>
  <w:abstractNum w:abstractNumId="4" w15:restartNumberingAfterBreak="0">
    <w:nsid w:val="3D366EDB"/>
    <w:multiLevelType w:val="hybridMultilevel"/>
    <w:tmpl w:val="0C0A32C6"/>
    <w:lvl w:ilvl="0" w:tplc="4D0E8E72">
      <w:start w:val="1"/>
      <w:numFmt w:val="bullet"/>
      <w:lvlText w:val="●"/>
      <w:lvlJc w:val="left"/>
      <w:pPr>
        <w:ind w:left="720" w:hanging="360"/>
      </w:pPr>
    </w:lvl>
    <w:lvl w:ilvl="1" w:tplc="3D7294A6">
      <w:start w:val="1"/>
      <w:numFmt w:val="bullet"/>
      <w:lvlText w:val="○"/>
      <w:lvlJc w:val="left"/>
      <w:pPr>
        <w:ind w:left="1440" w:hanging="360"/>
      </w:pPr>
    </w:lvl>
    <w:lvl w:ilvl="2" w:tplc="4BCC30E4">
      <w:start w:val="1"/>
      <w:numFmt w:val="bullet"/>
      <w:lvlText w:val="■"/>
      <w:lvlJc w:val="left"/>
      <w:pPr>
        <w:ind w:left="2160" w:hanging="360"/>
      </w:pPr>
    </w:lvl>
    <w:lvl w:ilvl="3" w:tplc="06F4183A">
      <w:start w:val="1"/>
      <w:numFmt w:val="bullet"/>
      <w:lvlText w:val="●"/>
      <w:lvlJc w:val="left"/>
      <w:pPr>
        <w:ind w:left="2880" w:hanging="360"/>
      </w:pPr>
    </w:lvl>
    <w:lvl w:ilvl="4" w:tplc="C04E1196">
      <w:start w:val="1"/>
      <w:numFmt w:val="bullet"/>
      <w:lvlText w:val="○"/>
      <w:lvlJc w:val="left"/>
      <w:pPr>
        <w:ind w:left="3600" w:hanging="360"/>
      </w:pPr>
    </w:lvl>
    <w:lvl w:ilvl="5" w:tplc="21343C9A">
      <w:start w:val="1"/>
      <w:numFmt w:val="bullet"/>
      <w:lvlText w:val="■"/>
      <w:lvlJc w:val="left"/>
      <w:pPr>
        <w:ind w:left="4320" w:hanging="360"/>
      </w:pPr>
    </w:lvl>
    <w:lvl w:ilvl="6" w:tplc="54A47A0A">
      <w:start w:val="1"/>
      <w:numFmt w:val="bullet"/>
      <w:lvlText w:val="●"/>
      <w:lvlJc w:val="left"/>
      <w:pPr>
        <w:ind w:left="5040" w:hanging="360"/>
      </w:pPr>
    </w:lvl>
    <w:lvl w:ilvl="7" w:tplc="5978C5CE">
      <w:start w:val="1"/>
      <w:numFmt w:val="bullet"/>
      <w:lvlText w:val="●"/>
      <w:lvlJc w:val="left"/>
      <w:pPr>
        <w:ind w:left="5760" w:hanging="360"/>
      </w:pPr>
    </w:lvl>
    <w:lvl w:ilvl="8" w:tplc="28BE89F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D57"/>
    <w:rsid w:val="0001767B"/>
    <w:rsid w:val="00086738"/>
    <w:rsid w:val="000C76CA"/>
    <w:rsid w:val="001309B5"/>
    <w:rsid w:val="001B3E6C"/>
    <w:rsid w:val="002E6541"/>
    <w:rsid w:val="003A771F"/>
    <w:rsid w:val="0049019A"/>
    <w:rsid w:val="006F5572"/>
    <w:rsid w:val="00887DA6"/>
    <w:rsid w:val="00A655BD"/>
    <w:rsid w:val="00A87D57"/>
    <w:rsid w:val="00B12688"/>
    <w:rsid w:val="00B32C9B"/>
    <w:rsid w:val="00BB550E"/>
    <w:rsid w:val="00BD0D25"/>
    <w:rsid w:val="00DF5658"/>
    <w:rsid w:val="00F0629B"/>
    <w:rsid w:val="00F52622"/>
    <w:rsid w:val="00F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B90C"/>
  <w15:docId w15:val="{79714350-6BA7-45D0-A909-41F1E14E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qFormat/>
    <w:pPr>
      <w:spacing w:before="320" w:after="160"/>
      <w:outlineLvl w:val="0"/>
    </w:pPr>
    <w:rPr>
      <w:b/>
      <w:bCs/>
      <w:color w:val="1F3864"/>
      <w:sz w:val="26"/>
      <w:szCs w:val="26"/>
    </w:rPr>
  </w:style>
  <w:style w:type="paragraph" w:styleId="Nagwek2">
    <w:name w:val="heading 2"/>
    <w:qFormat/>
    <w:pPr>
      <w:spacing w:before="240" w:after="120"/>
      <w:outlineLvl w:val="1"/>
    </w:pPr>
    <w:rPr>
      <w:b/>
      <w:bCs/>
      <w:color w:val="2E4D7B"/>
      <w:sz w:val="23"/>
      <w:szCs w:val="23"/>
    </w:rPr>
  </w:style>
  <w:style w:type="paragraph" w:styleId="Nagwek3">
    <w:name w:val="heading 3"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qFormat/>
    <w:pPr>
      <w:outlineLvl w:val="3"/>
    </w:pPr>
    <w:rPr>
      <w:i/>
      <w:iCs/>
      <w:color w:val="2E74B5"/>
    </w:rPr>
  </w:style>
  <w:style w:type="paragraph" w:styleId="Nagwek5">
    <w:name w:val="heading 5"/>
    <w:qFormat/>
    <w:pPr>
      <w:outlineLvl w:val="4"/>
    </w:pPr>
    <w:rPr>
      <w:color w:val="2E74B5"/>
    </w:rPr>
  </w:style>
  <w:style w:type="paragraph" w:styleId="Nagwek6">
    <w:name w:val="heading 6"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655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55BD"/>
  </w:style>
  <w:style w:type="paragraph" w:styleId="Stopka">
    <w:name w:val="footer"/>
    <w:basedOn w:val="Normalny"/>
    <w:link w:val="StopkaZnak"/>
    <w:uiPriority w:val="99"/>
    <w:unhideWhenUsed/>
    <w:rsid w:val="00A655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5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3748</Words>
  <Characters>22490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OLEK</cp:lastModifiedBy>
  <cp:revision>7</cp:revision>
  <dcterms:created xsi:type="dcterms:W3CDTF">2026-06-18T08:46:00Z</dcterms:created>
  <dcterms:modified xsi:type="dcterms:W3CDTF">2026-07-01T08:31:00Z</dcterms:modified>
</cp:coreProperties>
</file>