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14CC8" w14:textId="768F7A88" w:rsidR="00D80988" w:rsidRDefault="00D80988" w:rsidP="00D809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PZ-26-</w:t>
      </w:r>
      <w:r w:rsidR="003C0B17"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/>
          <w:b/>
        </w:rPr>
        <w:t>d</w:t>
      </w:r>
      <w:r w:rsidR="00B533C5">
        <w:rPr>
          <w:rFonts w:ascii="Times New Roman" w:hAnsi="Times New Roman" w:cs="Times New Roman"/>
          <w:b/>
        </w:rPr>
        <w:t xml:space="preserve">/26   </w:t>
      </w:r>
      <w:r w:rsidR="00B533C5">
        <w:rPr>
          <w:rFonts w:ascii="Times New Roman" w:hAnsi="Times New Roman" w:cs="Times New Roman"/>
          <w:b/>
        </w:rPr>
        <w:tab/>
      </w:r>
      <w:r w:rsidR="00B533C5">
        <w:rPr>
          <w:rFonts w:ascii="Times New Roman" w:hAnsi="Times New Roman" w:cs="Times New Roman"/>
          <w:b/>
        </w:rPr>
        <w:tab/>
      </w:r>
      <w:r w:rsidR="00B533C5">
        <w:rPr>
          <w:rFonts w:ascii="Times New Roman" w:hAnsi="Times New Roman" w:cs="Times New Roman"/>
          <w:b/>
        </w:rPr>
        <w:tab/>
      </w:r>
      <w:r w:rsidR="00B533C5">
        <w:rPr>
          <w:rFonts w:ascii="Times New Roman" w:hAnsi="Times New Roman" w:cs="Times New Roman"/>
          <w:b/>
        </w:rPr>
        <w:tab/>
      </w:r>
      <w:r w:rsidR="00B533C5">
        <w:rPr>
          <w:rFonts w:ascii="Times New Roman" w:hAnsi="Times New Roman" w:cs="Times New Roman"/>
          <w:b/>
        </w:rPr>
        <w:tab/>
      </w:r>
      <w:r w:rsidR="00B533C5">
        <w:rPr>
          <w:rFonts w:ascii="Times New Roman" w:hAnsi="Times New Roman" w:cs="Times New Roman"/>
          <w:b/>
        </w:rPr>
        <w:tab/>
      </w:r>
      <w:r w:rsidR="00B533C5">
        <w:rPr>
          <w:rFonts w:ascii="Times New Roman" w:hAnsi="Times New Roman" w:cs="Times New Roman"/>
          <w:b/>
        </w:rPr>
        <w:tab/>
      </w:r>
      <w:r w:rsidR="00B533C5">
        <w:rPr>
          <w:rFonts w:ascii="Times New Roman" w:hAnsi="Times New Roman" w:cs="Times New Roman"/>
          <w:b/>
        </w:rPr>
        <w:tab/>
      </w:r>
      <w:r w:rsidR="00B533C5" w:rsidRPr="00367C79">
        <w:rPr>
          <w:rFonts w:ascii="Times New Roman" w:hAnsi="Times New Roman" w:cs="Times New Roman"/>
          <w:b/>
        </w:rPr>
        <w:t>Załącznik nr 2 do SWZ</w:t>
      </w:r>
    </w:p>
    <w:p w14:paraId="50ECD6A8" w14:textId="06C70E6E" w:rsidR="00752721" w:rsidRPr="00D80988" w:rsidRDefault="00EF4337" w:rsidP="0068434B">
      <w:pPr>
        <w:jc w:val="center"/>
        <w:rPr>
          <w:rFonts w:ascii="Times New Roman" w:hAnsi="Times New Roman" w:cs="Times New Roman"/>
          <w:b/>
        </w:rPr>
      </w:pPr>
      <w:r w:rsidRPr="00D80988">
        <w:rPr>
          <w:rFonts w:ascii="Times New Roman" w:hAnsi="Times New Roman" w:cs="Times New Roman"/>
          <w:b/>
        </w:rPr>
        <w:t>OPIS PRZEDMIOTU ZAMÓWIENIA</w:t>
      </w:r>
      <w:r w:rsidR="00DC2C2A" w:rsidRPr="00D80988">
        <w:rPr>
          <w:rFonts w:ascii="Times New Roman" w:hAnsi="Times New Roman" w:cs="Times New Roman"/>
          <w:b/>
        </w:rPr>
        <w:t xml:space="preserve"> – </w:t>
      </w:r>
      <w:r w:rsidR="00281270" w:rsidRPr="00D80988">
        <w:rPr>
          <w:rFonts w:ascii="Times New Roman" w:hAnsi="Times New Roman" w:cs="Times New Roman"/>
          <w:b/>
        </w:rPr>
        <w:t xml:space="preserve">INDUKCYJNY PIEC LABORATORYJNY </w:t>
      </w:r>
    </w:p>
    <w:p w14:paraId="28F3D668" w14:textId="25B4F698" w:rsidR="00752721" w:rsidRPr="00D80988" w:rsidRDefault="00325C31" w:rsidP="0068434B">
      <w:pPr>
        <w:jc w:val="center"/>
        <w:rPr>
          <w:rFonts w:ascii="Times New Roman" w:hAnsi="Times New Roman" w:cs="Times New Roman"/>
          <w:b/>
          <w:bCs/>
        </w:rPr>
      </w:pPr>
      <w:r w:rsidRPr="00D80988">
        <w:rPr>
          <w:rFonts w:ascii="Times New Roman" w:hAnsi="Times New Roman" w:cs="Times New Roman"/>
        </w:rPr>
        <w:t xml:space="preserve">Przedmiotem zamówienia jest dostawa, montaż, uruchomienie oraz przeszkolenie użytkowników w zakresie obsługi laboratoryjnego pieca do wytwarzania stopów metalicznych, w tym stopów </w:t>
      </w:r>
      <w:r w:rsidR="00281270" w:rsidRPr="00D80988">
        <w:rPr>
          <w:rFonts w:ascii="Times New Roman" w:hAnsi="Times New Roman" w:cs="Times New Roman"/>
        </w:rPr>
        <w:t xml:space="preserve">o </w:t>
      </w:r>
      <w:r w:rsidRPr="00D80988">
        <w:rPr>
          <w:rFonts w:ascii="Times New Roman" w:hAnsi="Times New Roman" w:cs="Times New Roman"/>
          <w:b/>
          <w:bCs/>
        </w:rPr>
        <w:t>wysokiej entropii</w:t>
      </w:r>
    </w:p>
    <w:p w14:paraId="613B457E" w14:textId="061C97E8" w:rsidR="00E805A4" w:rsidRPr="00D80988" w:rsidRDefault="007572F4" w:rsidP="007572F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D80988">
        <w:rPr>
          <w:rFonts w:ascii="Times New Roman" w:hAnsi="Times New Roman" w:cs="Times New Roman"/>
          <w:b/>
          <w:bCs/>
        </w:rPr>
        <w:t>OPIS OGÓLNY WYMAGAŃ URZĄDZENIA</w:t>
      </w:r>
    </w:p>
    <w:p w14:paraId="4484488B" w14:textId="4DFA7601" w:rsidR="00325C31" w:rsidRPr="00D80988" w:rsidRDefault="00325C31" w:rsidP="00325C31">
      <w:pPr>
        <w:spacing w:after="0"/>
        <w:jc w:val="both"/>
        <w:rPr>
          <w:rFonts w:ascii="Times New Roman" w:hAnsi="Times New Roman" w:cs="Times New Roman"/>
        </w:rPr>
      </w:pPr>
      <w:r w:rsidRPr="00D80988">
        <w:rPr>
          <w:rFonts w:ascii="Times New Roman" w:hAnsi="Times New Roman" w:cs="Times New Roman"/>
        </w:rPr>
        <w:t>Zamawiane urządzenie musi stanowić kompletne, fabrycznie nowe rozwiązanie przeznaczone do laboratoryjnego wytwarzania stopów metalicznych, w szczególności stopów wysokiej entropii (HEA), w warunkach kontrolowanej atmosfery ochronnej.</w:t>
      </w:r>
    </w:p>
    <w:p w14:paraId="21DFDC7B" w14:textId="77777777" w:rsidR="00325C31" w:rsidRPr="00D80988" w:rsidRDefault="00325C31" w:rsidP="00325C31">
      <w:pPr>
        <w:spacing w:after="0"/>
        <w:jc w:val="both"/>
        <w:rPr>
          <w:rFonts w:ascii="Times New Roman" w:hAnsi="Times New Roman" w:cs="Times New Roman"/>
        </w:rPr>
      </w:pPr>
      <w:r w:rsidRPr="00D80988">
        <w:rPr>
          <w:rFonts w:ascii="Times New Roman" w:hAnsi="Times New Roman" w:cs="Times New Roman"/>
        </w:rPr>
        <w:t>Piec laboratoryjny powinien umożliwiać prowadzenie procesów topienia metali i ich stopów o wysokich temperaturach topnienia, z zapewnieniem stabilnych i powtarzalnych parametrów procesu, odpowiednich dla prac badawczo‑rozwojowych oraz wytwarzania niewielkich partii materiału do dalszych analiz strukturalnych, fizykochemicznych i tribologicznych.</w:t>
      </w:r>
    </w:p>
    <w:p w14:paraId="241A2850" w14:textId="188861B6" w:rsidR="00325C31" w:rsidRPr="00D80988" w:rsidRDefault="00325C31" w:rsidP="00325C31">
      <w:pPr>
        <w:spacing w:after="0"/>
        <w:jc w:val="both"/>
        <w:rPr>
          <w:rFonts w:ascii="Times New Roman" w:hAnsi="Times New Roman" w:cs="Times New Roman"/>
        </w:rPr>
      </w:pPr>
      <w:r w:rsidRPr="00D80988">
        <w:rPr>
          <w:rFonts w:ascii="Times New Roman" w:hAnsi="Times New Roman" w:cs="Times New Roman"/>
        </w:rPr>
        <w:t xml:space="preserve">Urządzenie musi być oparte o technologię topienia indukcyjnego oraz przystosowane do pracy w atmosferze </w:t>
      </w:r>
      <w:r w:rsidR="00706ABC" w:rsidRPr="00D80988">
        <w:rPr>
          <w:rFonts w:ascii="Times New Roman" w:hAnsi="Times New Roman" w:cs="Times New Roman"/>
        </w:rPr>
        <w:t xml:space="preserve"> ochronnej np. </w:t>
      </w:r>
      <w:r w:rsidRPr="00D80988">
        <w:rPr>
          <w:rFonts w:ascii="Times New Roman" w:hAnsi="Times New Roman" w:cs="Times New Roman"/>
        </w:rPr>
        <w:t>gazu obojętnego</w:t>
      </w:r>
      <w:r w:rsidR="00706ABC" w:rsidRPr="00D80988">
        <w:rPr>
          <w:rFonts w:ascii="Times New Roman" w:hAnsi="Times New Roman" w:cs="Times New Roman"/>
        </w:rPr>
        <w:t xml:space="preserve"> </w:t>
      </w:r>
      <w:r w:rsidRPr="00D80988">
        <w:rPr>
          <w:rFonts w:ascii="Times New Roman" w:hAnsi="Times New Roman" w:cs="Times New Roman"/>
        </w:rPr>
        <w:t>argonu, w celu ograniczenia utleniania i zanieczyszczenia chemicznego wytapianych stopów.</w:t>
      </w:r>
    </w:p>
    <w:p w14:paraId="38A97E64" w14:textId="77777777" w:rsidR="00706ABC" w:rsidRPr="00D80988" w:rsidRDefault="00706ABC" w:rsidP="00325C31">
      <w:pPr>
        <w:spacing w:after="0"/>
        <w:jc w:val="both"/>
        <w:rPr>
          <w:rFonts w:ascii="Times New Roman" w:hAnsi="Times New Roman" w:cs="Times New Roman"/>
        </w:rPr>
      </w:pPr>
    </w:p>
    <w:p w14:paraId="1A893F6F" w14:textId="4319323F" w:rsidR="00325C31" w:rsidRPr="00D80988" w:rsidRDefault="00325C31" w:rsidP="00325C31">
      <w:pPr>
        <w:spacing w:after="0"/>
        <w:jc w:val="both"/>
        <w:rPr>
          <w:rFonts w:ascii="Times New Roman" w:hAnsi="Times New Roman" w:cs="Times New Roman"/>
        </w:rPr>
      </w:pPr>
      <w:r w:rsidRPr="00D80988">
        <w:rPr>
          <w:rFonts w:ascii="Times New Roman" w:hAnsi="Times New Roman" w:cs="Times New Roman"/>
        </w:rPr>
        <w:t>Konstrukcja pieca powinna zapewniać:</w:t>
      </w:r>
    </w:p>
    <w:p w14:paraId="1E534BE9" w14:textId="77777777" w:rsidR="00325C31" w:rsidRPr="00D80988" w:rsidRDefault="00325C31" w:rsidP="00325C31">
      <w:pPr>
        <w:spacing w:after="0"/>
        <w:jc w:val="both"/>
        <w:rPr>
          <w:rFonts w:ascii="Times New Roman" w:hAnsi="Times New Roman" w:cs="Times New Roman"/>
        </w:rPr>
      </w:pPr>
    </w:p>
    <w:p w14:paraId="5031F8F3" w14:textId="6B703D63" w:rsidR="00325C31" w:rsidRPr="00D80988" w:rsidRDefault="00325C31" w:rsidP="00706AB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D80988">
        <w:rPr>
          <w:rFonts w:ascii="Times New Roman" w:hAnsi="Times New Roman" w:cs="Times New Roman"/>
        </w:rPr>
        <w:t>bezpieczną eksploatację w warunkach laboratoryjnych,</w:t>
      </w:r>
    </w:p>
    <w:p w14:paraId="28286350" w14:textId="77777777" w:rsidR="00325C31" w:rsidRPr="00D80988" w:rsidRDefault="00325C31" w:rsidP="00706AB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D80988">
        <w:rPr>
          <w:rFonts w:ascii="Times New Roman" w:hAnsi="Times New Roman" w:cs="Times New Roman"/>
        </w:rPr>
        <w:t>efektywne chłodzenie elementów krytycznych,</w:t>
      </w:r>
    </w:p>
    <w:p w14:paraId="3076B028" w14:textId="5962A48F" w:rsidR="00325C31" w:rsidRPr="00D80988" w:rsidRDefault="00325C31" w:rsidP="00706AB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D80988">
        <w:rPr>
          <w:rFonts w:ascii="Times New Roman" w:hAnsi="Times New Roman" w:cs="Times New Roman"/>
        </w:rPr>
        <w:t>możliwość kontroli podstawowych parametrów procesu.</w:t>
      </w:r>
    </w:p>
    <w:p w14:paraId="5450BBEE" w14:textId="77777777" w:rsidR="00325C31" w:rsidRPr="00D80988" w:rsidRDefault="00325C31" w:rsidP="00325C31">
      <w:pPr>
        <w:spacing w:after="0"/>
        <w:jc w:val="both"/>
        <w:rPr>
          <w:rFonts w:ascii="Times New Roman" w:hAnsi="Times New Roman" w:cs="Times New Roman"/>
        </w:rPr>
      </w:pPr>
    </w:p>
    <w:p w14:paraId="38468BA7" w14:textId="77777777" w:rsidR="00325C31" w:rsidRPr="00D80988" w:rsidRDefault="00325C31" w:rsidP="00325C31">
      <w:pPr>
        <w:spacing w:after="0"/>
        <w:jc w:val="both"/>
        <w:rPr>
          <w:rFonts w:ascii="Times New Roman" w:hAnsi="Times New Roman" w:cs="Times New Roman"/>
        </w:rPr>
      </w:pPr>
      <w:r w:rsidRPr="00D80988">
        <w:rPr>
          <w:rFonts w:ascii="Times New Roman" w:hAnsi="Times New Roman" w:cs="Times New Roman"/>
        </w:rPr>
        <w:t>Urządzenie musi być dostarczone jako kompletne stanowisko robocze, obejmujące wszystkie niezbędne podzespoły, układy zabezpieczeń, elementy chłodzenia oraz osprzęt umożliwiający jego prawidłowe uruchomienie i eksploatację zgodnie z przeznaczeniem.</w:t>
      </w:r>
    </w:p>
    <w:p w14:paraId="33649106" w14:textId="0568589E" w:rsidR="00E805A4" w:rsidRPr="00D80988" w:rsidRDefault="00325C31" w:rsidP="00325C31">
      <w:pPr>
        <w:spacing w:after="0"/>
        <w:jc w:val="both"/>
        <w:rPr>
          <w:rFonts w:ascii="Times New Roman" w:hAnsi="Times New Roman" w:cs="Times New Roman"/>
        </w:rPr>
      </w:pPr>
      <w:r w:rsidRPr="00D80988">
        <w:rPr>
          <w:rFonts w:ascii="Times New Roman" w:hAnsi="Times New Roman" w:cs="Times New Roman"/>
        </w:rPr>
        <w:t>Piec powinien być przystosowany do zasilania z laboratoryjnej sieci elektroenergetycznej oraz spełniać obowiązujące normy bezpieczeństwa i wymagania dotyczące urządzeń elektrycznych i gazowych stosowanych w laboratoriach badawczych.</w:t>
      </w:r>
    </w:p>
    <w:p w14:paraId="37C2D770" w14:textId="77777777" w:rsidR="00202537" w:rsidRPr="00D80988" w:rsidRDefault="00202537" w:rsidP="00525C58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E13EC1D" w14:textId="3A2FC31D" w:rsidR="00202537" w:rsidRPr="00D80988" w:rsidRDefault="00202537" w:rsidP="0020253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D80988">
        <w:rPr>
          <w:rFonts w:ascii="Times New Roman" w:hAnsi="Times New Roman" w:cs="Times New Roman"/>
          <w:b/>
          <w:bCs/>
        </w:rPr>
        <w:t>OPIS SZCZEGÓŁOWY WYMAGAŃ URZĄDZENIA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8551"/>
      </w:tblGrid>
      <w:tr w:rsidR="00D80988" w:rsidRPr="00D80988" w14:paraId="5DC8E67B" w14:textId="37883262" w:rsidTr="00D80988">
        <w:trPr>
          <w:trHeight w:val="512"/>
        </w:trPr>
        <w:tc>
          <w:tcPr>
            <w:tcW w:w="658" w:type="dxa"/>
            <w:vAlign w:val="center"/>
          </w:tcPr>
          <w:p w14:paraId="2D751DE3" w14:textId="77777777" w:rsidR="00D80988" w:rsidRPr="00D80988" w:rsidRDefault="00D80988" w:rsidP="00752721">
            <w:pPr>
              <w:rPr>
                <w:rFonts w:ascii="Times New Roman" w:hAnsi="Times New Roman" w:cs="Times New Roman"/>
                <w:b/>
              </w:rPr>
            </w:pPr>
            <w:r w:rsidRPr="00D8098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8551" w:type="dxa"/>
            <w:vAlign w:val="center"/>
          </w:tcPr>
          <w:p w14:paraId="1E8E8D21" w14:textId="79C74253" w:rsidR="00D80988" w:rsidRPr="00D80988" w:rsidRDefault="00D80988" w:rsidP="0075272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80988">
              <w:rPr>
                <w:rFonts w:ascii="Times New Roman" w:hAnsi="Times New Roman" w:cs="Times New Roman"/>
                <w:b/>
                <w:u w:val="single"/>
              </w:rPr>
              <w:t>Obligatoryjne minimalne wymagane parametry/funkcje</w:t>
            </w:r>
          </w:p>
        </w:tc>
      </w:tr>
      <w:tr w:rsidR="00D80988" w:rsidRPr="00D80988" w14:paraId="69E1119E" w14:textId="7D84BC48" w:rsidTr="00D80988">
        <w:trPr>
          <w:trHeight w:val="331"/>
        </w:trPr>
        <w:tc>
          <w:tcPr>
            <w:tcW w:w="658" w:type="dxa"/>
            <w:vAlign w:val="center"/>
          </w:tcPr>
          <w:p w14:paraId="7F3EDF10" w14:textId="77777777" w:rsidR="00D80988" w:rsidRPr="00D80988" w:rsidRDefault="00D80988" w:rsidP="00752721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51" w:type="dxa"/>
          </w:tcPr>
          <w:p w14:paraId="2A00559C" w14:textId="61F69D5F" w:rsidR="00D80988" w:rsidRPr="00D80988" w:rsidRDefault="00D80988" w:rsidP="00752721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Urządzenie musi być laboratoryjnym piecem przeznaczonym do topienia i wytwarzania stopów metalicznych, w tym stopów wysokiej entropii (HEA), w warunkach kontrolowanej atmosfery ochronnej, przeznaczonym do prac badawczo‑rozwojowych.</w:t>
            </w:r>
          </w:p>
        </w:tc>
      </w:tr>
      <w:tr w:rsidR="00D80988" w:rsidRPr="00D80988" w14:paraId="62B0C277" w14:textId="4B261483" w:rsidTr="00D80988">
        <w:trPr>
          <w:trHeight w:val="331"/>
        </w:trPr>
        <w:tc>
          <w:tcPr>
            <w:tcW w:w="658" w:type="dxa"/>
            <w:vAlign w:val="center"/>
          </w:tcPr>
          <w:p w14:paraId="7A6DD354" w14:textId="77777777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51" w:type="dxa"/>
          </w:tcPr>
          <w:p w14:paraId="62514429" w14:textId="44F327F5" w:rsidR="00D80988" w:rsidRPr="00117B8A" w:rsidRDefault="00117B8A" w:rsidP="00636A69">
            <w:pPr>
              <w:rPr>
                <w:rFonts w:ascii="Times New Roman" w:hAnsi="Times New Roman" w:cs="Times New Roman"/>
              </w:rPr>
            </w:pPr>
            <w:r w:rsidRPr="00117B8A">
              <w:rPr>
                <w:rFonts w:ascii="Times New Roman" w:hAnsi="Times New Roman" w:cs="Times New Roman"/>
              </w:rPr>
              <w:t>T</w:t>
            </w:r>
            <w:r w:rsidR="00D80988" w:rsidRPr="00117B8A">
              <w:rPr>
                <w:rFonts w:ascii="Times New Roman" w:hAnsi="Times New Roman" w:cs="Times New Roman"/>
              </w:rPr>
              <w:t>emperatura robocza w strefie topienia</w:t>
            </w:r>
            <w:r w:rsidR="00572F5A" w:rsidRPr="00117B8A">
              <w:rPr>
                <w:rFonts w:ascii="Times New Roman" w:hAnsi="Times New Roman" w:cs="Times New Roman"/>
              </w:rPr>
              <w:t xml:space="preserve"> 1600°C </w:t>
            </w:r>
            <w:r w:rsidR="00EC73B9" w:rsidRPr="00117B8A">
              <w:rPr>
                <w:rFonts w:ascii="Times New Roman" w:hAnsi="Times New Roman" w:cs="Times New Roman"/>
              </w:rPr>
              <w:t>, chwilowa max 1800°C</w:t>
            </w:r>
            <w:r w:rsidR="00D80988" w:rsidRPr="00117B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0988" w:rsidRPr="00D80988" w14:paraId="55BB75F3" w14:textId="53933C96" w:rsidTr="00D80988">
        <w:trPr>
          <w:trHeight w:val="331"/>
        </w:trPr>
        <w:tc>
          <w:tcPr>
            <w:tcW w:w="658" w:type="dxa"/>
            <w:vAlign w:val="center"/>
          </w:tcPr>
          <w:p w14:paraId="4C7CFB28" w14:textId="6779EE40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8551" w:type="dxa"/>
          </w:tcPr>
          <w:p w14:paraId="71BC093E" w14:textId="31286DBF" w:rsidR="00285408" w:rsidRPr="00285408" w:rsidRDefault="00EC73B9" w:rsidP="00636A69">
            <w:pPr>
              <w:rPr>
                <w:rFonts w:ascii="Times New Roman" w:hAnsi="Times New Roman" w:cs="Times New Roman"/>
              </w:rPr>
            </w:pPr>
            <w:r w:rsidRPr="00117B8A">
              <w:rPr>
                <w:rFonts w:ascii="Times New Roman" w:hAnsi="Times New Roman" w:cs="Times New Roman"/>
              </w:rPr>
              <w:t>Tygiel ma mieć pojemność w zakresie 200ml-1500ml.</w:t>
            </w:r>
          </w:p>
        </w:tc>
      </w:tr>
      <w:tr w:rsidR="00D80988" w:rsidRPr="00D80988" w14:paraId="3928FE5F" w14:textId="4D3E782D" w:rsidTr="00D80988">
        <w:trPr>
          <w:trHeight w:val="331"/>
        </w:trPr>
        <w:tc>
          <w:tcPr>
            <w:tcW w:w="658" w:type="dxa"/>
            <w:vAlign w:val="center"/>
          </w:tcPr>
          <w:p w14:paraId="13A8D0CF" w14:textId="5142230D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51" w:type="dxa"/>
          </w:tcPr>
          <w:p w14:paraId="4E5F4D65" w14:textId="457D0650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 xml:space="preserve">Wymagane jest dostarczenie co najmniej trzech tygli roboczych </w:t>
            </w:r>
          </w:p>
        </w:tc>
      </w:tr>
      <w:tr w:rsidR="00D80988" w:rsidRPr="00D80988" w14:paraId="38113F42" w14:textId="28B97857" w:rsidTr="00D80988">
        <w:trPr>
          <w:trHeight w:val="331"/>
        </w:trPr>
        <w:tc>
          <w:tcPr>
            <w:tcW w:w="658" w:type="dxa"/>
            <w:vAlign w:val="center"/>
          </w:tcPr>
          <w:p w14:paraId="74B364D1" w14:textId="5EC5C609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51" w:type="dxa"/>
          </w:tcPr>
          <w:p w14:paraId="212F8BC1" w14:textId="50F43D30" w:rsidR="00D80988" w:rsidRPr="00D80988" w:rsidRDefault="00D80988" w:rsidP="00AD746B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Urządzenie musi posiadać chłodzenie wodne elementów krytycznych, w tym układu indukcyjnego Układ chłodzenia wodnego musi być wyposażony w czujnik przepływu. System musi posiadać zabezpieczenie polegające na automatycznym</w:t>
            </w:r>
            <w:r w:rsidR="00572F5A">
              <w:rPr>
                <w:rFonts w:ascii="Times New Roman" w:hAnsi="Times New Roman" w:cs="Times New Roman"/>
              </w:rPr>
              <w:t xml:space="preserve"> </w:t>
            </w:r>
            <w:r w:rsidR="00572F5A" w:rsidRPr="00117B8A">
              <w:rPr>
                <w:rFonts w:ascii="Times New Roman" w:hAnsi="Times New Roman" w:cs="Times New Roman"/>
              </w:rPr>
              <w:t>zatrzymaniu pracy</w:t>
            </w:r>
            <w:r w:rsidR="00117B8A" w:rsidRPr="00117B8A">
              <w:rPr>
                <w:rFonts w:ascii="Times New Roman" w:hAnsi="Times New Roman" w:cs="Times New Roman"/>
              </w:rPr>
              <w:t xml:space="preserve"> </w:t>
            </w:r>
            <w:r w:rsidRPr="00D80988">
              <w:rPr>
                <w:rFonts w:ascii="Times New Roman" w:hAnsi="Times New Roman" w:cs="Times New Roman"/>
              </w:rPr>
              <w:t>w przypadku zaniku lub spadku przepływu wody chłodzącej.</w:t>
            </w:r>
          </w:p>
        </w:tc>
      </w:tr>
      <w:tr w:rsidR="00D80988" w:rsidRPr="00D80988" w14:paraId="36D664F5" w14:textId="39046662" w:rsidTr="00D80988">
        <w:trPr>
          <w:trHeight w:val="331"/>
        </w:trPr>
        <w:tc>
          <w:tcPr>
            <w:tcW w:w="658" w:type="dxa"/>
            <w:vAlign w:val="center"/>
          </w:tcPr>
          <w:p w14:paraId="08B4A025" w14:textId="342D5F38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8551" w:type="dxa"/>
          </w:tcPr>
          <w:p w14:paraId="147064C4" w14:textId="0DA06620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Piec musi posiadać wyłącznik awaryjny bezpieczeństwa (</w:t>
            </w:r>
            <w:proofErr w:type="spellStart"/>
            <w:r w:rsidRPr="00D80988">
              <w:rPr>
                <w:rFonts w:ascii="Times New Roman" w:hAnsi="Times New Roman" w:cs="Times New Roman"/>
              </w:rPr>
              <w:t>Emergency</w:t>
            </w:r>
            <w:proofErr w:type="spellEnd"/>
            <w:r w:rsidRPr="00D80988">
              <w:rPr>
                <w:rFonts w:ascii="Times New Roman" w:hAnsi="Times New Roman" w:cs="Times New Roman"/>
              </w:rPr>
              <w:t xml:space="preserve"> Stop).</w:t>
            </w:r>
          </w:p>
        </w:tc>
      </w:tr>
      <w:tr w:rsidR="00D80988" w:rsidRPr="00D80988" w14:paraId="6B0F98C3" w14:textId="25793B48" w:rsidTr="00D80988">
        <w:trPr>
          <w:trHeight w:val="331"/>
        </w:trPr>
        <w:tc>
          <w:tcPr>
            <w:tcW w:w="658" w:type="dxa"/>
            <w:vAlign w:val="center"/>
          </w:tcPr>
          <w:p w14:paraId="56DC18B1" w14:textId="711835DD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51" w:type="dxa"/>
          </w:tcPr>
          <w:p w14:paraId="54AC24E0" w14:textId="2DE5F9A0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 xml:space="preserve">Urządzenie musi być wyposażone w panel sterowania umożliwiający kontrolę temperatury, </w:t>
            </w:r>
            <w:r w:rsidRPr="0028540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80988">
              <w:rPr>
                <w:rFonts w:ascii="Times New Roman" w:hAnsi="Times New Roman" w:cs="Times New Roman"/>
              </w:rPr>
              <w:t>parametrów indukcji oraz pracy układów pomocniczych.</w:t>
            </w:r>
          </w:p>
        </w:tc>
      </w:tr>
      <w:tr w:rsidR="00D80988" w:rsidRPr="00D80988" w14:paraId="65CFE810" w14:textId="6224C712" w:rsidTr="00D80988">
        <w:trPr>
          <w:trHeight w:val="331"/>
        </w:trPr>
        <w:tc>
          <w:tcPr>
            <w:tcW w:w="658" w:type="dxa"/>
            <w:vAlign w:val="center"/>
          </w:tcPr>
          <w:p w14:paraId="1F0440AB" w14:textId="081E1FAE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51" w:type="dxa"/>
          </w:tcPr>
          <w:p w14:paraId="0131928D" w14:textId="2B5687E3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Piec musi być przystosowany do pracy w warunkach laboratoryjnych oraz współpracy ze standardową wentylacją laboratoryjną.</w:t>
            </w:r>
          </w:p>
        </w:tc>
      </w:tr>
      <w:tr w:rsidR="00D80988" w:rsidRPr="00D80988" w14:paraId="7941A8FB" w14:textId="7205FFD9" w:rsidTr="00D80988">
        <w:trPr>
          <w:trHeight w:val="331"/>
        </w:trPr>
        <w:tc>
          <w:tcPr>
            <w:tcW w:w="658" w:type="dxa"/>
            <w:vAlign w:val="center"/>
          </w:tcPr>
          <w:p w14:paraId="4E54424B" w14:textId="77839299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551" w:type="dxa"/>
          </w:tcPr>
          <w:p w14:paraId="11801210" w14:textId="743F0098" w:rsidR="00D80988" w:rsidRPr="00D80988" w:rsidRDefault="00D80988" w:rsidP="00641B3A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W ramach dostawy wymagane jest dostarczenie kompletu przewodów oraz elementów układu chłodzenia wodnego niezbędnych do uruchomienia urządzenia. Urządzenie musi być wyposażone w zestaw przyłączy do gazu obojętnego.</w:t>
            </w:r>
          </w:p>
        </w:tc>
      </w:tr>
      <w:tr w:rsidR="00D80988" w:rsidRPr="00D80988" w14:paraId="2BB92BB0" w14:textId="71CC2D53" w:rsidTr="00D80988">
        <w:trPr>
          <w:trHeight w:val="331"/>
        </w:trPr>
        <w:tc>
          <w:tcPr>
            <w:tcW w:w="658" w:type="dxa"/>
            <w:vAlign w:val="center"/>
          </w:tcPr>
          <w:p w14:paraId="0CFACB45" w14:textId="150E1BD4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51" w:type="dxa"/>
          </w:tcPr>
          <w:p w14:paraId="0C54C93F" w14:textId="1C2BFA67" w:rsidR="00D80988" w:rsidRPr="00D80988" w:rsidRDefault="00D80988" w:rsidP="00636A69">
            <w:pPr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Urządzenie musi być objęte gwarancją producenta na okres nie krótszy niż 12 miesięcy.</w:t>
            </w:r>
            <w:r w:rsidRPr="00D80988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</w:tr>
      <w:tr w:rsidR="00572F5A" w:rsidRPr="00D80988" w14:paraId="08BFE7D1" w14:textId="77777777" w:rsidTr="00D80988">
        <w:trPr>
          <w:trHeight w:val="331"/>
        </w:trPr>
        <w:tc>
          <w:tcPr>
            <w:tcW w:w="658" w:type="dxa"/>
            <w:vAlign w:val="center"/>
          </w:tcPr>
          <w:p w14:paraId="1D6068AD" w14:textId="0E759FC9" w:rsidR="00572F5A" w:rsidRPr="00D8061F" w:rsidRDefault="00572F5A" w:rsidP="00636A69">
            <w:pPr>
              <w:rPr>
                <w:rFonts w:ascii="Times New Roman" w:hAnsi="Times New Roman" w:cs="Times New Roman"/>
              </w:rPr>
            </w:pPr>
            <w:r w:rsidRPr="00D8061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551" w:type="dxa"/>
          </w:tcPr>
          <w:p w14:paraId="169C6448" w14:textId="2E7A17AF" w:rsidR="00572F5A" w:rsidRPr="00D8061F" w:rsidRDefault="00572F5A" w:rsidP="00636A69">
            <w:pPr>
              <w:rPr>
                <w:rFonts w:ascii="Times New Roman" w:hAnsi="Times New Roman" w:cs="Times New Roman"/>
              </w:rPr>
            </w:pPr>
            <w:r w:rsidRPr="00D8061F">
              <w:rPr>
                <w:rFonts w:ascii="Times New Roman" w:hAnsi="Times New Roman" w:cs="Times New Roman"/>
              </w:rPr>
              <w:t xml:space="preserve">Urządzenie musi być wyposażone w </w:t>
            </w:r>
            <w:r w:rsidRPr="00D8061F">
              <w:rPr>
                <w:rFonts w:ascii="Times New Roman" w:hAnsi="Times New Roman" w:cs="Times New Roman"/>
                <w:b/>
                <w:bCs/>
              </w:rPr>
              <w:t>Zasilacz awaryjny UPS</w:t>
            </w:r>
            <w:r w:rsidRPr="00D8061F">
              <w:rPr>
                <w:rFonts w:ascii="Times New Roman" w:hAnsi="Times New Roman" w:cs="Times New Roman"/>
              </w:rPr>
              <w:t xml:space="preserve">, dedykowany do podtrzymania pracy pompy wody chłodzącej w sytuacji nagłego zaniku zasilania sieciowego. </w:t>
            </w:r>
            <w:r w:rsidRPr="00D8061F">
              <w:rPr>
                <w:rStyle w:val="citation-1013"/>
                <w:rFonts w:ascii="Times New Roman" w:hAnsi="Times New Roman" w:cs="Times New Roman"/>
              </w:rPr>
              <w:t>System ten musi gwarantować ciągłość chłodzenia miedzianego uzwojenia wzbudnika, chroniąc go przed uszkodzeniem wynikającym z promieniowania cieplnego rozgrzanego tygla.</w:t>
            </w:r>
            <w:r w:rsidR="005E3DFB" w:rsidRPr="00D8061F">
              <w:rPr>
                <w:rStyle w:val="citation-1013"/>
                <w:rFonts w:ascii="Times New Roman" w:hAnsi="Times New Roman" w:cs="Times New Roman"/>
              </w:rPr>
              <w:t xml:space="preserve"> </w:t>
            </w:r>
          </w:p>
        </w:tc>
      </w:tr>
      <w:tr w:rsidR="003C0B17" w:rsidRPr="00D80988" w14:paraId="41376AB3" w14:textId="77777777" w:rsidTr="00D80988">
        <w:trPr>
          <w:trHeight w:val="331"/>
        </w:trPr>
        <w:tc>
          <w:tcPr>
            <w:tcW w:w="658" w:type="dxa"/>
            <w:vAlign w:val="center"/>
          </w:tcPr>
          <w:p w14:paraId="2FB58BBC" w14:textId="061382B5" w:rsidR="003C0B17" w:rsidRPr="00D8061F" w:rsidRDefault="003C0B17" w:rsidP="00636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551" w:type="dxa"/>
          </w:tcPr>
          <w:p w14:paraId="62BE7FBD" w14:textId="418484B5" w:rsidR="003C0B17" w:rsidRPr="008D7E33" w:rsidRDefault="003C0B17" w:rsidP="00636A69">
            <w:pPr>
              <w:rPr>
                <w:rFonts w:ascii="Times New Roman" w:hAnsi="Times New Roman" w:cs="Times New Roman"/>
              </w:rPr>
            </w:pPr>
            <w:r w:rsidRPr="008D7E33">
              <w:rPr>
                <w:rFonts w:ascii="Times New Roman" w:hAnsi="Times New Roman" w:cs="Times New Roman"/>
              </w:rPr>
              <w:t xml:space="preserve">Wymagana gwarancja 12 miesięcy na </w:t>
            </w:r>
            <w:r w:rsidRPr="008D7E33">
              <w:rPr>
                <w:rFonts w:ascii="Times New Roman" w:hAnsi="Times New Roman" w:cs="Times New Roman"/>
              </w:rPr>
              <w:t>wszystkie elementy zestawu</w:t>
            </w:r>
          </w:p>
        </w:tc>
      </w:tr>
    </w:tbl>
    <w:p w14:paraId="6188AF9D" w14:textId="77777777" w:rsidR="00256CB9" w:rsidRPr="00D80988" w:rsidRDefault="00256CB9">
      <w:pPr>
        <w:rPr>
          <w:rFonts w:ascii="Times New Roman" w:hAnsi="Times New Roman" w:cs="Times New Roman"/>
        </w:rPr>
      </w:pPr>
    </w:p>
    <w:p w14:paraId="6C26F29C" w14:textId="77777777" w:rsidR="00202537" w:rsidRPr="00D80988" w:rsidRDefault="00202537">
      <w:pPr>
        <w:rPr>
          <w:rFonts w:ascii="Times New Roman" w:hAnsi="Times New Roman" w:cs="Times New Roman"/>
        </w:rPr>
      </w:pPr>
    </w:p>
    <w:sectPr w:rsidR="00202537" w:rsidRPr="00D80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13FBF"/>
    <w:multiLevelType w:val="hybridMultilevel"/>
    <w:tmpl w:val="9FD64C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F5B35"/>
    <w:multiLevelType w:val="hybridMultilevel"/>
    <w:tmpl w:val="557045C6"/>
    <w:lvl w:ilvl="0" w:tplc="4CF84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F3D53"/>
    <w:multiLevelType w:val="hybridMultilevel"/>
    <w:tmpl w:val="B356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175908">
    <w:abstractNumId w:val="0"/>
  </w:num>
  <w:num w:numId="2" w16cid:durableId="1548178956">
    <w:abstractNumId w:val="1"/>
  </w:num>
  <w:num w:numId="3" w16cid:durableId="1262298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21"/>
    <w:rsid w:val="000417AA"/>
    <w:rsid w:val="00045459"/>
    <w:rsid w:val="000476E4"/>
    <w:rsid w:val="000970E5"/>
    <w:rsid w:val="00117B8A"/>
    <w:rsid w:val="00146F24"/>
    <w:rsid w:val="001474B6"/>
    <w:rsid w:val="00156313"/>
    <w:rsid w:val="0016634C"/>
    <w:rsid w:val="00172A28"/>
    <w:rsid w:val="00202537"/>
    <w:rsid w:val="002301D1"/>
    <w:rsid w:val="00246B46"/>
    <w:rsid w:val="00256CB9"/>
    <w:rsid w:val="00281270"/>
    <w:rsid w:val="00285408"/>
    <w:rsid w:val="002C74FA"/>
    <w:rsid w:val="00325C31"/>
    <w:rsid w:val="00367C79"/>
    <w:rsid w:val="003974FC"/>
    <w:rsid w:val="003A36EC"/>
    <w:rsid w:val="003C0B17"/>
    <w:rsid w:val="00453D90"/>
    <w:rsid w:val="0046056A"/>
    <w:rsid w:val="00525C58"/>
    <w:rsid w:val="00560D22"/>
    <w:rsid w:val="00572F5A"/>
    <w:rsid w:val="005E3DFB"/>
    <w:rsid w:val="00636A69"/>
    <w:rsid w:val="00641B3A"/>
    <w:rsid w:val="006725AE"/>
    <w:rsid w:val="00682A3D"/>
    <w:rsid w:val="0068434B"/>
    <w:rsid w:val="006E2329"/>
    <w:rsid w:val="006F62A3"/>
    <w:rsid w:val="00706ABC"/>
    <w:rsid w:val="00726048"/>
    <w:rsid w:val="00752721"/>
    <w:rsid w:val="007572F4"/>
    <w:rsid w:val="007E3DD7"/>
    <w:rsid w:val="00825D20"/>
    <w:rsid w:val="008C1F89"/>
    <w:rsid w:val="008D5552"/>
    <w:rsid w:val="008D7E33"/>
    <w:rsid w:val="008E2661"/>
    <w:rsid w:val="008F39D4"/>
    <w:rsid w:val="009433A4"/>
    <w:rsid w:val="009A3ED6"/>
    <w:rsid w:val="009B1AFD"/>
    <w:rsid w:val="009B7187"/>
    <w:rsid w:val="009B7EB6"/>
    <w:rsid w:val="009E350C"/>
    <w:rsid w:val="009E4122"/>
    <w:rsid w:val="00A55733"/>
    <w:rsid w:val="00A57869"/>
    <w:rsid w:val="00AD746B"/>
    <w:rsid w:val="00B4032C"/>
    <w:rsid w:val="00B533C5"/>
    <w:rsid w:val="00B62242"/>
    <w:rsid w:val="00B632D6"/>
    <w:rsid w:val="00BA4786"/>
    <w:rsid w:val="00BD224A"/>
    <w:rsid w:val="00BD2483"/>
    <w:rsid w:val="00C058B5"/>
    <w:rsid w:val="00C6588C"/>
    <w:rsid w:val="00D15179"/>
    <w:rsid w:val="00D72B74"/>
    <w:rsid w:val="00D8061F"/>
    <w:rsid w:val="00D80988"/>
    <w:rsid w:val="00DB635F"/>
    <w:rsid w:val="00DC2C2A"/>
    <w:rsid w:val="00E714E4"/>
    <w:rsid w:val="00E805A4"/>
    <w:rsid w:val="00EC73B9"/>
    <w:rsid w:val="00EE06ED"/>
    <w:rsid w:val="00EE78B2"/>
    <w:rsid w:val="00EF4337"/>
    <w:rsid w:val="00F069D2"/>
    <w:rsid w:val="00F1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D3E0"/>
  <w15:chartTrackingRefBased/>
  <w15:docId w15:val="{38A6E863-87E7-4FF4-8B54-BBDF3899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2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2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27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2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27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2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2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2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2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27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2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27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27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27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27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27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27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27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2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2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2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27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27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27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27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27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2721"/>
    <w:rPr>
      <w:b/>
      <w:bCs/>
      <w:smallCaps/>
      <w:color w:val="2F5496" w:themeColor="accent1" w:themeShade="BF"/>
      <w:spacing w:val="5"/>
    </w:rPr>
  </w:style>
  <w:style w:type="character" w:customStyle="1" w:styleId="citation-1013">
    <w:name w:val="citation-1013"/>
    <w:basedOn w:val="Domylnaczcionkaakapitu"/>
    <w:rsid w:val="00572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5f11b-ba8e-42c0-82ef-59ca2cc203fa" xsi:nil="true"/>
    <lcf76f155ced4ddcb4097134ff3c332f xmlns="583e8548-3a4b-4841-84ce-dda16492363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68EDF2F66B54AAE6D7DB50F9982FB" ma:contentTypeVersion="13" ma:contentTypeDescription="Utwórz nowy dokument." ma:contentTypeScope="" ma:versionID="f83c46de1a537b86a449dc38592fc4c2">
  <xsd:schema xmlns:xsd="http://www.w3.org/2001/XMLSchema" xmlns:xs="http://www.w3.org/2001/XMLSchema" xmlns:p="http://schemas.microsoft.com/office/2006/metadata/properties" xmlns:ns2="583e8548-3a4b-4841-84ce-dda164923631" xmlns:ns3="d675f11b-ba8e-42c0-82ef-59ca2cc203fa" targetNamespace="http://schemas.microsoft.com/office/2006/metadata/properties" ma:root="true" ma:fieldsID="1fe490d745c31cd5b16597faa03c9697" ns2:_="" ns3:_="">
    <xsd:import namespace="583e8548-3a4b-4841-84ce-dda164923631"/>
    <xsd:import namespace="d675f11b-ba8e-42c0-82ef-59ca2cc20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e8548-3a4b-4841-84ce-dda16492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81d631-c4a5-45f7-ae89-77fd6ef95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5f11b-ba8e-42c0-82ef-59ca2cc203f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b3b259e-9544-40aa-b3af-ecc29aac49f7}" ma:internalName="TaxCatchAll" ma:showField="CatchAllData" ma:web="d675f11b-ba8e-42c0-82ef-59ca2cc2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88C0EF-F299-4513-84A1-3E90C17EF9BE}">
  <ds:schemaRefs>
    <ds:schemaRef ds:uri="http://schemas.microsoft.com/office/2006/metadata/properties"/>
    <ds:schemaRef ds:uri="http://schemas.microsoft.com/office/infopath/2007/PartnerControls"/>
    <ds:schemaRef ds:uri="d675f11b-ba8e-42c0-82ef-59ca2cc203fa"/>
    <ds:schemaRef ds:uri="583e8548-3a4b-4841-84ce-dda164923631"/>
  </ds:schemaRefs>
</ds:datastoreItem>
</file>

<file path=customXml/itemProps2.xml><?xml version="1.0" encoding="utf-8"?>
<ds:datastoreItem xmlns:ds="http://schemas.openxmlformats.org/officeDocument/2006/customXml" ds:itemID="{8B565B2C-B99E-4C09-8AEF-14F2100FE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e8548-3a4b-4841-84ce-dda164923631"/>
    <ds:schemaRef ds:uri="d675f11b-ba8e-42c0-82ef-59ca2cc20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5E51E0-8C3B-44A8-B528-C9C6964E91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Edyta Białczak | Łukasiewicz – ITEE</cp:lastModifiedBy>
  <cp:revision>16</cp:revision>
  <dcterms:created xsi:type="dcterms:W3CDTF">2026-04-08T10:42:00Z</dcterms:created>
  <dcterms:modified xsi:type="dcterms:W3CDTF">2026-08-12T12:25:00Z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0x010100C0468EDF2F66B54AAE6D7DB50F9982FB</vt:lpwstr>
  </property>
</Properties>
</file>