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0CAB" w:rsidRPr="004E573D" w:rsidRDefault="00416F4A">
      <w:pPr>
        <w:jc w:val="center"/>
        <w:rPr>
          <w:rFonts w:ascii="Times New Roman" w:hAnsi="Times New Roman" w:cs="Times New Roman"/>
          <w:b/>
          <w:sz w:val="22"/>
          <w:lang w:val="pl-PL"/>
        </w:rPr>
      </w:pPr>
      <w:r w:rsidRPr="004E573D">
        <w:rPr>
          <w:rFonts w:ascii="Times New Roman" w:hAnsi="Times New Roman" w:cs="Times New Roman"/>
          <w:b/>
          <w:sz w:val="22"/>
          <w:lang w:val="pl-PL"/>
        </w:rPr>
        <w:t>ZAŁĄCZNIK NR 6 – WZÓR UMOWY</w:t>
      </w:r>
    </w:p>
    <w:p w:rsidR="00FC0CAB" w:rsidRPr="004E573D" w:rsidRDefault="00FC0CAB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:rsidR="00FC0CAB" w:rsidRPr="004E573D" w:rsidRDefault="00416F4A">
      <w:pPr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Umowa nr [.................] zawarta w dniu [.................] w Jabłowie pomiędzy:</w:t>
      </w:r>
    </w:p>
    <w:p w:rsidR="0006341F" w:rsidRPr="0006341F" w:rsidRDefault="0006341F" w:rsidP="0006341F">
      <w:pPr>
        <w:spacing w:before="40"/>
        <w:jc w:val="both"/>
        <w:rPr>
          <w:rFonts w:ascii="Times New Roman" w:hAnsi="Times New Roman" w:cs="Times New Roman"/>
          <w:sz w:val="22"/>
          <w:lang w:val="pl-PL"/>
        </w:rPr>
      </w:pPr>
      <w:r w:rsidRPr="0006341F">
        <w:rPr>
          <w:rFonts w:ascii="Times New Roman" w:hAnsi="Times New Roman" w:cs="Times New Roman"/>
          <w:sz w:val="22"/>
          <w:lang w:val="pl-PL"/>
        </w:rPr>
        <w:t>Gminą Starogard Gdański ul. Sikorskiego 9, 83-200 Starogard Gdański NIP: 5922079828 – Gminnym Zakładem Usług Komu</w:t>
      </w:r>
      <w:r>
        <w:rPr>
          <w:rFonts w:ascii="Times New Roman" w:hAnsi="Times New Roman" w:cs="Times New Roman"/>
          <w:sz w:val="22"/>
          <w:lang w:val="pl-PL"/>
        </w:rPr>
        <w:t>nal</w:t>
      </w:r>
      <w:r w:rsidRPr="0006341F">
        <w:rPr>
          <w:rFonts w:ascii="Times New Roman" w:hAnsi="Times New Roman" w:cs="Times New Roman"/>
          <w:sz w:val="22"/>
          <w:lang w:val="pl-PL"/>
        </w:rPr>
        <w:t xml:space="preserve">nych w Jabłowie, ul. Szkolna 3, 83-211 Jabłowo NIP 5921812304,  </w:t>
      </w:r>
    </w:p>
    <w:p w:rsidR="00FC0CAB" w:rsidRPr="004E573D" w:rsidRDefault="0006341F" w:rsidP="0006341F">
      <w:pPr>
        <w:spacing w:before="20"/>
        <w:jc w:val="both"/>
        <w:rPr>
          <w:rFonts w:ascii="Times New Roman" w:hAnsi="Times New Roman" w:cs="Times New Roman"/>
          <w:sz w:val="22"/>
          <w:lang w:val="pl-PL"/>
        </w:rPr>
      </w:pPr>
      <w:r w:rsidRPr="0006341F">
        <w:rPr>
          <w:rFonts w:ascii="Times New Roman" w:hAnsi="Times New Roman" w:cs="Times New Roman"/>
          <w:sz w:val="22"/>
          <w:lang w:val="pl-PL"/>
        </w:rPr>
        <w:t>reprezentowanym przez: Żanetę Olszynka – Zastępcę Kierownika Zakładu</w:t>
      </w:r>
      <w:r>
        <w:rPr>
          <w:rFonts w:ascii="Times New Roman" w:hAnsi="Times New Roman" w:cs="Times New Roman"/>
          <w:sz w:val="22"/>
          <w:lang w:val="pl-PL"/>
        </w:rPr>
        <w:t xml:space="preserve"> </w:t>
      </w:r>
      <w:r w:rsidR="00416F4A" w:rsidRPr="004E573D">
        <w:rPr>
          <w:rFonts w:ascii="Times New Roman" w:hAnsi="Times New Roman" w:cs="Times New Roman"/>
          <w:sz w:val="22"/>
          <w:lang w:val="pl-PL"/>
        </w:rPr>
        <w:t>zwanym dalej „Zamawiającym”,</w:t>
      </w:r>
    </w:p>
    <w:p w:rsidR="00FC0CAB" w:rsidRPr="004E573D" w:rsidRDefault="00416F4A">
      <w:pPr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a</w:t>
      </w:r>
    </w:p>
    <w:p w:rsidR="00FC0CAB" w:rsidRPr="004E573D" w:rsidRDefault="00416F4A">
      <w:pPr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[pełna nazwa Wykonawcy, adres, NIP, REGON/KRS/CEIDG, reprezentacja], zwanym dalej „Wykonawcą”,</w:t>
      </w:r>
    </w:p>
    <w:p w:rsidR="00FC0CAB" w:rsidRPr="004E573D" w:rsidRDefault="00416F4A">
      <w:pPr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łącznie zwanymi „Stronami”.</w:t>
      </w:r>
    </w:p>
    <w:p w:rsidR="00FC0CAB" w:rsidRPr="004E573D" w:rsidRDefault="00416F4A">
      <w:pPr>
        <w:jc w:val="both"/>
        <w:rPr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 xml:space="preserve">Umowę zawiera się w wyniku postępowania prowadzonego w trybie podstawowym bez negocjacji na podstawie art. 275 pkt 1 </w:t>
      </w:r>
      <w:r w:rsidR="004E573D" w:rsidRPr="004E573D">
        <w:rPr>
          <w:rFonts w:ascii="Times New Roman" w:hAnsi="Times New Roman" w:cs="Times New Roman"/>
          <w:sz w:val="22"/>
          <w:lang w:val="pl-PL"/>
        </w:rPr>
        <w:t>PZP</w:t>
      </w:r>
      <w:r w:rsidRPr="004E573D">
        <w:rPr>
          <w:rFonts w:ascii="Times New Roman" w:hAnsi="Times New Roman" w:cs="Times New Roman"/>
          <w:sz w:val="22"/>
          <w:lang w:val="pl-PL"/>
        </w:rPr>
        <w:t>.</w:t>
      </w:r>
    </w:p>
    <w:p w:rsidR="00FC0CAB" w:rsidRPr="004E573D" w:rsidRDefault="00416F4A">
      <w:pPr>
        <w:pStyle w:val="Nagwek1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t>§ 1. Przedmiot umowy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1. Zamawiający zleca, a Wykonawca zobowiązuje się wykonać część/części zamówienia wskazane w ust. 2, zgodnie z SWZ, OPZ, ofertą Wykonawcy i niniejszą Umową.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 xml:space="preserve">2. Umowa obejmuje następujące części: 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☐</w:t>
      </w:r>
      <w:r w:rsidRPr="004E573D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4E573D">
        <w:rPr>
          <w:rFonts w:ascii="Times New Roman" w:hAnsi="Times New Roman" w:cs="Times New Roman"/>
          <w:sz w:val="22"/>
          <w:lang w:val="pl-PL"/>
        </w:rPr>
        <w:t>Część 1 - U20/U21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☐</w:t>
      </w:r>
      <w:r w:rsidRPr="004E573D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4E573D">
        <w:rPr>
          <w:rFonts w:ascii="Times New Roman" w:hAnsi="Times New Roman" w:cs="Times New Roman"/>
          <w:sz w:val="22"/>
          <w:lang w:val="pl-PL"/>
        </w:rPr>
        <w:t>Część 2 - U23/U24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☐</w:t>
      </w:r>
      <w:r w:rsidRPr="004E573D">
        <w:rPr>
          <w:rFonts w:ascii="Times New Roman" w:eastAsia="Times New Roman" w:hAnsi="Times New Roman" w:cs="Times New Roman"/>
          <w:sz w:val="22"/>
          <w:lang w:val="pl-PL"/>
        </w:rPr>
        <w:t xml:space="preserve"> </w:t>
      </w:r>
      <w:r w:rsidRPr="004E573D">
        <w:rPr>
          <w:rFonts w:ascii="Times New Roman" w:hAnsi="Times New Roman" w:cs="Times New Roman"/>
          <w:sz w:val="22"/>
          <w:lang w:val="pl-PL"/>
        </w:rPr>
        <w:t>Część 3 - U26/U27/U28.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3. Dokumenty wymienione w ust. 1 stanowią integralną część Umowy. W razie rozbieżności pierwszeństwo mają kolejno: Umowa, SWZ, OPZ, oferta Wykonawcy, z zastrzeżeniem, że postanowienia Umowy i SWZ nie mogą być interpretowane jako ograniczające zakres przedmiotu zamówienia ani standardy jego wykonania określone w OPZ. Zobowiązania Wykonawcy wynikające z oferty, które przewidują rozwiązania korzystniejsze dla Zamawiającego i pozostają zgodne z SWZ oraz OPZ, są dla Wykonawcy wiążące.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4. Przedmiot Umowy jest realizowany w ramach projektu „</w:t>
      </w:r>
      <w:proofErr w:type="spellStart"/>
      <w:r w:rsidRPr="004E573D">
        <w:rPr>
          <w:rFonts w:ascii="Times New Roman" w:hAnsi="Times New Roman" w:cs="Times New Roman"/>
          <w:sz w:val="22"/>
          <w:lang w:val="pl-PL"/>
        </w:rPr>
        <w:t>Cyberbezpieczny</w:t>
      </w:r>
      <w:proofErr w:type="spellEnd"/>
      <w:r w:rsidRPr="004E573D">
        <w:rPr>
          <w:rFonts w:ascii="Times New Roman" w:hAnsi="Times New Roman" w:cs="Times New Roman"/>
          <w:sz w:val="22"/>
          <w:lang w:val="pl-PL"/>
        </w:rPr>
        <w:t xml:space="preserve"> Wodociąg GZUK w Jabłowie”, nabór KPOD.05.10-CW.01-001/25, umowa o powierzenie grantu nr KPOD.05.10-CW.01-001/25/0631.</w:t>
      </w:r>
    </w:p>
    <w:p w:rsidR="00FC0CAB" w:rsidRPr="004E573D" w:rsidRDefault="00416F4A">
      <w:pPr>
        <w:pStyle w:val="Nagwek1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t>§ 2. Termin i harmonogram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1. Realizacja rozpoczyna się w dniu zawarcia Umowy.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2. Cały zakres podstawowy podlegający odbiorowi końcowemu należy wykonać i odebrać nie później niż 15.12.2026 r. Szkolenia U26-U28 należy zakończyć nie później niż 30.11.2026 r.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3. U21 jest świadczone od odbioru U20 do 15.12.2026 r., a U24 od odbioru U23 do 15.12.2026 r. W ramach każdej z tych usług Wykonawca wykonuje co najmniej jeden pełny cykl przeglądu i doskonalenia.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4. U21 i U24 nie obejmują świadczenia odpłatnych usług po zakończeniu okresu realizacji projektu ani przez trzyletni okres zachowania efektów projektu. Obowiązek utrzymania efektów po zakończeniu projektu spoczywa na Zamawiającym i jest finansowany ze środków własnych, z wyjątkiem bezpłatnych obowiązków gwarancyjnych Wykonawcy wynikających z § 10.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5. Terminy etapów szczegółowych określa OPZ. Wykonawca nie może powoływać się na własne opóźnienie U20/U23 jako podstawę ograniczenia zakresu U21/U24.</w:t>
      </w:r>
    </w:p>
    <w:p w:rsidR="00FC0CAB" w:rsidRPr="004E573D" w:rsidRDefault="00416F4A">
      <w:pPr>
        <w:pStyle w:val="Nagwek1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t>§ 3. Organizacja współpracy i bezpieczeństwo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1. W terminie do 5 dni roboczych od zawarcia Umowy Wykonawca przeprowadzi spotkanie otwierające i przedstawi szczegółowy harmonogram, listę danych wejściowych oraz skład zespołu.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lastRenderedPageBreak/>
        <w:t xml:space="preserve">2. Wykonawca wykonuje prace z należytą starannością właściwą profesjonalnemu podmiotowi świadczącemu usługi z zakresu </w:t>
      </w:r>
      <w:proofErr w:type="spellStart"/>
      <w:r w:rsidRPr="004E573D">
        <w:rPr>
          <w:rFonts w:ascii="Times New Roman" w:hAnsi="Times New Roman" w:cs="Times New Roman"/>
          <w:sz w:val="22"/>
          <w:lang w:val="pl-PL"/>
        </w:rPr>
        <w:t>cyberbezpieczeństwa</w:t>
      </w:r>
      <w:proofErr w:type="spellEnd"/>
      <w:r w:rsidRPr="004E573D">
        <w:rPr>
          <w:rFonts w:ascii="Times New Roman" w:hAnsi="Times New Roman" w:cs="Times New Roman"/>
          <w:sz w:val="22"/>
          <w:lang w:val="pl-PL"/>
        </w:rPr>
        <w:t>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3. Wykonawca jest zobowiązany do przestrzegania zasad bezpieczeństwa i poufności przekazanych przez Zamawiającego. Dostęp do informacji i systemów jest udzielany wyłącznie w zakresie niezbędnym.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4. Wykorzystanie publicznych usług chmurowych lub narzędzi generatywnej AI do przetwarzania niepublicznych danych Zamawiającego wymaga uprzedniej pisemnej zgody Zamawiającego.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5. Incydent mogący naruszać poufność, integralność lub dostępność informacji Zamawiającego Wykonawca zgłosi niezwłocznie, nie później niż w ciągu 4 godzin od wykrycia.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6. W przypadku realizacji poszczególnych części zamówienia przez różnych wykonawców Wykonawca zobowiązany jest do współpracy z Zamawiającym, wykonawcami pozostałych części oraz dostawcami rozwiązań technicznych w zakresie niezbędnym do zapewnienia spójności SZBI, SZCD i działań szkoleniowych.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7. Przed uzyskaniem dostępu do informacji wrażliwych Wykonawca oraz osoby skierowane do realizacji Umowy podpiszą zobowiązania do zachowania poufności. Informacje dotyczące w szczególności architektury, adresacji, konfiguracji, podatności, poświadczeń, zabezpieczeń fizycznych i procedur awaryjnych mogą być wykorzystywane wyłącznie w celu realizacji Umowy.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8. Udostępnienie podwykonawcy informacji wrażliwych, danych dotyczących architektury lub dostępu do systemów Zamawiającego wymaga uprzedniej pisemnej zgody Zamawiającego oraz zapewnienia przez podwykonawcę wymagań dotyczących poufności i bezpieczeństwa co najmniej równoważnych wymaganiom obowiązującym Wykonawcę.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9. Wykonawca zastosuje adekwatne środki bezpieczeństwa, w tym szyfrowanie transmisji i nośników, kontrolę dostępu, zasadę minimalnych uprawnień oraz bezpieczne usunięcie kopii roboczych po zakończeniu Umowy.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10. W okresie intensywnych prac Wykonawca będzie uczestniczył w cyklicznych spotkaniach statusowych nie rzadziej niż raz na dwa tygodnie.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11. Wykonawca będzie przekazywał miesięczny raport postępu obejmujący co najmniej wykonane prace, zidentyfikowane ryzyka i opóźnienia, decyzje wymagane od Zamawiającego oraz plan działań na kolejny okres.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12. Wykonawca będzie prowadził przez cały okres realizacji Umowy rejestr uwag, decyzji, zmian i działań korygujących.</w:t>
      </w:r>
    </w:p>
    <w:p w:rsidR="00FC0CAB" w:rsidRPr="004E573D" w:rsidRDefault="00416F4A">
      <w:pPr>
        <w:pStyle w:val="Nagwek1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§ 3a. Obowiązki Zamawiającego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1. Zamawiający wyznaczy koordynatora oraz osoby merytoryczne do współpracy z Wykonawcą.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2. Zamawiający udostępni posiadaną dokumentację oraz informacje o procesach, systemach, lokalizacjach, dostawcach, incydentach i zmianach w zakresie niezbędnym do prawidłowej realizacji Umowy.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 xml:space="preserve">3. Zamawiający zapewni udział właścicieli procesów, kierownictwa, </w:t>
      </w:r>
      <w:proofErr w:type="spellStart"/>
      <w:r w:rsidRPr="004E573D">
        <w:rPr>
          <w:rFonts w:ascii="Times New Roman" w:hAnsi="Times New Roman"/>
          <w:sz w:val="22"/>
          <w:lang w:val="pl-PL"/>
        </w:rPr>
        <w:t>outsourcera</w:t>
      </w:r>
      <w:proofErr w:type="spellEnd"/>
      <w:r w:rsidRPr="004E573D">
        <w:rPr>
          <w:rFonts w:ascii="Times New Roman" w:hAnsi="Times New Roman"/>
          <w:sz w:val="22"/>
          <w:lang w:val="pl-PL"/>
        </w:rPr>
        <w:t xml:space="preserve"> IT i osób technicznych w uzgodnionych warsztatach.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4. Zamawiający będzie terminowo podejmował decyzje oraz zatwierdzał zakresy, ryzyka, RTO/RPO i dokumenty wymagające jego akceptacji.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5. Zamawiający zapewni warunki organizacyjne do przeprowadzenia szkoleń, ćwiczeń i bezpiecznych testów przewidzianych w OPZ.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6. Zamawiający będzie informował Wykonawcę o zmianach technicznych i organizacyjnych mających wpływ na realizację Umowy lub przygotowywane produkty.</w:t>
      </w:r>
    </w:p>
    <w:p w:rsidR="00FC0CAB" w:rsidRPr="004E573D" w:rsidRDefault="00416F4A">
      <w:pPr>
        <w:pStyle w:val="Nagwek1"/>
        <w:jc w:val="both"/>
        <w:rPr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lastRenderedPageBreak/>
        <w:t>§ 4. Personel i podwykonawcy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1. Wykonawca zapewnia personel wskazany w ofercie i wykazie osób. Osoby pełniące role kluczowe muszą przez cały okres realizacji spełniać co najmniej wymagania SWZ i OPZ.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2. Zmiana osoby kluczowej wymaga uprzedniej zgody Zamawiającego i wskazania osoby o kwalifikacjach i doświadczeniu co najmniej równoważnych wymaganiom określonym dla danej roli. Jeżeli doświadczenie zmienianej osoby było podstawą przyznania punktów w kryterium oceny ofert, osoba zastępująca musi posiadać doświadczenie zapewniające co najmniej taki sam poziom punktacji w tym kryterium, jaki uzyskała osoba wskazana w ofercie.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3. Powierzenie podwykonawcy części prac nie zwalnia Wykonawcy z odpowiedzialności za należyte wykonanie Umowy.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4. Zamawiający może żądać zmiany osoby skierowanej do realizacji Umowy, która narusza zasady bezpieczeństwa, poufności, współpracy lub jakości. Osoba zastępująca musi spełniać wymagania określone w ust. 2.</w:t>
      </w:r>
    </w:p>
    <w:p w:rsidR="00FC0CAB" w:rsidRPr="004E573D" w:rsidRDefault="00416F4A">
      <w:pPr>
        <w:pStyle w:val="Nagwek1"/>
        <w:jc w:val="both"/>
        <w:rPr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t>§ 5. Produkty, forma przekazania i odbiór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1. Wykonawca przekazuje produkty w języku polskim, w formatach edytowalnych odpowiednich do rodzaju dokumentu oraz w PDF, bez blokad uniemożliwiających Zamawiającemu dalszą edycję.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2. Zamawiający przekaże uwagi do projektu produktu w terminie 7 dni roboczych. Wykonawca wprowadzi poprawki i przekaże tabelę rozpatrzenia uwag w terminie 7 dni roboczych, chyba że Strony uzgodnią inny termin z uwagi na zakres zmian.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3. Odbiór następuje po potwierdzeniu kompletności, zgodności z OPZ, dostosowania do środowiska Zamawiającego, spójności między dokumentami oraz przekazania wszystkich wymaganych dowodów.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4. Odbiory częściowe i końcowy są potwierdzane protokołami. Odbiór z zastrzeżeniami nie zwalnia Wykonawcy z obowiązku usunięcia wad w terminie wyznaczonym przez Zamawiającego.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5. Brak uwag w toku konsultacji nie oznacza automatycznego odbioru produktu niezgodnego z Umową.</w:t>
      </w:r>
    </w:p>
    <w:p w:rsidR="00FC0CAB" w:rsidRPr="004E573D" w:rsidRDefault="00416F4A">
      <w:pPr>
        <w:pStyle w:val="Nagwek1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t>§ 6. Wynagrodzenie i rozliczenie</w:t>
      </w:r>
    </w:p>
    <w:p w:rsidR="00FC0CAB" w:rsidRPr="004E573D" w:rsidRDefault="00416F4A">
      <w:pPr>
        <w:jc w:val="both"/>
        <w:rPr>
          <w:rFonts w:ascii="Times New Roman" w:hAnsi="Times New Roman" w:cs="Times New Roman"/>
          <w:b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Wynagrodzenie ma charakter ryczałtowy i wynika z oferty:</w:t>
      </w:r>
    </w:p>
    <w:tbl>
      <w:tblPr>
        <w:tblW w:w="9855" w:type="dxa"/>
        <w:jc w:val="center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385"/>
        <w:gridCol w:w="2385"/>
        <w:gridCol w:w="2385"/>
      </w:tblGrid>
      <w:tr w:rsidR="00FC0CAB" w:rsidRPr="004E573D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CAB" w:rsidRPr="004E573D" w:rsidRDefault="00416F4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4E573D">
              <w:rPr>
                <w:rFonts w:ascii="Times New Roman" w:hAnsi="Times New Roman" w:cs="Times New Roman"/>
                <w:b/>
                <w:sz w:val="22"/>
                <w:lang w:val="pl-PL"/>
              </w:rPr>
              <w:t>Pozycja*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CAB" w:rsidRPr="004E573D" w:rsidRDefault="00416F4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4E573D">
              <w:rPr>
                <w:rFonts w:ascii="Times New Roman" w:hAnsi="Times New Roman" w:cs="Times New Roman"/>
                <w:b/>
                <w:sz w:val="22"/>
                <w:lang w:val="pl-PL"/>
              </w:rPr>
              <w:t>Netto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CAB" w:rsidRPr="004E573D" w:rsidRDefault="00416F4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4E573D">
              <w:rPr>
                <w:rFonts w:ascii="Times New Roman" w:hAnsi="Times New Roman" w:cs="Times New Roman"/>
                <w:b/>
                <w:sz w:val="22"/>
                <w:lang w:val="pl-PL"/>
              </w:rPr>
              <w:t>VAT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CAB" w:rsidRPr="004E573D" w:rsidRDefault="00416F4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4E573D">
              <w:rPr>
                <w:rFonts w:ascii="Times New Roman" w:hAnsi="Times New Roman" w:cs="Times New Roman"/>
                <w:b/>
                <w:sz w:val="22"/>
                <w:lang w:val="pl-PL"/>
              </w:rPr>
              <w:t>Brutto</w:t>
            </w:r>
          </w:p>
        </w:tc>
      </w:tr>
      <w:tr w:rsidR="00FC0CAB" w:rsidRPr="004E573D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416F4A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4E573D">
              <w:rPr>
                <w:rFonts w:ascii="Times New Roman" w:hAnsi="Times New Roman" w:cs="Times New Roman"/>
                <w:sz w:val="22"/>
                <w:lang w:val="pl-PL"/>
              </w:rPr>
              <w:t>U20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FC0CAB" w:rsidRPr="004E573D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416F4A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4E573D">
              <w:rPr>
                <w:rFonts w:ascii="Times New Roman" w:hAnsi="Times New Roman" w:cs="Times New Roman"/>
                <w:sz w:val="22"/>
                <w:lang w:val="pl-PL"/>
              </w:rPr>
              <w:t>U21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FC0CAB" w:rsidRPr="004E573D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416F4A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4E573D">
              <w:rPr>
                <w:rFonts w:ascii="Times New Roman" w:hAnsi="Times New Roman" w:cs="Times New Roman"/>
                <w:sz w:val="22"/>
                <w:lang w:val="pl-PL"/>
              </w:rPr>
              <w:t>U23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FC0CAB" w:rsidRPr="004E573D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416F4A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4E573D">
              <w:rPr>
                <w:rFonts w:ascii="Times New Roman" w:hAnsi="Times New Roman" w:cs="Times New Roman"/>
                <w:sz w:val="22"/>
                <w:lang w:val="pl-PL"/>
              </w:rPr>
              <w:t>U24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FC0CAB" w:rsidRPr="004E573D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416F4A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4E573D">
              <w:rPr>
                <w:rFonts w:ascii="Times New Roman" w:hAnsi="Times New Roman" w:cs="Times New Roman"/>
                <w:sz w:val="22"/>
                <w:lang w:val="pl-PL"/>
              </w:rPr>
              <w:t>U26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FC0CAB" w:rsidRPr="004E573D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416F4A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4E573D">
              <w:rPr>
                <w:rFonts w:ascii="Times New Roman" w:hAnsi="Times New Roman" w:cs="Times New Roman"/>
                <w:sz w:val="22"/>
                <w:lang w:val="pl-PL"/>
              </w:rPr>
              <w:t>U27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FC0CAB" w:rsidRPr="004E573D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416F4A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4E573D">
              <w:rPr>
                <w:rFonts w:ascii="Times New Roman" w:hAnsi="Times New Roman" w:cs="Times New Roman"/>
                <w:sz w:val="22"/>
                <w:lang w:val="pl-PL"/>
              </w:rPr>
              <w:t>U28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FC0CAB" w:rsidRPr="004E573D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416F4A">
            <w:pPr>
              <w:rPr>
                <w:rFonts w:ascii="Times New Roman" w:hAnsi="Times New Roman" w:cs="Times New Roman"/>
                <w:sz w:val="22"/>
                <w:lang w:val="pl-PL"/>
              </w:rPr>
            </w:pPr>
            <w:r w:rsidRPr="004E573D">
              <w:rPr>
                <w:rFonts w:ascii="Times New Roman" w:hAnsi="Times New Roman" w:cs="Times New Roman"/>
                <w:sz w:val="22"/>
                <w:lang w:val="pl-PL"/>
              </w:rPr>
              <w:t>łącznie w zakresie Umowy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CAB" w:rsidRPr="004E573D" w:rsidRDefault="00FC0CAB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</w:tbl>
    <w:p w:rsidR="005A3000" w:rsidRPr="0006341F" w:rsidRDefault="003141F1">
      <w:pPr>
        <w:spacing w:after="0" w:line="240" w:lineRule="exact"/>
        <w:ind w:left="310" w:hanging="255"/>
        <w:jc w:val="both"/>
        <w:rPr>
          <w:lang w:val="pl-PL"/>
        </w:rPr>
      </w:pPr>
      <w:r w:rsidRPr="0006341F">
        <w:rPr>
          <w:rFonts w:ascii="Times New Roman" w:hAnsi="Times New Roman"/>
          <w:sz w:val="22"/>
          <w:lang w:val="pl-PL"/>
        </w:rPr>
        <w:t>* pozycje U nieobjęte zakresem części, na które udzielono Wykonawcy zamówienia, oznacza się jako „nie dotyczy”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lastRenderedPageBreak/>
        <w:t>1. Do wynagrodzenia netto zostanie doliczony VAT według stawki obowiązującej zgodnie z prawem. Podatek VAT jest pokrywany przez Zamawiającego ze środków własnych zgodnie z zasadami projektu.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2. Podstawą wystawienia faktury dla danej pozycji U jest podpisany bez zastrzeżeń protokół odbioru tej pozycji albo protokół potwierdzający usunięcie wszystkich zastrzeżeń.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3. Termin płatności wynosi 30 dni od doręczenia prawidłowo wystawionej faktury wraz z wymaganym protokołem.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4. Wynagrodzenie obejmuje wszystkie koszty niezbędne do wykonania Umowy, w tym poprawki, dojazdy, materiały, narzędzia, platformę e-learningową, raportowanie, prawa autorskie/licencje i obowiązki gwarancyjne.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5. Faktury powinny zawierać oznaczenie części i kategorii projektowej U, której dotyczą, umożliwiające jednoznaczne przypisanie wydatku do projektu.</w:t>
      </w:r>
    </w:p>
    <w:p w:rsidR="00FC0CAB" w:rsidRPr="004E573D" w:rsidRDefault="00416F4A">
      <w:pPr>
        <w:pStyle w:val="Nagwek1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t>§ 7. Prawa autorskie i licencje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1. Z chwilą zapłaty wynagrodzenia za dany produkt Wykonawca przenosi na Zamawiającego autorskie prawa majątkowe do dokumentacji wytworzonej specjalnie w ramach Umowy, bez ograniczeń terytorialnych i czasowych, na polach eksploatacji obejmujących utrwalanie, zwielokrotnianie, wprowadzanie do pamięci systemów, wewnętrzne udostępnianie, druk, modyfikowanie, łączenie z innymi dokumentami oraz wykorzystanie w działalności i na potrzeby kontroli/audytu.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2. W zakresie elementów, do których Wykonawca nie może przenieść praw, udziela Zamawiającemu niewyłącznej, bezterminowej licencji uprawniającej co najmniej do korzystania, kopiowania i modyfikowania na potrzeby własne i projektu.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3. Wykonawca zezwala na wykonywanie praw zależnych do dokumentacji oraz zobowiązuje się nie wykonywać autorskich praw osobistych w sposób utrudniający Zamawiającemu korzystanie i aktualizację produktów.</w:t>
      </w:r>
    </w:p>
    <w:p w:rsidR="00FC0CAB" w:rsidRPr="004E573D" w:rsidRDefault="00416F4A">
      <w:pPr>
        <w:pStyle w:val="Nagwek1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t>§ 8. Poufność i dane osobowe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1. Wszelkie niepubliczne informacje dotyczące architektury, konfiguracji, podatności, danych, procesów, dostawców, incydentów i zabezpieczeń Zamawiającego stanowią informacje poufne.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2. Obowiązek poufności obowiązuje w trakcie Umowy i po jej zakończeniu. Wykonawca zapewni analogiczne zobowiązania personelu i podwykonawców.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3. Po zakończeniu prac Wykonawca zwróci lub bezpiecznie usunie kopie robocze informacji Zamawiającego, z wyjątkiem danych, których przechowanie jest wymagane prawem.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4. Jeżeli realizacja będzie wymagała powierzenia przetwarzania danych osobowych, Strony zawrą odrębną umowę powierzenia przed rozpoczęciem takiego przetwarzania.</w:t>
      </w:r>
    </w:p>
    <w:p w:rsidR="00FC0CAB" w:rsidRPr="004E573D" w:rsidRDefault="00416F4A">
      <w:pPr>
        <w:pStyle w:val="Nagwek1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t>§ 9. Obowiązki projektowe, kontrola i audyt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1. Wykonawca jest zobowiązany współdziałać z Zamawiającym w zakresie niezbędnym do wykazania prawidłowej realizacji projektu, w tym przekazywać dokumenty, wyjaśnienia i dowody wykonania usług wymagane przez instytucje finansujące, kontrolne i audytowe.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2. Wykonawca umożliwi weryfikację produktów oraz udzieli wyjaśnień CPPC, NASK-PIB, organom audytowym i kontrolnym w zakresie dotyczącym realizowanej Umowy, za pośrednictwem lub za wiedzą Zamawiającego, chyba że przepisy stanowią inaczej.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3. Wykonawca przechowuje dokumentację związaną z wykonaniem Umowy przez okres wskazany Zamawiającemu w związku z obowiązkami projektowymi, z zachowaniem zasad bezpieczeństwa informacji.</w:t>
      </w:r>
    </w:p>
    <w:p w:rsidR="00FC0CAB" w:rsidRPr="004E573D" w:rsidRDefault="00416F4A">
      <w:pPr>
        <w:pStyle w:val="Nagwek1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lastRenderedPageBreak/>
        <w:t>§ 10. Gwarancja jakości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1. Wykonawca udziela 6-miesięcznej gwarancji jakości na dokumentację, liczonej od odbioru końcowego zakresu objętego Umową.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 xml:space="preserve">2. Gwarancja obejmuje bezpłatne usunięcie błędów, niespójności, braków i wadliwych </w:t>
      </w:r>
      <w:proofErr w:type="spellStart"/>
      <w:r w:rsidRPr="004E573D">
        <w:rPr>
          <w:rFonts w:ascii="Times New Roman" w:hAnsi="Times New Roman" w:cs="Times New Roman"/>
          <w:sz w:val="22"/>
          <w:lang w:val="pl-PL"/>
        </w:rPr>
        <w:t>odwołań</w:t>
      </w:r>
      <w:proofErr w:type="spellEnd"/>
      <w:r w:rsidRPr="004E573D">
        <w:rPr>
          <w:rFonts w:ascii="Times New Roman" w:hAnsi="Times New Roman" w:cs="Times New Roman"/>
          <w:sz w:val="22"/>
          <w:lang w:val="pl-PL"/>
        </w:rPr>
        <w:t xml:space="preserve"> ujawnionych w odebranych produktach. Nie stanowi ona odrębnej usługi utrzymaniowej U21/U24 i nie jest odrębnie wynagradzana.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3. Czas reakcji na zgłoszenie wynosi maksymalnie 2 dni robocze, a czas przedstawienia poprawki maksymalnie 5 dni roboczych, chyba że Strony uzgodnią inaczej z uwagi na złożoność.</w:t>
      </w:r>
    </w:p>
    <w:p w:rsidR="00FC0CAB" w:rsidRPr="004E573D" w:rsidRDefault="00416F4A">
      <w:pPr>
        <w:pStyle w:val="Nagwek1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t>§ 11. Kary umowne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1. Za zwłokę w wykonaniu terminu końcowego danej pozycji/etapu z przyczyn leżących po stronie Wykonawcy - 0,2% wynagrodzenia brutto części, której dotyczy zwłoka, za każdy rozpoczęty dzień zwłoki.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2. Za zwłokę w usunięciu wad lub uwag w wyznaczonym terminie - 0,1% wynagrodzenia brutto właściwej części za każdy rozpoczęty dzień zwłoki.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3. Za naruszenie obowiązku poufności lub zasad bezpieczeństwa - 5% wynagrodzenia brutto właściwej części za każdy stwierdzony przypadek, niezależnie od obowiązku naprawienia szkody.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4. Za nieuprawnioną zmianę osoby kluczowej lub realizację przez osobę niespełniającą wymagań - 2% wynagrodzenia brutto właściwej części za każdy przypadek.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5. W przypadku odstąpienia od Umowy lub jej rozwiązania z przyczyn leżących po stronie Wykonawcy - 20% wynagrodzenia brutto niewykonanej części Umowy.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6. Łączna wysokość kar umownych nie może przekroczyć 30% łącznego wynagrodzenia brutto części, której dotyczą. Zamawiający może dochodzić odszkodowania uzupełniającego ponad wysokość kar na zasadach ogólnych.</w:t>
      </w:r>
    </w:p>
    <w:p w:rsidR="00FC0CAB" w:rsidRPr="004E573D" w:rsidRDefault="00416F4A">
      <w:pPr>
        <w:pStyle w:val="Nagwek1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t>§ 12. Odstąpienie i rozwiązanie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 xml:space="preserve">1. Zamawiający może odstąpić od Umowy w przypadkach przewidzianych </w:t>
      </w:r>
      <w:r w:rsidR="004E573D" w:rsidRPr="004E573D">
        <w:rPr>
          <w:rFonts w:ascii="Times New Roman" w:hAnsi="Times New Roman" w:cs="Times New Roman"/>
          <w:sz w:val="22"/>
          <w:lang w:val="pl-PL"/>
        </w:rPr>
        <w:t>PZP</w:t>
      </w:r>
      <w:r w:rsidRPr="004E573D">
        <w:rPr>
          <w:rFonts w:ascii="Times New Roman" w:hAnsi="Times New Roman" w:cs="Times New Roman"/>
          <w:sz w:val="22"/>
          <w:lang w:val="pl-PL"/>
        </w:rPr>
        <w:t xml:space="preserve"> i Kodeksem cywilnym oraz gdy Wykonawca mimo wezwania rażąco narusza Umowę, zasady bezpieczeństwa, nie realizuje harmonogramu albo nie zapewnia wymaganych osób.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2. Przed odstąpieniem z powodu naruszeń możliwych do usunięcia Zamawiający wyznaczy odpowiedni termin naprawczy, chyba że charakter naruszenia lub termin projektu uzasadnia natychmiastowe działanie.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3. Rozwiązanie lub odstąpienie nie zwalnia Wykonawcy z obowiązku przekazania produktów już wytworzonych, zwrotu danych oraz zachowania poufności.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 xml:space="preserve">4. Umowne prawo odstąpienia z przyczyn, o których mowa w ust. 1, w zakresie przesłanek niewynikających bezpośrednio z przepisów </w:t>
      </w:r>
      <w:r w:rsidR="004E573D" w:rsidRPr="004E573D">
        <w:rPr>
          <w:rFonts w:ascii="Times New Roman" w:hAnsi="Times New Roman"/>
          <w:sz w:val="22"/>
          <w:lang w:val="pl-PL"/>
        </w:rPr>
        <w:t>PZP</w:t>
      </w:r>
      <w:r w:rsidRPr="004E573D">
        <w:rPr>
          <w:rFonts w:ascii="Times New Roman" w:hAnsi="Times New Roman"/>
          <w:sz w:val="22"/>
          <w:lang w:val="pl-PL"/>
        </w:rPr>
        <w:t xml:space="preserve"> lub Kodeksu cywilnego, Zamawiający może wykonać w terminie 30 dni od dnia powzięcia wiadomości o okoliczności stanowiącej podstawę odstąpienia. Postanowienie to nie ogranicza ustawowych uprawnień Zamawiającego do odstąpienia od Umowy.</w:t>
      </w:r>
    </w:p>
    <w:p w:rsidR="00FC0CAB" w:rsidRPr="004E573D" w:rsidRDefault="00416F4A">
      <w:pPr>
        <w:pStyle w:val="Nagwek1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t>§ 13. Zmiany Umowy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 xml:space="preserve">1. Zmiana Umowy wymaga formy pisemnej lub elektronicznej pod rygorem nieważności i może zostać dokonana wyłącznie w przypadkach dopuszczonych przepisami </w:t>
      </w:r>
      <w:r w:rsidR="004E573D" w:rsidRPr="004E573D">
        <w:rPr>
          <w:rFonts w:ascii="Times New Roman" w:hAnsi="Times New Roman"/>
          <w:sz w:val="22"/>
          <w:lang w:val="pl-PL"/>
        </w:rPr>
        <w:t>PZP</w:t>
      </w:r>
      <w:r w:rsidRPr="004E573D">
        <w:rPr>
          <w:rFonts w:ascii="Times New Roman" w:hAnsi="Times New Roman"/>
          <w:sz w:val="22"/>
          <w:lang w:val="pl-PL"/>
        </w:rPr>
        <w:t xml:space="preserve">, w szczególności art. 455 </w:t>
      </w:r>
      <w:r w:rsidR="004E573D" w:rsidRPr="004E573D">
        <w:rPr>
          <w:rFonts w:ascii="Times New Roman" w:hAnsi="Times New Roman"/>
          <w:sz w:val="22"/>
          <w:lang w:val="pl-PL"/>
        </w:rPr>
        <w:t>PZP</w:t>
      </w:r>
      <w:r w:rsidRPr="004E573D">
        <w:rPr>
          <w:rFonts w:ascii="Times New Roman" w:hAnsi="Times New Roman"/>
          <w:sz w:val="22"/>
          <w:lang w:val="pl-PL"/>
        </w:rPr>
        <w:t>. Zmiany przewidziane niniejszym paragrafem nie mogą prowadzić do modyfikacji ogólnego charakteru Umowy.</w:t>
      </w:r>
    </w:p>
    <w:p w:rsidR="00FC0CAB" w:rsidRPr="004E573D" w:rsidRDefault="00416F4A">
      <w:pPr>
        <w:pageBreakBefore/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lastRenderedPageBreak/>
        <w:t xml:space="preserve">2. Zamawiający przewiduje możliwość zmiany terminów realizacji, w tym terminów pośrednich, terminu zakończenia szkoleń U26-U28 określonego na 30.11.2026 r. oraz terminu końcowego określonego na 15.12.2026 r., jeżeli potrzeba zmiany wynika z: zmiany terminu, harmonogramu, warunków realizacji projektu, okresu kwalifikowalności wydatków albo umowy o powierzenie grantu przez CPPC, NASK-PIB lub inną właściwą instytucję finansującą; zmiany przepisów prawa lub wymagań bezpieczeństwa mających wpływ na realizację Umowy; obiektywnych opóźnień w przekazaniu przez Zamawiającego danych, dokumentów, decyzji lub dostępu, których Wykonawca nie spowodował; zmian organizacyjnych lub technicznych po stronie Zamawiającego mających wpływ na realizację prac; wystąpienia siły wyższej; albo zdarzenia </w:t>
      </w:r>
      <w:proofErr w:type="spellStart"/>
      <w:r w:rsidRPr="004E573D">
        <w:rPr>
          <w:rFonts w:ascii="Times New Roman" w:hAnsi="Times New Roman"/>
          <w:sz w:val="22"/>
          <w:lang w:val="pl-PL"/>
        </w:rPr>
        <w:t>cyberbezpieczeństwa</w:t>
      </w:r>
      <w:proofErr w:type="spellEnd"/>
      <w:r w:rsidRPr="004E573D">
        <w:rPr>
          <w:rFonts w:ascii="Times New Roman" w:hAnsi="Times New Roman"/>
          <w:sz w:val="22"/>
          <w:lang w:val="pl-PL"/>
        </w:rPr>
        <w:t xml:space="preserve"> wymagającego czasowego wstrzymania lub zmiany organizacji prac.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 xml:space="preserve">3. Zmiana terminu, o której mowa w ust. 2, może obejmować wyłącznie okres odpowiadający rzeczywistemu wpływowi danej okoliczności na realizację Umowy, powiększony o czas obiektywnie niezbędny do wznowienia i prawidłowego zakończenia prac. Przesunięcie terminu końcowego jest dopuszczalne wyłącznie w zakresie zgodnym z warunkami projektu, decyzjami właściwej instytucji finansującej oraz przepisami </w:t>
      </w:r>
      <w:r w:rsidR="004E573D" w:rsidRPr="004E573D">
        <w:rPr>
          <w:rFonts w:ascii="Times New Roman" w:hAnsi="Times New Roman"/>
          <w:sz w:val="22"/>
          <w:lang w:val="pl-PL"/>
        </w:rPr>
        <w:t>PZP</w:t>
      </w:r>
      <w:r w:rsidRPr="004E573D">
        <w:rPr>
          <w:rFonts w:ascii="Times New Roman" w:hAnsi="Times New Roman"/>
          <w:sz w:val="22"/>
          <w:lang w:val="pl-PL"/>
        </w:rPr>
        <w:t>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4. Zamawiający przewiduje możliwość zmiany sposobu, kolejności, harmonogramu szczegółowego, miejsca lub formy realizacji poszczególnych czynności, jeżeli jest to uzasadnione okolicznościami wskazanymi w ust. 2, zmianami technicznymi lub organizacyjnymi Zamawiającego albo koniecznością zapewnienia bezpieczeństwa informacji lub ciągłości działania. Zmiana taka nie może prowadzić do obniżenia wymaganego zakresu, jakości ani rezultatów określonych w SWZ i OPZ. U21 i U24 mogą rozpocząć się wyłącznie po protokolarnym odbiorze odpowiednio U20 i U23.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 xml:space="preserve">5. Jeżeli CPPC, NASK-PIB lub inna właściwa instytucja finansująca zaakceptuje zmianę Wniosku o przyznanie grantu, harmonogramu projektu, umowy o powierzenie grantu lub innych warunków realizacji projektu, Strony mogą odpowiednio dostosować terminy, harmonogram, sposób realizacji oraz - wyłącznie w granicach dopuszczonych art. 455 </w:t>
      </w:r>
      <w:r w:rsidR="004E573D" w:rsidRPr="004E573D">
        <w:rPr>
          <w:rFonts w:ascii="Times New Roman" w:hAnsi="Times New Roman"/>
          <w:sz w:val="22"/>
          <w:lang w:val="pl-PL"/>
        </w:rPr>
        <w:t>PZP</w:t>
      </w:r>
      <w:r w:rsidRPr="004E573D">
        <w:rPr>
          <w:rFonts w:ascii="Times New Roman" w:hAnsi="Times New Roman"/>
          <w:sz w:val="22"/>
          <w:lang w:val="pl-PL"/>
        </w:rPr>
        <w:t xml:space="preserve"> - zakres rzeczowy Umowy, w zakresie niezbędnym do odzwierciedlenia zaakceptowanej zmiany.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6. Zmiana personelu jest dopuszczalna wyłącznie na zasadach określonych w § 4 i nie może prowadzić do obniżenia poziomu kwalifikacji lub doświadczenia wymaganego dla danej roli ani poziomu punktacji uzyskanej w kryterium oceny ofert, jeżeli doświadczenie danej osoby było w tym kryterium oceniane.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 xml:space="preserve">7. Zmiana wynagrodzenia może nastąpić wyłącznie w przypadkach i granicach dopuszczonych przepisami </w:t>
      </w:r>
      <w:r w:rsidR="004E573D" w:rsidRPr="004E573D">
        <w:rPr>
          <w:rFonts w:ascii="Times New Roman" w:hAnsi="Times New Roman"/>
          <w:sz w:val="22"/>
          <w:lang w:val="pl-PL"/>
        </w:rPr>
        <w:t>PZP</w:t>
      </w:r>
      <w:r w:rsidRPr="004E573D">
        <w:rPr>
          <w:rFonts w:ascii="Times New Roman" w:hAnsi="Times New Roman"/>
          <w:sz w:val="22"/>
          <w:lang w:val="pl-PL"/>
        </w:rPr>
        <w:t xml:space="preserve">, w szczególności jako następstwo prawnie dopuszczalnej zmiany zakresu rzeczowego Umowy. Sama zmiana terminu, harmonogramu, kolejności, miejsca lub sposobu realizacji nie stanowi podstawy do zwiększenia wynagrodzenia, chyba że przepisy </w:t>
      </w:r>
      <w:r w:rsidR="004E573D" w:rsidRPr="004E573D">
        <w:rPr>
          <w:rFonts w:ascii="Times New Roman" w:hAnsi="Times New Roman"/>
          <w:sz w:val="22"/>
          <w:lang w:val="pl-PL"/>
        </w:rPr>
        <w:t>PZP</w:t>
      </w:r>
      <w:r w:rsidRPr="004E573D">
        <w:rPr>
          <w:rFonts w:ascii="Times New Roman" w:hAnsi="Times New Roman"/>
          <w:sz w:val="22"/>
          <w:lang w:val="pl-PL"/>
        </w:rPr>
        <w:t xml:space="preserve"> i treść zaakceptowanej zmiany projektu pozwalają na taką zmianę. Zmiana wynagrodzenia nie może prowadzić do finansowania z grantu wydatków niekwalifikowalnych ani do przekroczenia kwoty dofinansowania przyznanej Zamawiającemu.</w:t>
      </w:r>
    </w:p>
    <w:p w:rsidR="00FC0CAB" w:rsidRPr="004E573D" w:rsidRDefault="00416F4A">
      <w:pPr>
        <w:ind w:left="312" w:hanging="255"/>
        <w:jc w:val="both"/>
        <w:rPr>
          <w:lang w:val="pl-PL"/>
        </w:rPr>
      </w:pPr>
      <w:r w:rsidRPr="004E573D">
        <w:rPr>
          <w:rFonts w:ascii="Times New Roman" w:hAnsi="Times New Roman"/>
          <w:sz w:val="22"/>
          <w:lang w:val="pl-PL"/>
        </w:rPr>
        <w:t>8. Strona wnioskująca o zmianę Umowy przedstawi drugiej Stronie uzasadnienie zmiany, jej podstawę, proponowany zakres oraz wpływ na terminy, sposób realizacji i - jeżeli dotyczy - wynagrodzenie. W miarę możliwości do wniosku należy dołączyć dokumenty potwierdzające okoliczności uzasadniające zmianę. Zmiana staje się skuteczna po zawarciu przez Strony odpowiedniego aneksu, z zastrzeżeniem przypadków, w których przepisy prawa nie wymagają zmiany Umowy.</w:t>
      </w:r>
    </w:p>
    <w:p w:rsidR="00FC0CAB" w:rsidRPr="004E573D" w:rsidRDefault="00416F4A">
      <w:pPr>
        <w:pStyle w:val="Nagwek1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4E573D">
        <w:rPr>
          <w:rFonts w:ascii="Times New Roman" w:hAnsi="Times New Roman" w:cs="Times New Roman"/>
          <w:sz w:val="22"/>
          <w:szCs w:val="22"/>
          <w:lang w:val="pl-PL"/>
        </w:rPr>
        <w:t>§ 14. Postanowienia końcowe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 xml:space="preserve">1. W sprawach nieuregulowanych stosuje się </w:t>
      </w:r>
      <w:r w:rsidR="004E573D" w:rsidRPr="004E573D">
        <w:rPr>
          <w:rFonts w:ascii="Times New Roman" w:hAnsi="Times New Roman" w:cs="Times New Roman"/>
          <w:sz w:val="22"/>
          <w:lang w:val="pl-PL"/>
        </w:rPr>
        <w:t>PZP</w:t>
      </w:r>
      <w:r w:rsidRPr="004E573D">
        <w:rPr>
          <w:rFonts w:ascii="Times New Roman" w:hAnsi="Times New Roman" w:cs="Times New Roman"/>
          <w:sz w:val="22"/>
          <w:lang w:val="pl-PL"/>
        </w:rPr>
        <w:t>, Kodeks cywilny oraz inne powszechnie obowiązujące przepisy.</w:t>
      </w:r>
    </w:p>
    <w:p w:rsidR="00FC0CAB" w:rsidRPr="004E573D" w:rsidRDefault="00416F4A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 xml:space="preserve">2. Spory Strony będą w pierwszej kolejności rozwiązywać polubownie. W razie braku porozumienia właściwy jest sąd powszechny właściwy miejscowo dla siedziby Zamawiającego, z zastrzeżeniem środków ochrony prawnej wynikających z </w:t>
      </w:r>
      <w:r w:rsidR="004E573D" w:rsidRPr="004E573D">
        <w:rPr>
          <w:rFonts w:ascii="Times New Roman" w:hAnsi="Times New Roman" w:cs="Times New Roman"/>
          <w:sz w:val="22"/>
          <w:lang w:val="pl-PL"/>
        </w:rPr>
        <w:t>PZP</w:t>
      </w:r>
      <w:r w:rsidRPr="004E573D">
        <w:rPr>
          <w:rFonts w:ascii="Times New Roman" w:hAnsi="Times New Roman" w:cs="Times New Roman"/>
          <w:sz w:val="22"/>
          <w:lang w:val="pl-PL"/>
        </w:rPr>
        <w:t xml:space="preserve"> na etapie udzielania zamówienia.</w:t>
      </w:r>
    </w:p>
    <w:p w:rsidR="00FC0CAB" w:rsidRPr="004E573D" w:rsidRDefault="00416F4A">
      <w:pPr>
        <w:pageBreakBefore/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lastRenderedPageBreak/>
        <w:t xml:space="preserve">3. Umowę sporządzono w </w:t>
      </w:r>
      <w:r w:rsidR="003141F1">
        <w:rPr>
          <w:rFonts w:ascii="Times New Roman" w:hAnsi="Times New Roman" w:cs="Times New Roman"/>
          <w:sz w:val="22"/>
          <w:lang w:val="pl-PL"/>
        </w:rPr>
        <w:t>2</w:t>
      </w:r>
      <w:bookmarkStart w:id="0" w:name="_GoBack"/>
      <w:bookmarkEnd w:id="0"/>
      <w:r w:rsidRPr="004E573D">
        <w:rPr>
          <w:rFonts w:ascii="Times New Roman" w:hAnsi="Times New Roman" w:cs="Times New Roman"/>
          <w:sz w:val="22"/>
          <w:lang w:val="pl-PL"/>
        </w:rPr>
        <w:t xml:space="preserve"> jednobrzmiących egzemplarzach / zawarto w formie elektronicznej.</w:t>
      </w:r>
    </w:p>
    <w:p w:rsidR="00FC0CAB" w:rsidRPr="004E573D" w:rsidRDefault="00416F4A">
      <w:pPr>
        <w:spacing w:after="925"/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4E573D">
        <w:rPr>
          <w:rFonts w:ascii="Times New Roman" w:hAnsi="Times New Roman" w:cs="Times New Roman"/>
          <w:sz w:val="22"/>
          <w:lang w:val="pl-PL"/>
        </w:rPr>
        <w:t>4. Integralne załączniki: SWZ, OPZ, oferta Wykonawcy, wykaz osób skierowanych do realizacji zamówienia – jeżeli dotyczy, oraz inne dokumenty wskazane w Umowie.</w:t>
      </w:r>
    </w:p>
    <w:p w:rsidR="00FC0CAB" w:rsidRPr="004E573D" w:rsidRDefault="00FC0CAB">
      <w:pPr>
        <w:rPr>
          <w:lang w:val="pl-PL"/>
        </w:rPr>
      </w:pPr>
    </w:p>
    <w:tbl>
      <w:tblPr>
        <w:tblW w:w="0" w:type="auto"/>
        <w:tblInd w:w="6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4"/>
        <w:gridCol w:w="5144"/>
      </w:tblGrid>
      <w:tr w:rsidR="00FC0CAB" w:rsidRPr="004E573D">
        <w:tc>
          <w:tcPr>
            <w:tcW w:w="5144" w:type="dxa"/>
          </w:tcPr>
          <w:p w:rsidR="00FC0CAB" w:rsidRPr="004E573D" w:rsidRDefault="00416F4A">
            <w:pPr>
              <w:spacing w:after="0"/>
              <w:rPr>
                <w:lang w:val="pl-PL"/>
              </w:rPr>
            </w:pPr>
            <w:r w:rsidRPr="004E573D">
              <w:rPr>
                <w:rFonts w:ascii="Times New Roman" w:hAnsi="Times New Roman"/>
                <w:sz w:val="22"/>
                <w:lang w:val="pl-PL"/>
              </w:rPr>
              <w:t>ZAMAWIAJĄCY: ..................................</w:t>
            </w:r>
          </w:p>
        </w:tc>
        <w:tc>
          <w:tcPr>
            <w:tcW w:w="5144" w:type="dxa"/>
          </w:tcPr>
          <w:p w:rsidR="00FC0CAB" w:rsidRPr="004E573D" w:rsidRDefault="00416F4A">
            <w:pPr>
              <w:spacing w:after="0"/>
              <w:rPr>
                <w:lang w:val="pl-PL"/>
              </w:rPr>
            </w:pPr>
            <w:r w:rsidRPr="004E573D">
              <w:rPr>
                <w:rFonts w:ascii="Times New Roman" w:hAnsi="Times New Roman"/>
                <w:sz w:val="22"/>
                <w:lang w:val="pl-PL"/>
              </w:rPr>
              <w:t>WYKONAWCA: ..................................</w:t>
            </w:r>
          </w:p>
        </w:tc>
      </w:tr>
    </w:tbl>
    <w:p w:rsidR="00416F4A" w:rsidRPr="004E573D" w:rsidRDefault="00416F4A">
      <w:pPr>
        <w:rPr>
          <w:lang w:val="pl-PL"/>
        </w:rPr>
      </w:pPr>
    </w:p>
    <w:sectPr w:rsidR="00416F4A" w:rsidRPr="004E573D" w:rsidSect="00FC0CAB">
      <w:headerReference w:type="default" r:id="rId7"/>
      <w:footerReference w:type="default" r:id="rId8"/>
      <w:pgSz w:w="12240" w:h="15840"/>
      <w:pgMar w:top="1247" w:right="1191" w:bottom="907" w:left="1191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B43" w:rsidRDefault="00CE3B43" w:rsidP="00FC0CAB">
      <w:pPr>
        <w:spacing w:after="0" w:line="240" w:lineRule="auto"/>
      </w:pPr>
      <w:r>
        <w:separator/>
      </w:r>
    </w:p>
  </w:endnote>
  <w:endnote w:type="continuationSeparator" w:id="0">
    <w:p w:rsidR="00CE3B43" w:rsidRDefault="00CE3B43" w:rsidP="00FC0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CAB" w:rsidRDefault="00416F4A">
    <w:pPr>
      <w:pStyle w:val="Stopka"/>
      <w:jc w:val="center"/>
    </w:pPr>
    <w:proofErr w:type="spellStart"/>
    <w:r>
      <w:t>Strona</w:t>
    </w:r>
    <w:proofErr w:type="spellEnd"/>
    <w:r>
      <w:t xml:space="preserve"> </w:t>
    </w:r>
    <w:r w:rsidR="00D0502F">
      <w:fldChar w:fldCharType="begin"/>
    </w:r>
    <w:r>
      <w:instrText xml:space="preserve"> PAGE </w:instrText>
    </w:r>
    <w:r w:rsidR="00D0502F">
      <w:fldChar w:fldCharType="separate"/>
    </w:r>
    <w:r w:rsidR="00C96E11">
      <w:rPr>
        <w:noProof/>
      </w:rPr>
      <w:t>1</w:t>
    </w:r>
    <w:r w:rsidR="00D0502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B43" w:rsidRDefault="00CE3B43" w:rsidP="00FC0CAB">
      <w:pPr>
        <w:spacing w:after="0" w:line="240" w:lineRule="auto"/>
      </w:pPr>
      <w:r>
        <w:separator/>
      </w:r>
    </w:p>
  </w:footnote>
  <w:footnote w:type="continuationSeparator" w:id="0">
    <w:p w:rsidR="00CE3B43" w:rsidRDefault="00CE3B43" w:rsidP="00FC0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CAB" w:rsidRDefault="00266F33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5868670" cy="781685"/>
          <wp:effectExtent l="1905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" t="-66" r="-9" b="-66"/>
                  <a:stretch>
                    <a:fillRect/>
                  </a:stretch>
                </pic:blipFill>
                <pic:spPr bwMode="auto">
                  <a:xfrm>
                    <a:off x="0" y="0"/>
                    <a:ext cx="5868670" cy="781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3324B"/>
    <w:multiLevelType w:val="multilevel"/>
    <w:tmpl w:val="69D0F22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616155"/>
    <w:multiLevelType w:val="multilevel"/>
    <w:tmpl w:val="787A84D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7C261A"/>
    <w:multiLevelType w:val="multilevel"/>
    <w:tmpl w:val="C9B84458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C621CA3"/>
    <w:multiLevelType w:val="multilevel"/>
    <w:tmpl w:val="9EEEBE4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0BF4D46"/>
    <w:multiLevelType w:val="multilevel"/>
    <w:tmpl w:val="6F766ED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D076D27"/>
    <w:multiLevelType w:val="multilevel"/>
    <w:tmpl w:val="6EB245C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A7E4371"/>
    <w:multiLevelType w:val="multilevel"/>
    <w:tmpl w:val="F296091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autoHyphenation/>
  <w:hyphenationZone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CAB"/>
    <w:rsid w:val="0006341F"/>
    <w:rsid w:val="00266F33"/>
    <w:rsid w:val="003141F1"/>
    <w:rsid w:val="00416F4A"/>
    <w:rsid w:val="004E573D"/>
    <w:rsid w:val="005A3000"/>
    <w:rsid w:val="00C96E11"/>
    <w:rsid w:val="00CE3B43"/>
    <w:rsid w:val="00D0502F"/>
    <w:rsid w:val="00FC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B22BAE"/>
  <w15:docId w15:val="{5E26AE71-CC20-4AA9-9DD8-8EAE434D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0CAB"/>
    <w:pPr>
      <w:suppressAutoHyphens/>
      <w:spacing w:after="60" w:line="252" w:lineRule="auto"/>
    </w:pPr>
    <w:rPr>
      <w:rFonts w:ascii="Arial" w:eastAsia="Arial" w:hAnsi="Arial" w:cs=";Times New Roman"/>
      <w:sz w:val="19"/>
      <w:szCs w:val="22"/>
      <w:lang w:val="en-US" w:eastAsia="zh-CN"/>
    </w:rPr>
  </w:style>
  <w:style w:type="paragraph" w:styleId="Nagwek1">
    <w:name w:val="heading 1"/>
    <w:basedOn w:val="Normalny"/>
    <w:next w:val="Normalny"/>
    <w:qFormat/>
    <w:rsid w:val="00FC0CAB"/>
    <w:pPr>
      <w:keepNext/>
      <w:keepLines/>
      <w:numPr>
        <w:numId w:val="1"/>
      </w:numPr>
      <w:spacing w:before="160" w:after="80"/>
      <w:outlineLvl w:val="0"/>
    </w:pPr>
    <w:rPr>
      <w:rFonts w:ascii="Calibri" w:eastAsia="MS Gothic" w:hAnsi="Calibri"/>
      <w:b/>
      <w:bCs/>
      <w:color w:val="000000"/>
      <w:sz w:val="24"/>
      <w:szCs w:val="28"/>
    </w:rPr>
  </w:style>
  <w:style w:type="paragraph" w:styleId="Nagwek2">
    <w:name w:val="heading 2"/>
    <w:basedOn w:val="Normalny"/>
    <w:next w:val="Normalny"/>
    <w:qFormat/>
    <w:rsid w:val="00FC0CAB"/>
    <w:pPr>
      <w:keepNext/>
      <w:keepLines/>
      <w:numPr>
        <w:ilvl w:val="1"/>
        <w:numId w:val="1"/>
      </w:numPr>
      <w:spacing w:before="160" w:after="80"/>
      <w:outlineLvl w:val="1"/>
    </w:pPr>
    <w:rPr>
      <w:rFonts w:ascii="Calibri" w:eastAsia="MS Gothic" w:hAnsi="Calibri"/>
      <w:b/>
      <w:bCs/>
      <w:color w:val="000000"/>
      <w:sz w:val="21"/>
      <w:szCs w:val="26"/>
    </w:rPr>
  </w:style>
  <w:style w:type="paragraph" w:styleId="Nagwek3">
    <w:name w:val="heading 3"/>
    <w:basedOn w:val="Normalny"/>
    <w:next w:val="Normalny"/>
    <w:qFormat/>
    <w:rsid w:val="00FC0CAB"/>
    <w:pPr>
      <w:keepNext/>
      <w:keepLines/>
      <w:numPr>
        <w:ilvl w:val="2"/>
        <w:numId w:val="1"/>
      </w:numPr>
      <w:spacing w:before="160" w:after="80"/>
      <w:outlineLvl w:val="2"/>
    </w:pPr>
    <w:rPr>
      <w:rFonts w:ascii="Calibri" w:eastAsia="MS Gothic" w:hAnsi="Calibri"/>
      <w:b/>
      <w:bCs/>
      <w:color w:val="000000"/>
    </w:rPr>
  </w:style>
  <w:style w:type="paragraph" w:styleId="Nagwek4">
    <w:name w:val="heading 4"/>
    <w:basedOn w:val="Normalny"/>
    <w:next w:val="Normalny"/>
    <w:qFormat/>
    <w:rsid w:val="00FC0CAB"/>
    <w:pPr>
      <w:keepNext/>
      <w:keepLines/>
      <w:numPr>
        <w:ilvl w:val="3"/>
        <w:numId w:val="1"/>
      </w:numPr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qFormat/>
    <w:rsid w:val="00FC0CAB"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Nagwek6">
    <w:name w:val="heading 6"/>
    <w:basedOn w:val="Normalny"/>
    <w:next w:val="Normalny"/>
    <w:qFormat/>
    <w:rsid w:val="00FC0CAB"/>
    <w:pPr>
      <w:keepNext/>
      <w:keepLines/>
      <w:numPr>
        <w:ilvl w:val="5"/>
        <w:numId w:val="1"/>
      </w:numPr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Nagwek7">
    <w:name w:val="heading 7"/>
    <w:basedOn w:val="Normalny"/>
    <w:next w:val="Normalny"/>
    <w:qFormat/>
    <w:rsid w:val="00FC0CAB"/>
    <w:pPr>
      <w:keepNext/>
      <w:keepLines/>
      <w:numPr>
        <w:ilvl w:val="6"/>
        <w:numId w:val="1"/>
      </w:numPr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Nagwek8">
    <w:name w:val="heading 8"/>
    <w:basedOn w:val="Normalny"/>
    <w:next w:val="Normalny"/>
    <w:qFormat/>
    <w:rsid w:val="00FC0CAB"/>
    <w:pPr>
      <w:keepNext/>
      <w:keepLines/>
      <w:numPr>
        <w:ilvl w:val="7"/>
        <w:numId w:val="1"/>
      </w:numPr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Nagwek9">
    <w:name w:val="heading 9"/>
    <w:basedOn w:val="Normalny"/>
    <w:next w:val="Normalny"/>
    <w:qFormat/>
    <w:rsid w:val="00FC0CAB"/>
    <w:pPr>
      <w:keepNext/>
      <w:keepLines/>
      <w:numPr>
        <w:ilvl w:val="8"/>
        <w:numId w:val="1"/>
      </w:numPr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FC0CAB"/>
    <w:rPr>
      <w:rFonts w:ascii="Symbol" w:hAnsi="Symbol" w:cs="Symbol"/>
    </w:rPr>
  </w:style>
  <w:style w:type="character" w:customStyle="1" w:styleId="WW8Num2z0">
    <w:name w:val="WW8Num2z0"/>
    <w:qFormat/>
    <w:rsid w:val="00FC0CAB"/>
    <w:rPr>
      <w:rFonts w:ascii="Symbol" w:hAnsi="Symbol" w:cs="Symbol"/>
    </w:rPr>
  </w:style>
  <w:style w:type="character" w:customStyle="1" w:styleId="WW8Num3z0">
    <w:name w:val="WW8Num3z0"/>
    <w:qFormat/>
    <w:rsid w:val="00FC0CAB"/>
    <w:rPr>
      <w:rFonts w:ascii="Symbol" w:hAnsi="Symbol" w:cs="Symbol"/>
    </w:rPr>
  </w:style>
  <w:style w:type="character" w:customStyle="1" w:styleId="HeaderChar">
    <w:name w:val="Header Char"/>
    <w:basedOn w:val="Domylnaczcionkaakapitu"/>
    <w:qFormat/>
    <w:rsid w:val="00FC0CAB"/>
  </w:style>
  <w:style w:type="character" w:customStyle="1" w:styleId="FooterChar">
    <w:name w:val="Footer Char"/>
    <w:basedOn w:val="Domylnaczcionkaakapitu"/>
    <w:qFormat/>
    <w:rsid w:val="00FC0CAB"/>
  </w:style>
  <w:style w:type="character" w:customStyle="1" w:styleId="Heading1Char">
    <w:name w:val="Heading 1 Char"/>
    <w:basedOn w:val="Domylnaczcionkaakapitu"/>
    <w:qFormat/>
    <w:rsid w:val="00FC0CAB"/>
    <w:rPr>
      <w:rFonts w:ascii="Calibri" w:eastAsia="MS Gothic" w:hAnsi="Calibri" w:cs=";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omylnaczcionkaakapitu"/>
    <w:qFormat/>
    <w:rsid w:val="00FC0CAB"/>
    <w:rPr>
      <w:rFonts w:ascii="Calibri" w:eastAsia="MS Gothic" w:hAnsi="Calibri" w:cs=";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omylnaczcionkaakapitu"/>
    <w:qFormat/>
    <w:rsid w:val="00FC0CAB"/>
    <w:rPr>
      <w:rFonts w:ascii="Calibri" w:eastAsia="MS Gothic" w:hAnsi="Calibri" w:cs=";Times New Roman"/>
      <w:b/>
      <w:bCs/>
      <w:color w:val="4F81BD"/>
    </w:rPr>
  </w:style>
  <w:style w:type="character" w:customStyle="1" w:styleId="TitleChar">
    <w:name w:val="Title Char"/>
    <w:basedOn w:val="Domylnaczcionkaakapitu"/>
    <w:qFormat/>
    <w:rsid w:val="00FC0CAB"/>
    <w:rPr>
      <w:rFonts w:ascii="Calibri" w:eastAsia="MS Gothic" w:hAnsi="Calibri" w:cs=";Times New Roman"/>
      <w:color w:val="17365D"/>
      <w:spacing w:val="5"/>
      <w:kern w:val="2"/>
      <w:sz w:val="52"/>
      <w:szCs w:val="52"/>
    </w:rPr>
  </w:style>
  <w:style w:type="character" w:customStyle="1" w:styleId="SubtitleChar">
    <w:name w:val="Subtitle Char"/>
    <w:basedOn w:val="Domylnaczcionkaakapitu"/>
    <w:qFormat/>
    <w:rsid w:val="00FC0CAB"/>
    <w:rPr>
      <w:rFonts w:ascii="Calibri" w:eastAsia="MS Gothic" w:hAnsi="Calibri" w:cs=";Times New Roman"/>
      <w:i/>
      <w:iCs/>
      <w:color w:val="4F81BD"/>
      <w:spacing w:val="15"/>
      <w:sz w:val="24"/>
      <w:szCs w:val="24"/>
    </w:rPr>
  </w:style>
  <w:style w:type="character" w:customStyle="1" w:styleId="BodyTextChar">
    <w:name w:val="Body Text Char"/>
    <w:basedOn w:val="Domylnaczcionkaakapitu"/>
    <w:qFormat/>
    <w:rsid w:val="00FC0CAB"/>
  </w:style>
  <w:style w:type="character" w:customStyle="1" w:styleId="BodyText2Char">
    <w:name w:val="Body Text 2 Char"/>
    <w:basedOn w:val="Domylnaczcionkaakapitu"/>
    <w:qFormat/>
    <w:rsid w:val="00FC0CAB"/>
  </w:style>
  <w:style w:type="character" w:customStyle="1" w:styleId="BodyText3Char">
    <w:name w:val="Body Text 3 Char"/>
    <w:basedOn w:val="Domylnaczcionkaakapitu"/>
    <w:qFormat/>
    <w:rsid w:val="00FC0CAB"/>
    <w:rPr>
      <w:sz w:val="16"/>
      <w:szCs w:val="16"/>
    </w:rPr>
  </w:style>
  <w:style w:type="character" w:customStyle="1" w:styleId="MacroTextChar">
    <w:name w:val="Macro Text Char"/>
    <w:basedOn w:val="Domylnaczcionkaakapitu"/>
    <w:qFormat/>
    <w:rsid w:val="00FC0CAB"/>
    <w:rPr>
      <w:rFonts w:ascii="Courier" w:hAnsi="Courier" w:cs="Courier"/>
      <w:sz w:val="20"/>
      <w:szCs w:val="20"/>
    </w:rPr>
  </w:style>
  <w:style w:type="character" w:customStyle="1" w:styleId="QuoteChar">
    <w:name w:val="Quote Char"/>
    <w:basedOn w:val="Domylnaczcionkaakapitu"/>
    <w:qFormat/>
    <w:rsid w:val="00FC0CAB"/>
    <w:rPr>
      <w:i/>
      <w:iCs/>
      <w:color w:val="000000"/>
    </w:rPr>
  </w:style>
  <w:style w:type="character" w:customStyle="1" w:styleId="Heading4Char">
    <w:name w:val="Heading 4 Char"/>
    <w:basedOn w:val="Domylnaczcionkaakapitu"/>
    <w:qFormat/>
    <w:rsid w:val="00FC0CAB"/>
    <w:rPr>
      <w:rFonts w:ascii="Calibri" w:eastAsia="MS Gothic" w:hAnsi="Calibri" w:cs=";Times New Roman"/>
      <w:b/>
      <w:bCs/>
      <w:i/>
      <w:iCs/>
      <w:color w:val="4F81BD"/>
    </w:rPr>
  </w:style>
  <w:style w:type="character" w:customStyle="1" w:styleId="Heading5Char">
    <w:name w:val="Heading 5 Char"/>
    <w:basedOn w:val="Domylnaczcionkaakapitu"/>
    <w:qFormat/>
    <w:rsid w:val="00FC0CAB"/>
    <w:rPr>
      <w:rFonts w:ascii="Calibri" w:eastAsia="MS Gothic" w:hAnsi="Calibri" w:cs=";Times New Roman"/>
      <w:color w:val="243F60"/>
    </w:rPr>
  </w:style>
  <w:style w:type="character" w:customStyle="1" w:styleId="Heading6Char">
    <w:name w:val="Heading 6 Char"/>
    <w:basedOn w:val="Domylnaczcionkaakapitu"/>
    <w:qFormat/>
    <w:rsid w:val="00FC0CAB"/>
    <w:rPr>
      <w:rFonts w:ascii="Calibri" w:eastAsia="MS Gothic" w:hAnsi="Calibri" w:cs=";Times New Roman"/>
      <w:i/>
      <w:iCs/>
      <w:color w:val="243F60"/>
    </w:rPr>
  </w:style>
  <w:style w:type="character" w:customStyle="1" w:styleId="Heading7Char">
    <w:name w:val="Heading 7 Char"/>
    <w:basedOn w:val="Domylnaczcionkaakapitu"/>
    <w:qFormat/>
    <w:rsid w:val="00FC0CAB"/>
    <w:rPr>
      <w:rFonts w:ascii="Calibri" w:eastAsia="MS Gothic" w:hAnsi="Calibri" w:cs=";Times New Roman"/>
      <w:i/>
      <w:iCs/>
      <w:color w:val="404040"/>
    </w:rPr>
  </w:style>
  <w:style w:type="character" w:customStyle="1" w:styleId="Heading8Char">
    <w:name w:val="Heading 8 Char"/>
    <w:basedOn w:val="Domylnaczcionkaakapitu"/>
    <w:qFormat/>
    <w:rsid w:val="00FC0CAB"/>
    <w:rPr>
      <w:rFonts w:ascii="Calibri" w:eastAsia="MS Gothic" w:hAnsi="Calibri" w:cs=";Times New Roman"/>
      <w:color w:val="4F81BD"/>
      <w:sz w:val="20"/>
      <w:szCs w:val="20"/>
    </w:rPr>
  </w:style>
  <w:style w:type="character" w:customStyle="1" w:styleId="Heading9Char">
    <w:name w:val="Heading 9 Char"/>
    <w:basedOn w:val="Domylnaczcionkaakapitu"/>
    <w:qFormat/>
    <w:rsid w:val="00FC0CAB"/>
    <w:rPr>
      <w:rFonts w:ascii="Calibri" w:eastAsia="MS Gothic" w:hAnsi="Calibri" w:cs=";Times New Roman"/>
      <w:i/>
      <w:iCs/>
      <w:color w:val="404040"/>
      <w:sz w:val="20"/>
      <w:szCs w:val="20"/>
    </w:rPr>
  </w:style>
  <w:style w:type="character" w:styleId="Pogrubienie">
    <w:name w:val="Strong"/>
    <w:basedOn w:val="Domylnaczcionkaakapitu"/>
    <w:qFormat/>
    <w:rsid w:val="00FC0CAB"/>
    <w:rPr>
      <w:b/>
      <w:bCs/>
    </w:rPr>
  </w:style>
  <w:style w:type="character" w:styleId="Uwydatnienie">
    <w:name w:val="Emphasis"/>
    <w:basedOn w:val="Domylnaczcionkaakapitu"/>
    <w:qFormat/>
    <w:rsid w:val="00FC0CAB"/>
    <w:rPr>
      <w:i/>
      <w:iCs/>
    </w:rPr>
  </w:style>
  <w:style w:type="character" w:customStyle="1" w:styleId="IntenseQuoteChar">
    <w:name w:val="Intense Quote Char"/>
    <w:basedOn w:val="Domylnaczcionkaakapitu"/>
    <w:qFormat/>
    <w:rsid w:val="00FC0CAB"/>
    <w:rPr>
      <w:b/>
      <w:bCs/>
      <w:i/>
      <w:iCs/>
      <w:color w:val="4F81BD"/>
    </w:rPr>
  </w:style>
  <w:style w:type="character" w:styleId="Wyrnieniedelikatne">
    <w:name w:val="Subtle Emphasis"/>
    <w:basedOn w:val="Domylnaczcionkaakapitu"/>
    <w:qFormat/>
    <w:rsid w:val="00FC0CAB"/>
    <w:rPr>
      <w:i/>
      <w:iCs/>
      <w:color w:val="808080"/>
    </w:rPr>
  </w:style>
  <w:style w:type="character" w:styleId="Wyrnienieintensywne">
    <w:name w:val="Intense Emphasis"/>
    <w:basedOn w:val="Domylnaczcionkaakapitu"/>
    <w:qFormat/>
    <w:rsid w:val="00FC0CAB"/>
    <w:rPr>
      <w:b/>
      <w:bCs/>
      <w:i/>
      <w:iCs/>
      <w:color w:val="4F81BD"/>
    </w:rPr>
  </w:style>
  <w:style w:type="character" w:styleId="Odwoaniedelikatne">
    <w:name w:val="Subtle Reference"/>
    <w:basedOn w:val="Domylnaczcionkaakapitu"/>
    <w:qFormat/>
    <w:rsid w:val="00FC0CAB"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sid w:val="00FC0CAB"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sid w:val="00FC0CAB"/>
    <w:rPr>
      <w:b/>
      <w:bCs/>
      <w:smallCaps/>
      <w:spacing w:val="5"/>
    </w:rPr>
  </w:style>
  <w:style w:type="paragraph" w:customStyle="1" w:styleId="Heading">
    <w:name w:val="Heading"/>
    <w:basedOn w:val="Normalny"/>
    <w:next w:val="Tekstpodstawowy"/>
    <w:qFormat/>
    <w:rsid w:val="00FC0CA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rsid w:val="00FC0CAB"/>
    <w:pPr>
      <w:spacing w:after="120"/>
    </w:pPr>
  </w:style>
  <w:style w:type="paragraph" w:styleId="Lista">
    <w:name w:val="List"/>
    <w:basedOn w:val="Normalny"/>
    <w:rsid w:val="00FC0CAB"/>
    <w:pPr>
      <w:ind w:left="360" w:hanging="360"/>
      <w:contextualSpacing/>
    </w:pPr>
  </w:style>
  <w:style w:type="paragraph" w:styleId="Legenda">
    <w:name w:val="caption"/>
    <w:basedOn w:val="Normalny"/>
    <w:next w:val="Normalny"/>
    <w:qFormat/>
    <w:rsid w:val="00FC0CAB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ny"/>
    <w:qFormat/>
    <w:rsid w:val="00FC0CAB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rsid w:val="00FC0CAB"/>
  </w:style>
  <w:style w:type="paragraph" w:styleId="Nagwek">
    <w:name w:val="header"/>
    <w:basedOn w:val="Normalny"/>
    <w:rsid w:val="00FC0CAB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rsid w:val="00FC0CAB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qFormat/>
    <w:rsid w:val="00FC0CAB"/>
    <w:pPr>
      <w:suppressAutoHyphens/>
    </w:pPr>
    <w:rPr>
      <w:rFonts w:ascii="Cambria" w:eastAsia="MS Mincho" w:hAnsi="Cambria" w:cs=";Times New Roman"/>
      <w:sz w:val="22"/>
      <w:szCs w:val="22"/>
      <w:lang w:val="en-US" w:eastAsia="zh-CN"/>
    </w:rPr>
  </w:style>
  <w:style w:type="paragraph" w:styleId="Tytu">
    <w:name w:val="Title"/>
    <w:basedOn w:val="Normalny"/>
    <w:next w:val="Normalny"/>
    <w:qFormat/>
    <w:rsid w:val="00FC0CAB"/>
    <w:pPr>
      <w:pBdr>
        <w:bottom w:val="single" w:sz="8" w:space="4" w:color="4F81BD"/>
      </w:pBdr>
      <w:spacing w:after="80" w:line="240" w:lineRule="auto"/>
      <w:contextualSpacing/>
    </w:pPr>
    <w:rPr>
      <w:rFonts w:ascii="Calibri" w:eastAsia="MS Gothic" w:hAnsi="Calibri"/>
      <w:b/>
      <w:color w:val="000000"/>
      <w:spacing w:val="5"/>
      <w:kern w:val="2"/>
      <w:sz w:val="30"/>
      <w:szCs w:val="52"/>
    </w:rPr>
  </w:style>
  <w:style w:type="paragraph" w:styleId="Podtytu">
    <w:name w:val="Subtitle"/>
    <w:basedOn w:val="Normalny"/>
    <w:next w:val="Normalny"/>
    <w:qFormat/>
    <w:rsid w:val="00FC0CAB"/>
    <w:rPr>
      <w:rFonts w:ascii="Calibri" w:eastAsia="MS Gothic" w:hAnsi="Calibri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FC0CAB"/>
    <w:pPr>
      <w:ind w:left="720"/>
      <w:contextualSpacing/>
    </w:pPr>
  </w:style>
  <w:style w:type="paragraph" w:styleId="Tekstpodstawowy2">
    <w:name w:val="Body Text 2"/>
    <w:basedOn w:val="Normalny"/>
    <w:qFormat/>
    <w:rsid w:val="00FC0CAB"/>
    <w:pPr>
      <w:spacing w:after="120" w:line="480" w:lineRule="auto"/>
    </w:pPr>
  </w:style>
  <w:style w:type="paragraph" w:styleId="Tekstpodstawowy3">
    <w:name w:val="Body Text 3"/>
    <w:basedOn w:val="Normalny"/>
    <w:qFormat/>
    <w:rsid w:val="00FC0CAB"/>
    <w:pPr>
      <w:spacing w:after="120"/>
    </w:pPr>
    <w:rPr>
      <w:sz w:val="16"/>
      <w:szCs w:val="16"/>
    </w:rPr>
  </w:style>
  <w:style w:type="paragraph" w:styleId="Listapunktowana2">
    <w:name w:val="List Bullet 2"/>
    <w:basedOn w:val="Normalny"/>
    <w:qFormat/>
    <w:rsid w:val="00FC0CAB"/>
    <w:pPr>
      <w:numPr>
        <w:numId w:val="3"/>
      </w:numPr>
      <w:contextualSpacing/>
    </w:pPr>
  </w:style>
  <w:style w:type="paragraph" w:styleId="Listapunktowana3">
    <w:name w:val="List Bullet 3"/>
    <w:basedOn w:val="Normalny"/>
    <w:qFormat/>
    <w:rsid w:val="00FC0CAB"/>
    <w:pPr>
      <w:numPr>
        <w:numId w:val="4"/>
      </w:numPr>
      <w:contextualSpacing/>
    </w:pPr>
  </w:style>
  <w:style w:type="paragraph" w:styleId="Listapunktowana">
    <w:name w:val="List Bullet"/>
    <w:basedOn w:val="Normalny"/>
    <w:qFormat/>
    <w:rsid w:val="00FC0CAB"/>
    <w:pPr>
      <w:numPr>
        <w:numId w:val="2"/>
      </w:numPr>
      <w:contextualSpacing/>
    </w:pPr>
  </w:style>
  <w:style w:type="paragraph" w:styleId="Listanumerowana">
    <w:name w:val="List Number"/>
    <w:basedOn w:val="Normalny"/>
    <w:qFormat/>
    <w:rsid w:val="00FC0CAB"/>
    <w:pPr>
      <w:numPr>
        <w:numId w:val="5"/>
      </w:numPr>
      <w:contextualSpacing/>
    </w:pPr>
  </w:style>
  <w:style w:type="paragraph" w:styleId="Listanumerowana2">
    <w:name w:val="List Number 2"/>
    <w:basedOn w:val="Normalny"/>
    <w:qFormat/>
    <w:rsid w:val="00FC0CAB"/>
    <w:pPr>
      <w:numPr>
        <w:numId w:val="6"/>
      </w:numPr>
      <w:contextualSpacing/>
    </w:pPr>
  </w:style>
  <w:style w:type="paragraph" w:styleId="Listanumerowana3">
    <w:name w:val="List Number 3"/>
    <w:basedOn w:val="Normalny"/>
    <w:qFormat/>
    <w:rsid w:val="00FC0CAB"/>
    <w:pPr>
      <w:numPr>
        <w:numId w:val="7"/>
      </w:numPr>
      <w:contextualSpacing/>
    </w:pPr>
  </w:style>
  <w:style w:type="paragraph" w:styleId="Lista-kontynuacja">
    <w:name w:val="List Continue"/>
    <w:basedOn w:val="Normalny"/>
    <w:qFormat/>
    <w:rsid w:val="00FC0CAB"/>
    <w:pPr>
      <w:spacing w:after="120"/>
      <w:ind w:left="360"/>
      <w:contextualSpacing/>
    </w:pPr>
  </w:style>
  <w:style w:type="paragraph" w:styleId="Lista-kontynuacja2">
    <w:name w:val="List Continue 2"/>
    <w:basedOn w:val="Normalny"/>
    <w:qFormat/>
    <w:rsid w:val="00FC0CAB"/>
    <w:pPr>
      <w:spacing w:after="120"/>
      <w:ind w:left="720"/>
      <w:contextualSpacing/>
    </w:pPr>
  </w:style>
  <w:style w:type="paragraph" w:styleId="Lista-kontynuacja3">
    <w:name w:val="List Continue 3"/>
    <w:basedOn w:val="Normalny"/>
    <w:qFormat/>
    <w:rsid w:val="00FC0CAB"/>
    <w:pPr>
      <w:spacing w:after="120"/>
      <w:ind w:left="1080"/>
      <w:contextualSpacing/>
    </w:pPr>
  </w:style>
  <w:style w:type="paragraph" w:styleId="Tekstmakra">
    <w:name w:val="macro"/>
    <w:qFormat/>
    <w:rsid w:val="00FC0CAB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 w:line="276" w:lineRule="auto"/>
    </w:pPr>
    <w:rPr>
      <w:rFonts w:ascii="Courier" w:eastAsia="MS Mincho" w:hAnsi="Courier" w:cs=";Times New Roman"/>
      <w:lang w:val="en-US" w:eastAsia="zh-CN"/>
    </w:rPr>
  </w:style>
  <w:style w:type="paragraph" w:styleId="Cytat">
    <w:name w:val="Quote"/>
    <w:basedOn w:val="Normalny"/>
    <w:next w:val="Normalny"/>
    <w:qFormat/>
    <w:rsid w:val="00FC0CAB"/>
    <w:rPr>
      <w:i/>
      <w:iCs/>
      <w:color w:val="000000"/>
    </w:rPr>
  </w:style>
  <w:style w:type="paragraph" w:styleId="Cytatintensywny">
    <w:name w:val="Intense Quote"/>
    <w:basedOn w:val="Normalny"/>
    <w:next w:val="Normalny"/>
    <w:qFormat/>
    <w:rsid w:val="00FC0CA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Nagwekindeksu">
    <w:name w:val="index heading"/>
    <w:basedOn w:val="Heading"/>
    <w:rsid w:val="00FC0CAB"/>
  </w:style>
  <w:style w:type="paragraph" w:styleId="Nagwekwykazurde">
    <w:name w:val="toa heading"/>
    <w:basedOn w:val="Nagwek1"/>
    <w:next w:val="Normalny"/>
    <w:qFormat/>
    <w:rsid w:val="00FC0CAB"/>
    <w:pPr>
      <w:numPr>
        <w:numId w:val="0"/>
      </w:numPr>
      <w:outlineLvl w:val="9"/>
    </w:pPr>
  </w:style>
  <w:style w:type="paragraph" w:customStyle="1" w:styleId="TableContents">
    <w:name w:val="Table Contents"/>
    <w:basedOn w:val="Normalny"/>
    <w:qFormat/>
    <w:rsid w:val="00FC0CAB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FC0CAB"/>
    <w:pPr>
      <w:jc w:val="center"/>
    </w:pPr>
    <w:rPr>
      <w:b/>
      <w:bCs/>
    </w:rPr>
  </w:style>
  <w:style w:type="numbering" w:customStyle="1" w:styleId="WW8Num1">
    <w:name w:val="WW8Num1"/>
    <w:qFormat/>
    <w:rsid w:val="00FC0CAB"/>
  </w:style>
  <w:style w:type="numbering" w:customStyle="1" w:styleId="WW8Num2">
    <w:name w:val="WW8Num2"/>
    <w:qFormat/>
    <w:rsid w:val="00FC0CAB"/>
  </w:style>
  <w:style w:type="numbering" w:customStyle="1" w:styleId="WW8Num3">
    <w:name w:val="WW8Num3"/>
    <w:qFormat/>
    <w:rsid w:val="00FC0CAB"/>
  </w:style>
  <w:style w:type="numbering" w:customStyle="1" w:styleId="WW8Num4">
    <w:name w:val="WW8Num4"/>
    <w:qFormat/>
    <w:rsid w:val="00FC0CAB"/>
  </w:style>
  <w:style w:type="numbering" w:customStyle="1" w:styleId="WW8Num5">
    <w:name w:val="WW8Num5"/>
    <w:qFormat/>
    <w:rsid w:val="00FC0CAB"/>
  </w:style>
  <w:style w:type="numbering" w:customStyle="1" w:styleId="WW8Num6">
    <w:name w:val="WW8Num6"/>
    <w:qFormat/>
    <w:rsid w:val="00FC0CAB"/>
  </w:style>
  <w:style w:type="numbering" w:customStyle="1" w:styleId="WW8Num7">
    <w:name w:val="WW8Num7"/>
    <w:qFormat/>
    <w:rsid w:val="00FC0CAB"/>
  </w:style>
  <w:style w:type="paragraph" w:styleId="Tekstdymka">
    <w:name w:val="Balloon Text"/>
    <w:basedOn w:val="Normalny"/>
    <w:link w:val="TekstdymkaZnak"/>
    <w:uiPriority w:val="99"/>
    <w:semiHidden/>
    <w:unhideWhenUsed/>
    <w:rsid w:val="004E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73D"/>
    <w:rPr>
      <w:rFonts w:ascii="Tahoma" w:eastAsia="Arial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2637</Words>
  <Characters>15822</Characters>
  <Application>Microsoft Office Word</Application>
  <DocSecurity>0</DocSecurity>
  <Lines>131</Lines>
  <Paragraphs>36</Paragraphs>
  <ScaleCrop>false</ScaleCrop>
  <Company/>
  <LinksUpToDate>false</LinksUpToDate>
  <CharactersWithSpaces>18423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dc:description>generated by python-docx</dc:description>
  <cp:lastModifiedBy>Krystian Elas</cp:lastModifiedBy>
  <cp:revision>3</cp:revision>
  <dcterms:created xsi:type="dcterms:W3CDTF">2026-08-11T18:18:00Z</dcterms:created>
  <dcterms:modified xsi:type="dcterms:W3CDTF">2026-08-12T05:22:00Z</dcterms:modified>
  <dc:language>en-US</dc:language>
</cp:coreProperties>
</file>