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contextualSpacing/>
        <w:rPr>
          <w:rFonts w:ascii="Cambria" w:hAnsi="Cambria"/>
          <w:strike/>
          <w:color w:themeColor="text1" w:val="000000"/>
        </w:rPr>
      </w:pPr>
      <w:r>
        <w:rPr>
          <w:rFonts w:ascii="Cambria" w:hAnsi="Cambria"/>
          <w:strike/>
          <w:color w:themeColor="text1" w:val="000000"/>
        </w:rPr>
      </w:r>
    </w:p>
    <w:p>
      <w:pPr>
        <w:pStyle w:val="Normal"/>
        <w:spacing w:lineRule="auto" w:line="276" w:before="0" w:after="0"/>
        <w:contextualSpacing/>
        <w:jc w:val="end"/>
        <w:rPr>
          <w:rFonts w:ascii="Cambria" w:hAnsi="Cambria"/>
          <w:color w:themeColor="text1" w:val="000000"/>
          <w:sz w:val="16"/>
          <w:szCs w:val="16"/>
        </w:rPr>
      </w:pPr>
      <w:r>
        <w:rPr>
          <w:rFonts w:ascii="Cambria" w:hAnsi="Cambria"/>
          <w:color w:themeColor="text1" w:val="000000"/>
          <w:sz w:val="16"/>
          <w:szCs w:val="16"/>
        </w:rPr>
      </w:r>
    </w:p>
    <w:p>
      <w:pPr>
        <w:pStyle w:val="BodyText"/>
        <w:pBdr>
          <w:bottom w:val="single" w:sz="4" w:space="1" w:color="000000"/>
        </w:pBdr>
        <w:tabs>
          <w:tab w:val="clear" w:pos="708"/>
          <w:tab w:val="center" w:pos="4536" w:leader="none"/>
          <w:tab w:val="left" w:pos="7802" w:leader="none"/>
        </w:tabs>
        <w:spacing w:before="0" w:after="0"/>
        <w:jc w:val="center"/>
        <w:rPr>
          <w:rFonts w:ascii="Cambria" w:hAnsi="Cambria" w:cs="Calibri"/>
          <w:b/>
          <w:bCs/>
          <w:color w:themeColor="text1" w:val="000000"/>
          <w:sz w:val="24"/>
          <w:szCs w:val="24"/>
        </w:rPr>
      </w:pPr>
      <w:r>
        <w:rPr>
          <w:rFonts w:cs="Calibri" w:ascii="Cambria" w:hAnsi="Cambria"/>
          <w:b/>
          <w:bCs/>
          <w:color w:themeColor="text1" w:val="000000"/>
          <w:sz w:val="24"/>
          <w:szCs w:val="24"/>
        </w:rPr>
        <w:tab/>
        <w:t xml:space="preserve">                                                                                   Załącznik nr 2 do SWZ</w:t>
      </w:r>
    </w:p>
    <w:p>
      <w:pPr>
        <w:pStyle w:val="BodyText"/>
        <w:pBdr>
          <w:bottom w:val="single" w:sz="4" w:space="1" w:color="000000"/>
        </w:pBdr>
        <w:tabs>
          <w:tab w:val="clear" w:pos="708"/>
          <w:tab w:val="center" w:pos="4536" w:leader="none"/>
          <w:tab w:val="left" w:pos="7802" w:leader="none"/>
        </w:tabs>
        <w:spacing w:before="0" w:after="0"/>
        <w:jc w:val="center"/>
        <w:rPr>
          <w:rFonts w:ascii="Cambria" w:hAnsi="Cambria" w:cs="Calibri"/>
          <w:b/>
          <w:bCs/>
          <w:color w:themeColor="text1" w:val="000000"/>
          <w:sz w:val="24"/>
          <w:szCs w:val="24"/>
          <w:lang w:val="pl-PL"/>
        </w:rPr>
      </w:pPr>
      <w:r>
        <w:rPr>
          <w:rFonts w:cs="Calibri" w:ascii="Cambria" w:hAnsi="Cambria"/>
          <w:b/>
          <w:bCs/>
          <w:color w:themeColor="text1" w:val="000000"/>
          <w:sz w:val="24"/>
          <w:szCs w:val="24"/>
        </w:rPr>
        <w:t>Projekt umowy</w:t>
      </w:r>
    </w:p>
    <w:p>
      <w:pPr>
        <w:pStyle w:val="Normal"/>
        <w:tabs>
          <w:tab w:val="clear" w:pos="708"/>
          <w:tab w:val="left" w:pos="567" w:leader="none"/>
        </w:tabs>
        <w:spacing w:lineRule="auto" w:line="276"/>
        <w:jc w:val="center"/>
        <w:rPr>
          <w:rFonts w:ascii="Cambria" w:hAnsi="Cambria"/>
          <w:b/>
          <w:bCs/>
          <w:color w:val="000000"/>
        </w:rPr>
      </w:pPr>
      <w:r>
        <w:rPr>
          <w:rFonts w:ascii="Cambria" w:hAnsi="Cambria"/>
          <w:color w:val="000000"/>
        </w:rPr>
        <w:t>(Numer referencyjny: …………………)</w:t>
      </w:r>
    </w:p>
    <w:p>
      <w:pPr>
        <w:pStyle w:val="Normal"/>
        <w:spacing w:lineRule="auto" w:line="276" w:before="0" w:after="0"/>
        <w:contextualSpacing/>
        <w:jc w:val="center"/>
        <w:rPr>
          <w:rFonts w:ascii="Cambria" w:hAnsi="Cambria"/>
          <w:b/>
          <w:bCs/>
          <w:color w:themeColor="text1" w:val="000000"/>
          <w:sz w:val="10"/>
          <w:szCs w:val="10"/>
        </w:rPr>
      </w:pPr>
      <w:r>
        <w:rPr>
          <w:rFonts w:ascii="Cambria" w:hAnsi="Cambria"/>
          <w:b/>
          <w:bCs/>
          <w:color w:themeColor="text1" w:val="000000"/>
          <w:sz w:val="10"/>
          <w:szCs w:val="10"/>
        </w:rPr>
      </w:r>
    </w:p>
    <w:p>
      <w:pPr>
        <w:pStyle w:val="Normal"/>
        <w:spacing w:lineRule="auto" w:line="276" w:before="0" w:after="0"/>
        <w:contextualSpacing/>
        <w:jc w:val="center"/>
        <w:rPr>
          <w:rFonts w:ascii="Cambria" w:hAnsi="Cambria"/>
          <w:b/>
          <w:bCs/>
          <w:color w:themeColor="text1" w:val="000000"/>
        </w:rPr>
      </w:pPr>
      <w:r>
        <w:rPr>
          <w:rFonts w:ascii="Cambria" w:hAnsi="Cambria"/>
          <w:b/>
          <w:bCs/>
          <w:color w:themeColor="text1" w:val="000000"/>
        </w:rPr>
        <w:t xml:space="preserve">Umowa Nr …… </w:t>
      </w:r>
    </w:p>
    <w:p>
      <w:pPr>
        <w:pStyle w:val="Default"/>
        <w:spacing w:lineRule="auto" w:line="276"/>
        <w:jc w:val="both"/>
        <w:rPr>
          <w:rFonts w:ascii="Cambria" w:hAnsi="Cambria" w:cs="Cambria"/>
          <w:color w:themeColor="text1" w:val="000000"/>
          <w:sz w:val="10"/>
          <w:szCs w:val="10"/>
        </w:rPr>
      </w:pPr>
      <w:r>
        <w:rPr>
          <w:rFonts w:cs="Cambria" w:ascii="Cambria" w:hAnsi="Cambria"/>
          <w:color w:themeColor="text1" w:val="000000"/>
          <w:sz w:val="10"/>
          <w:szCs w:val="10"/>
        </w:rPr>
      </w:r>
    </w:p>
    <w:p>
      <w:pPr>
        <w:pStyle w:val="Default"/>
        <w:spacing w:lineRule="auto" w:line="276"/>
        <w:jc w:val="both"/>
        <w:rPr>
          <w:rFonts w:ascii="Cambria" w:hAnsi="Cambria" w:cs="Calibri"/>
          <w:b/>
          <w:bCs/>
          <w:color w:val="auto"/>
        </w:rPr>
      </w:pPr>
      <w:r>
        <w:rPr>
          <w:rFonts w:ascii="Cambria" w:hAnsi="Cambria"/>
        </w:rPr>
        <w:t xml:space="preserve">w dniu ............................... r. </w:t>
      </w:r>
      <w:r>
        <w:rPr>
          <w:rFonts w:cs="Calibri" w:ascii="Cambria" w:hAnsi="Cambria"/>
          <w:color w:val="auto"/>
        </w:rPr>
        <w:t>w Komarówce Podlaskiej</w:t>
      </w:r>
      <w:r>
        <w:rPr>
          <w:rFonts w:cs="Calibri" w:ascii="Cambria" w:hAnsi="Cambria"/>
          <w:b/>
          <w:bCs/>
          <w:color w:val="auto"/>
        </w:rPr>
        <w:t xml:space="preserve"> </w:t>
      </w:r>
    </w:p>
    <w:p>
      <w:pPr>
        <w:pStyle w:val="Default"/>
        <w:spacing w:lineRule="auto" w:line="276"/>
        <w:jc w:val="both"/>
        <w:rPr>
          <w:rFonts w:ascii="Cambria" w:hAnsi="Cambria"/>
        </w:rPr>
      </w:pPr>
      <w:r>
        <w:rPr>
          <w:rFonts w:ascii="Cambria" w:hAnsi="Cambria"/>
        </w:rPr>
        <w:t xml:space="preserve">pomiędzy: </w:t>
      </w:r>
    </w:p>
    <w:p>
      <w:pPr>
        <w:pStyle w:val="Default"/>
        <w:spacing w:lineRule="auto" w:line="276"/>
        <w:jc w:val="both"/>
        <w:rPr>
          <w:rFonts w:ascii="Cambria" w:hAnsi="Cambria"/>
          <w:bCs/>
        </w:rPr>
      </w:pPr>
      <w:r>
        <w:rPr>
          <w:rFonts w:ascii="Cambria" w:hAnsi="Cambria"/>
          <w:b/>
          <w:bCs/>
        </w:rPr>
        <w:t>Gminą Komarówka Podlaska z</w:t>
      </w:r>
      <w:r>
        <w:rPr>
          <w:rFonts w:ascii="Cambria" w:hAnsi="Cambria"/>
        </w:rPr>
        <w:t xml:space="preserve"> siedzibą </w:t>
      </w:r>
      <w:r>
        <w:rPr>
          <w:rFonts w:ascii="Cambria" w:hAnsi="Cambria"/>
          <w:bCs/>
        </w:rPr>
        <w:t xml:space="preserve">ul. Krótka 7, 21-311 Komarówka Podlaska </w:t>
      </w:r>
    </w:p>
    <w:p>
      <w:pPr>
        <w:pStyle w:val="Normal"/>
        <w:tabs>
          <w:tab w:val="clear" w:pos="708"/>
          <w:tab w:val="left" w:pos="567" w:leader="none"/>
        </w:tabs>
        <w:spacing w:lineRule="auto" w:line="276"/>
        <w:rPr>
          <w:rFonts w:ascii="Cambria" w:hAnsi="Cambria" w:eastAsia="Times New Roman" w:cs="Arial"/>
          <w:color w:themeColor="text1" w:val="000000"/>
          <w:kern w:val="2"/>
          <w:lang w:eastAsia="ar-SA"/>
        </w:rPr>
      </w:pPr>
      <w:r>
        <w:rPr>
          <w:rFonts w:eastAsia="Times New Roman" w:cs="Arial" w:ascii="Cambria" w:hAnsi="Cambria"/>
          <w:color w:themeColor="text1" w:val="000000"/>
          <w:kern w:val="2"/>
          <w:lang w:eastAsia="ar-SA"/>
        </w:rPr>
        <w:t>NIP: 538-185-02-34, REGON: 030237575</w:t>
      </w:r>
    </w:p>
    <w:p>
      <w:pPr>
        <w:pStyle w:val="Default"/>
        <w:spacing w:lineRule="auto" w:line="276"/>
        <w:jc w:val="both"/>
        <w:rPr>
          <w:rFonts w:ascii="Cambria" w:hAnsi="Cambria"/>
        </w:rPr>
      </w:pPr>
      <w:r>
        <w:rPr>
          <w:rFonts w:ascii="Cambria" w:hAnsi="Cambria"/>
        </w:rPr>
        <w:t>zwaną w dalszej części umowy</w:t>
      </w:r>
      <w:r>
        <w:rPr>
          <w:rFonts w:ascii="Cambria" w:hAnsi="Cambria"/>
          <w:b/>
          <w:bCs/>
        </w:rPr>
        <w:t xml:space="preserve"> „Zamawiającym”,</w:t>
      </w:r>
    </w:p>
    <w:p>
      <w:pPr>
        <w:pStyle w:val="Normal"/>
        <w:spacing w:lineRule="auto" w:line="276" w:before="0" w:after="0"/>
        <w:contextualSpacing/>
        <w:rPr>
          <w:rFonts w:ascii="Cambria" w:hAnsi="Cambria"/>
        </w:rPr>
      </w:pPr>
      <w:r>
        <w:rPr>
          <w:rFonts w:ascii="Cambria" w:hAnsi="Cambria"/>
        </w:rPr>
        <w:t>reprezentowaną przez:</w:t>
      </w:r>
    </w:p>
    <w:p>
      <w:pPr>
        <w:pStyle w:val="Normal"/>
        <w:spacing w:lineRule="auto" w:line="276" w:before="0" w:after="0"/>
        <w:contextualSpacing/>
        <w:rPr>
          <w:rFonts w:ascii="Cambria" w:hAnsi="Cambria"/>
        </w:rPr>
      </w:pPr>
      <w:r>
        <w:rPr>
          <w:rFonts w:ascii="Cambria" w:hAnsi="Cambria"/>
          <w:b/>
        </w:rPr>
        <w:t>Pan Ireneusz Demianiuk</w:t>
      </w:r>
      <w:r>
        <w:rPr>
          <w:rFonts w:ascii="Cambria" w:hAnsi="Cambria"/>
        </w:rPr>
        <w:t>–</w:t>
      </w:r>
      <w:r>
        <w:rPr>
          <w:rFonts w:ascii="Cambria" w:hAnsi="Cambria"/>
          <w:b/>
        </w:rPr>
        <w:t xml:space="preserve"> </w:t>
      </w:r>
      <w:r>
        <w:rPr>
          <w:rFonts w:ascii="Cambria" w:hAnsi="Cambria"/>
          <w:bCs/>
        </w:rPr>
        <w:t xml:space="preserve">Wójta Gminy Komarówka Podlaska </w:t>
      </w:r>
    </w:p>
    <w:p>
      <w:pPr>
        <w:pStyle w:val="Default"/>
        <w:spacing w:lineRule="auto" w:line="276"/>
        <w:jc w:val="both"/>
        <w:rPr>
          <w:rFonts w:ascii="Cambria" w:hAnsi="Cambria"/>
        </w:rPr>
      </w:pPr>
      <w:r>
        <w:rPr>
          <w:rFonts w:ascii="Cambria" w:hAnsi="Cambria"/>
        </w:rPr>
        <w:t xml:space="preserve">przy kontrasygnacie Skarbnika Gminy Komarówka Podlaska  – </w:t>
      </w:r>
      <w:r>
        <w:rPr>
          <w:rFonts w:ascii="Cambria" w:hAnsi="Cambria"/>
          <w:b/>
        </w:rPr>
        <w:t>Pani Małgorzaty Patkowskiej</w:t>
      </w:r>
    </w:p>
    <w:p>
      <w:pPr>
        <w:pStyle w:val="Textbody"/>
        <w:spacing w:lineRule="auto" w:line="276" w:before="0" w:after="0"/>
        <w:rPr>
          <w:rFonts w:ascii="Cambria" w:hAnsi="Cambria" w:cs="Calibri"/>
          <w:color w:themeColor="text1" w:val="000000"/>
        </w:rPr>
      </w:pPr>
      <w:r>
        <w:rPr>
          <w:rFonts w:cs="Calibri" w:ascii="Cambria" w:hAnsi="Cambria"/>
          <w:color w:themeColor="text1" w:val="000000"/>
        </w:rPr>
        <w:t>a</w:t>
      </w:r>
    </w:p>
    <w:p>
      <w:pPr>
        <w:pStyle w:val="Default"/>
        <w:spacing w:lineRule="auto" w:line="276"/>
        <w:jc w:val="both"/>
        <w:rPr>
          <w:rFonts w:ascii="Cambria" w:hAnsi="Cambria" w:cs="Calibri"/>
          <w:color w:themeColor="text1" w:val="000000"/>
        </w:rPr>
      </w:pPr>
      <w:r>
        <w:rPr>
          <w:rFonts w:cs="Calibri" w:ascii="Cambria" w:hAnsi="Cambria"/>
          <w:color w:themeColor="text1" w:val="000000"/>
        </w:rPr>
        <w:t xml:space="preserve">*gdy kontrahentem jest spółka prawa handlowego: </w:t>
      </w:r>
    </w:p>
    <w:p>
      <w:pPr>
        <w:pStyle w:val="Default"/>
        <w:spacing w:lineRule="auto" w:line="276"/>
        <w:jc w:val="both"/>
        <w:rPr>
          <w:rFonts w:ascii="Cambria" w:hAnsi="Cambria" w:cs="Calibri"/>
          <w:color w:themeColor="text1" w:val="000000"/>
        </w:rPr>
      </w:pPr>
      <w:r>
        <w:rPr>
          <w:rFonts w:cs="Calibri" w:ascii="Cambria" w:hAnsi="Cambria"/>
          <w:color w:themeColor="text1" w:val="000000"/>
        </w:rPr>
        <w:t>spółką pod firmą „…” z siedzibą w ... (wpisać tylko nazwę miasta/miejscowości), ul. ………., ………………. (wpisać adres), wpisaną do Rejestru Przedsiębiorców Krajowego Rejestru Sądowego pod numerem KRS ..........., NIP ……………….., REGON ……………………..</w:t>
      </w:r>
      <w:r>
        <w:rPr>
          <w:rFonts w:ascii="Cambria" w:hAnsi="Cambria"/>
          <w:i/>
          <w:iCs/>
          <w:color w:themeColor="text1" w:val="000000"/>
        </w:rPr>
        <w:t>,</w:t>
      </w:r>
      <w:r>
        <w:rPr>
          <w:rFonts w:cs="Calibri" w:ascii="Cambria" w:hAnsi="Cambria"/>
          <w:color w:themeColor="text1" w:val="000000"/>
        </w:rPr>
        <w:t xml:space="preserve"> zwaną dalej „Wykonawcą”, reprezentowaną przez ..........</w:t>
      </w:r>
      <w:r>
        <w:rPr>
          <w:rStyle w:val="FootnoteReference"/>
          <w:rFonts w:cs="Calibri" w:ascii="Cambria" w:hAnsi="Cambria"/>
          <w:color w:themeColor="text1" w:val="000000"/>
        </w:rPr>
        <w:footnoteReference w:id="2"/>
      </w:r>
      <w:r>
        <w:rPr>
          <w:rFonts w:cs="Calibri" w:ascii="Cambria" w:hAnsi="Cambria"/>
          <w:color w:themeColor="text1" w:val="000000"/>
        </w:rPr>
        <w:t>/reprezentowaną przez … działającą/-ego na podstawie pełnomocnictwa, stanowiącego załącznik do umowy</w:t>
      </w:r>
      <w:r>
        <w:rPr>
          <w:rStyle w:val="FootnoteReference"/>
          <w:rFonts w:cs="Calibri" w:ascii="Cambria" w:hAnsi="Cambria"/>
          <w:color w:themeColor="text1" w:val="000000"/>
        </w:rPr>
        <w:footnoteReference w:id="3"/>
      </w:r>
      <w:r>
        <w:rPr>
          <w:rFonts w:cs="Calibri" w:ascii="Cambria" w:hAnsi="Cambria"/>
          <w:color w:themeColor="text1" w:val="000000"/>
        </w:rPr>
        <w:t xml:space="preserve">, </w:t>
      </w:r>
    </w:p>
    <w:p>
      <w:pPr>
        <w:pStyle w:val="Default"/>
        <w:spacing w:lineRule="auto" w:line="276"/>
        <w:jc w:val="both"/>
        <w:rPr>
          <w:rFonts w:ascii="Cambria" w:hAnsi="Cambria" w:cs="Calibri"/>
          <w:color w:themeColor="text1" w:val="000000"/>
        </w:rPr>
      </w:pPr>
      <w:r>
        <w:rPr>
          <w:rFonts w:cs="Calibri" w:ascii="Cambria" w:hAnsi="Cambria"/>
          <w:color w:themeColor="text1" w:val="000000"/>
        </w:rPr>
      </w:r>
    </w:p>
    <w:p>
      <w:pPr>
        <w:pStyle w:val="Default"/>
        <w:spacing w:lineRule="auto" w:line="276"/>
        <w:jc w:val="both"/>
        <w:rPr>
          <w:rFonts w:ascii="Cambria" w:hAnsi="Cambria" w:cs="Calibri"/>
          <w:color w:themeColor="text1" w:val="000000"/>
        </w:rPr>
      </w:pPr>
      <w:r>
        <w:rPr>
          <w:rFonts w:cs="Calibri" w:ascii="Cambria" w:hAnsi="Cambria"/>
          <w:color w:themeColor="text1" w:val="000000"/>
        </w:rPr>
        <w:t xml:space="preserve">*gdy kontrahentem jest osoba fizyczna prowadząca działalność gospodarczą: </w:t>
      </w:r>
    </w:p>
    <w:p>
      <w:pPr>
        <w:pStyle w:val="Default"/>
        <w:spacing w:lineRule="auto" w:line="276"/>
        <w:jc w:val="both"/>
        <w:rPr>
          <w:rFonts w:ascii="Cambria" w:hAnsi="Cambria" w:cs="Calibri"/>
          <w:color w:themeColor="text1" w:val="000000"/>
        </w:rPr>
      </w:pPr>
      <w:r>
        <w:rPr>
          <w:rFonts w:cs="Calibri" w:ascii="Cambria" w:hAnsi="Cambria"/>
          <w:color w:themeColor="text1" w:val="000000"/>
        </w:rPr>
        <w:t xml:space="preserve">Panią/Panem ………., prowadzącą/-ym działalność gospodarczą pod firmą „…” zamieszkałą/zamieszkałym w … (wpisać tylko nazwę miasta/miejscowości), </w:t>
        <w:br/>
        <w:t xml:space="preserve">ul. ……………….. (wpisać adres), NIP ……………, REGON …………., </w:t>
      </w:r>
      <w:r>
        <w:rPr>
          <w:rFonts w:ascii="Cambria" w:hAnsi="Cambria"/>
          <w:i/>
          <w:iCs/>
          <w:color w:themeColor="text1" w:val="000000"/>
        </w:rPr>
        <w:t>,</w:t>
      </w:r>
      <w:r>
        <w:rPr>
          <w:rFonts w:cs="Calibri" w:ascii="Cambria" w:hAnsi="Cambria"/>
          <w:color w:themeColor="text1" w:val="000000"/>
        </w:rPr>
        <w:t xml:space="preserve"> zwaną/-ym dalej „Wykonawcą”, reprezentowaną/-ym przez … działającą/-ego na podstawie pełnomocnictwa, stanowiącego załącznik do umowy</w:t>
      </w:r>
      <w:r>
        <w:rPr>
          <w:rStyle w:val="FootnoteReference"/>
          <w:rFonts w:cs="Calibri" w:ascii="Cambria" w:hAnsi="Cambria"/>
          <w:color w:themeColor="text1" w:val="000000"/>
        </w:rPr>
        <w:footnoteReference w:id="4"/>
      </w:r>
      <w:r>
        <w:rPr>
          <w:rFonts w:cs="Calibri" w:ascii="Cambria" w:hAnsi="Cambria"/>
          <w:color w:themeColor="text1" w:val="000000"/>
        </w:rPr>
        <w:t xml:space="preserve">, </w:t>
      </w:r>
    </w:p>
    <w:p>
      <w:pPr>
        <w:pStyle w:val="Default"/>
        <w:spacing w:lineRule="auto" w:line="276"/>
        <w:jc w:val="both"/>
        <w:rPr>
          <w:rFonts w:ascii="Cambria" w:hAnsi="Cambria" w:cs="Calibri"/>
          <w:color w:themeColor="text1" w:val="000000"/>
        </w:rPr>
      </w:pPr>
      <w:r>
        <w:rPr>
          <w:rFonts w:cs="Calibri" w:ascii="Cambria" w:hAnsi="Cambria"/>
          <w:color w:themeColor="text1" w:val="000000"/>
        </w:rPr>
        <w:t>wspólnie zwanymi dalej „Stronami”.</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1</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Podstawa prawna zawarcia umowy</w:t>
      </w:r>
    </w:p>
    <w:p>
      <w:pPr>
        <w:pStyle w:val="ListParagraph"/>
        <w:numPr>
          <w:ilvl w:val="0"/>
          <w:numId w:val="3"/>
        </w:numPr>
        <w:spacing w:lineRule="auto" w:line="276" w:before="0" w:after="0"/>
        <w:contextualSpacing/>
        <w:jc w:val="both"/>
        <w:rPr>
          <w:rFonts w:ascii="Cambria" w:hAnsi="Cambria" w:cs="Calibri"/>
          <w:b/>
          <w:bCs/>
        </w:rPr>
      </w:pPr>
      <w:bookmarkStart w:id="0" w:name="_Hlk169469199"/>
      <w:r>
        <w:rPr>
          <w:rFonts w:ascii="Cambria" w:hAnsi="Cambria"/>
          <w:color w:themeColor="text1" w:val="000000"/>
        </w:rPr>
        <w:t xml:space="preserve">Podstawą zawarcia niniejszej Umowy jest wybór najkorzystniejszej oferty </w:t>
        <w:br/>
        <w:t xml:space="preserve">w przeprowadzonym postępowaniu o udzielenie zamówienia publicznego pn. </w:t>
      </w:r>
      <w:bookmarkStart w:id="1" w:name="_Hlk167705494"/>
      <w:r>
        <w:rPr>
          <w:rFonts w:cs="Calibri" w:ascii="Cambria" w:hAnsi="Cambria"/>
          <w:b/>
          <w:bCs/>
          <w:i/>
          <w:iCs/>
          <w:color w:themeColor="text1" w:val="000000"/>
        </w:rPr>
        <w:t>D</w:t>
      </w:r>
      <w:bookmarkEnd w:id="1"/>
      <w:r>
        <w:rPr>
          <w:rFonts w:cs="Calibri" w:ascii="Cambria" w:hAnsi="Cambria"/>
          <w:b/>
          <w:bCs/>
          <w:i/>
          <w:iCs/>
          <w:color w:themeColor="text1" w:val="000000"/>
        </w:rPr>
        <w:t xml:space="preserve">ostawa urządzeń i oprogramowania wraz z wdrożeniem w ramach projektu Cyberbezpieczny Samorząd. </w:t>
      </w:r>
    </w:p>
    <w:p>
      <w:pPr>
        <w:pStyle w:val="ListParagraph"/>
        <w:numPr>
          <w:ilvl w:val="0"/>
          <w:numId w:val="3"/>
        </w:numPr>
        <w:spacing w:lineRule="auto" w:line="276" w:before="0" w:after="0"/>
        <w:contextualSpacing/>
        <w:jc w:val="both"/>
        <w:rPr>
          <w:rFonts w:ascii="Cambria" w:hAnsi="Cambria"/>
          <w:b/>
          <w:bCs/>
          <w:color w:themeColor="text1" w:val="000000"/>
        </w:rPr>
      </w:pPr>
      <w:r>
        <w:rPr>
          <w:rFonts w:ascii="Cambria" w:hAnsi="Cambria"/>
          <w:color w:themeColor="text1" w:val="000000"/>
        </w:rPr>
        <w:t>Postępowanie, o którym mowa w ust. 1 prowadzono w trybie podstawowym, o którym mowa w art. 275 pkt. 1 ustawy z dnia 11 września 2019 roku Prawo zamówień publicznych (t. j. Dz. U. z 2026 r., poz. 793), zwanej dalej „Ustawą”.</w:t>
      </w:r>
      <w:bookmarkEnd w:id="0"/>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2</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Przedmiot Umowy</w:t>
      </w:r>
    </w:p>
    <w:p>
      <w:pPr>
        <w:pStyle w:val="ListParagraph"/>
        <w:numPr>
          <w:ilvl w:val="0"/>
          <w:numId w:val="1"/>
        </w:numPr>
        <w:spacing w:lineRule="auto" w:line="276" w:before="0" w:after="0"/>
        <w:contextualSpacing/>
        <w:jc w:val="both"/>
        <w:rPr>
          <w:rFonts w:ascii="Cambria" w:hAnsi="Cambria"/>
          <w:color w:themeColor="text1" w:val="000000"/>
        </w:rPr>
      </w:pPr>
      <w:r>
        <w:rPr>
          <w:rFonts w:ascii="Cambria" w:hAnsi="Cambria"/>
          <w:color w:themeColor="text1" w:val="000000"/>
        </w:rPr>
        <w:t xml:space="preserve">Przedmiotem Umowy jest </w:t>
      </w:r>
      <w:r>
        <w:rPr>
          <w:rFonts w:ascii="Aptos Display" w:hAnsi="Aptos Display" w:asciiTheme="majorHAnsi" w:hAnsiTheme="majorHAnsi"/>
          <w:b/>
          <w:bCs/>
          <w:i/>
          <w:iCs/>
          <w:color w:themeColor="text1" w:val="000000"/>
        </w:rPr>
        <w:t xml:space="preserve">dostawę urządzeń i oprogramowania zwiększającego odporność na cyberataki wraz z montażem (instalacją), konfiguracją i wdrożeniem. </w:t>
      </w:r>
    </w:p>
    <w:p>
      <w:pPr>
        <w:pStyle w:val="ListParagraph"/>
        <w:numPr>
          <w:ilvl w:val="0"/>
          <w:numId w:val="1"/>
        </w:numPr>
        <w:spacing w:lineRule="auto" w:line="276" w:before="0" w:after="0"/>
        <w:contextualSpacing/>
        <w:rPr>
          <w:rFonts w:ascii="Cambria" w:hAnsi="Cambria"/>
          <w:color w:themeColor="text1" w:val="000000"/>
        </w:rPr>
      </w:pPr>
      <w:r>
        <w:rPr>
          <w:rFonts w:ascii="Cambria" w:hAnsi="Cambria"/>
          <w:color w:themeColor="text1" w:val="000000"/>
        </w:rPr>
        <w:t>Zakres przedmiotu Umowy obejmuje:</w:t>
      </w:r>
    </w:p>
    <w:p>
      <w:pPr>
        <w:pStyle w:val="Normal"/>
        <w:widowControl w:val="false"/>
        <w:numPr>
          <w:ilvl w:val="0"/>
          <w:numId w:val="0"/>
        </w:numPr>
        <w:spacing w:lineRule="auto" w:line="276"/>
        <w:ind w:hanging="0" w:start="567"/>
        <w:jc w:val="both"/>
        <w:outlineLvl w:val="3"/>
        <w:rPr>
          <w:rFonts w:ascii="Aptos Display" w:hAnsi="Aptos Display" w:asciiTheme="majorHAnsi" w:hAnsiTheme="majorHAnsi"/>
          <w:b w:val="false"/>
          <w:bCs w:val="false"/>
          <w:color w:val="000000"/>
        </w:rPr>
      </w:pPr>
      <w:r>
        <w:rPr>
          <w:rFonts w:ascii="Aptos Display" w:hAnsi="Aptos Display" w:asciiTheme="majorHAnsi" w:hAnsiTheme="majorHAnsi"/>
          <w:b w:val="false"/>
          <w:bCs w:val="false"/>
          <w:color w:val="000000"/>
        </w:rPr>
        <w:t>A. W zakresie kosztów kwalifikowalnych:</w:t>
      </w:r>
    </w:p>
    <w:p>
      <w:pPr>
        <w:pStyle w:val="Normal"/>
        <w:widowControl w:val="false"/>
        <w:numPr>
          <w:ilvl w:val="0"/>
          <w:numId w:val="0"/>
        </w:numPr>
        <w:spacing w:lineRule="auto" w:line="276"/>
        <w:ind w:hanging="0" w:start="993"/>
        <w:jc w:val="both"/>
        <w:outlineLvl w:val="3"/>
        <w:rPr>
          <w:rFonts w:ascii="Aptos Display" w:hAnsi="Aptos Display" w:asciiTheme="majorHAnsi" w:hAnsiTheme="majorHAnsi"/>
          <w:b w:val="false"/>
          <w:bCs w:val="false"/>
          <w:color w:val="000000"/>
        </w:rPr>
      </w:pPr>
      <w:r>
        <w:rPr>
          <w:rFonts w:ascii="Aptos Display" w:hAnsi="Aptos Display" w:asciiTheme="majorHAnsi" w:hAnsiTheme="majorHAnsi"/>
          <w:b w:val="false"/>
          <w:bCs w:val="false"/>
          <w:color w:val="000000"/>
        </w:rPr>
        <w:t>1. urządzenie do ochrony sieci UTM – 1 szt.</w:t>
      </w:r>
    </w:p>
    <w:p>
      <w:pPr>
        <w:pStyle w:val="Normal"/>
        <w:widowControl w:val="false"/>
        <w:numPr>
          <w:ilvl w:val="0"/>
          <w:numId w:val="0"/>
        </w:numPr>
        <w:spacing w:lineRule="auto" w:line="276"/>
        <w:ind w:hanging="0" w:start="993"/>
        <w:jc w:val="both"/>
        <w:outlineLvl w:val="3"/>
        <w:rPr>
          <w:rFonts w:ascii="Aptos Display" w:hAnsi="Aptos Display" w:asciiTheme="majorHAnsi" w:hAnsiTheme="majorHAnsi"/>
          <w:b w:val="false"/>
          <w:bCs w:val="false"/>
          <w:color w:val="000000"/>
        </w:rPr>
      </w:pPr>
      <w:r>
        <w:rPr>
          <w:rFonts w:ascii="Aptos Display" w:hAnsi="Aptos Display" w:asciiTheme="majorHAnsi" w:hAnsiTheme="majorHAnsi"/>
          <w:b w:val="false"/>
          <w:bCs w:val="false"/>
          <w:color w:val="000000"/>
        </w:rPr>
        <w:t>2. serwer – 2 szt.</w:t>
      </w:r>
    </w:p>
    <w:p>
      <w:pPr>
        <w:pStyle w:val="Normal"/>
        <w:widowControl w:val="false"/>
        <w:numPr>
          <w:ilvl w:val="0"/>
          <w:numId w:val="0"/>
        </w:numPr>
        <w:spacing w:lineRule="auto" w:line="276"/>
        <w:ind w:hanging="0" w:start="993"/>
        <w:jc w:val="both"/>
        <w:outlineLvl w:val="3"/>
        <w:rPr>
          <w:rFonts w:ascii="Aptos Display" w:hAnsi="Aptos Display" w:asciiTheme="majorHAnsi" w:hAnsiTheme="majorHAnsi"/>
          <w:b w:val="false"/>
          <w:bCs w:val="false"/>
          <w:color w:val="000000"/>
        </w:rPr>
      </w:pPr>
      <w:r>
        <w:rPr>
          <w:rFonts w:ascii="Aptos Display" w:hAnsi="Aptos Display" w:asciiTheme="majorHAnsi" w:hAnsiTheme="majorHAnsi"/>
          <w:b w:val="false"/>
          <w:bCs w:val="false"/>
          <w:color w:val="000000"/>
        </w:rPr>
        <w:t xml:space="preserve">3. urządzenie NAS – 2 szt. </w:t>
      </w:r>
    </w:p>
    <w:p>
      <w:pPr>
        <w:pStyle w:val="Normal"/>
        <w:widowControl w:val="false"/>
        <w:numPr>
          <w:ilvl w:val="0"/>
          <w:numId w:val="0"/>
        </w:numPr>
        <w:spacing w:lineRule="auto" w:line="276"/>
        <w:ind w:hanging="0" w:start="567"/>
        <w:jc w:val="both"/>
        <w:outlineLvl w:val="3"/>
        <w:rPr>
          <w:rFonts w:ascii="Aptos Display" w:hAnsi="Aptos Display" w:asciiTheme="majorHAnsi" w:hAnsiTheme="majorHAnsi"/>
          <w:b w:val="false"/>
          <w:bCs w:val="false"/>
          <w:color w:val="000000"/>
        </w:rPr>
      </w:pPr>
      <w:r>
        <w:rPr>
          <w:rFonts w:ascii="Aptos Display" w:hAnsi="Aptos Display" w:asciiTheme="majorHAnsi" w:hAnsiTheme="majorHAnsi"/>
          <w:b w:val="false"/>
          <w:bCs w:val="false"/>
          <w:color w:val="000000"/>
        </w:rPr>
        <w:t>B. W zakresie kosztów niekwalifikowalnych:</w:t>
      </w:r>
    </w:p>
    <w:p>
      <w:pPr>
        <w:pStyle w:val="Normal"/>
        <w:widowControl w:val="false"/>
        <w:numPr>
          <w:ilvl w:val="0"/>
          <w:numId w:val="0"/>
        </w:numPr>
        <w:spacing w:lineRule="auto" w:line="276"/>
        <w:ind w:hanging="0" w:start="993"/>
        <w:jc w:val="both"/>
        <w:outlineLvl w:val="3"/>
        <w:rPr>
          <w:rFonts w:ascii="Aptos Display" w:hAnsi="Aptos Display" w:asciiTheme="majorHAnsi" w:hAnsiTheme="majorHAnsi"/>
          <w:b w:val="false"/>
          <w:bCs w:val="false"/>
          <w:color w:val="000000"/>
        </w:rPr>
      </w:pPr>
      <w:r>
        <w:rPr>
          <w:rFonts w:ascii="Aptos Display" w:hAnsi="Aptos Display" w:asciiTheme="majorHAnsi" w:hAnsiTheme="majorHAnsi"/>
          <w:b w:val="false"/>
          <w:bCs w:val="false"/>
          <w:color w:val="000000"/>
        </w:rPr>
        <w:t>1. zasilacz awaryjny- UPS – 1 szt.</w:t>
      </w:r>
    </w:p>
    <w:p>
      <w:pPr>
        <w:pStyle w:val="Normal"/>
        <w:widowControl w:val="false"/>
        <w:numPr>
          <w:ilvl w:val="0"/>
          <w:numId w:val="0"/>
        </w:numPr>
        <w:spacing w:lineRule="auto" w:line="276"/>
        <w:ind w:hanging="0" w:start="993"/>
        <w:jc w:val="both"/>
        <w:outlineLvl w:val="3"/>
        <w:rPr>
          <w:rFonts w:ascii="Cambria" w:hAnsi="Cambria" w:eastAsia="Arial" w:cs="Aptos Display" w:cstheme="majorHAnsi"/>
          <w:b w:val="false"/>
          <w:bCs w:val="false"/>
          <w:color w:val="000000"/>
        </w:rPr>
      </w:pPr>
      <w:r>
        <w:rPr>
          <w:rFonts w:eastAsia="Arial" w:cs="Arial" w:ascii="Cambria" w:hAnsi="Cambria"/>
          <w:b w:val="false"/>
          <w:bCs/>
          <w:color w:val="000000"/>
        </w:rPr>
        <w:t>2. o</w:t>
      </w:r>
      <w:bookmarkStart w:id="2" w:name="_Hlk169779521"/>
      <w:r>
        <w:rPr>
          <w:rFonts w:eastAsia="Arial" w:cs="Arial" w:ascii="Cambria" w:hAnsi="Cambria"/>
          <w:b w:val="false"/>
          <w:bCs/>
          <w:color w:val="000000"/>
        </w:rPr>
        <w:t>programowanie antywirusowe – 20 licencji dla stacji roboczych i 3 licencje dla serwerów z subskrypcją do 24 miesięcy od dnia podpisania protokołu odbioru.</w:t>
      </w:r>
      <w:bookmarkEnd w:id="2"/>
    </w:p>
    <w:p>
      <w:pPr>
        <w:pStyle w:val="ListParagraph"/>
        <w:spacing w:lineRule="auto" w:line="276" w:before="0" w:after="0"/>
        <w:ind w:start="360"/>
        <w:contextualSpacing/>
        <w:jc w:val="both"/>
        <w:rPr>
          <w:rFonts w:ascii="Cambria" w:hAnsi="Cambria"/>
          <w:color w:themeColor="text1" w:val="000000"/>
        </w:rPr>
      </w:pPr>
      <w:r>
        <w:rPr>
          <w:rFonts w:ascii="Cambria" w:hAnsi="Cambria"/>
          <w:color w:themeColor="text1" w:val="000000"/>
        </w:rPr>
        <w:t xml:space="preserve">zgodnie ze Specyfikacją Warunków Zamówienia stanowiącą Załącznik Nr 1 do Umowy (dalej: SWZ) oraz ze złożoną przez Wykonawcę ofertą stanowiącą Załącznik Nr 2 do Umowy. </w:t>
      </w:r>
    </w:p>
    <w:p>
      <w:pPr>
        <w:pStyle w:val="ListParagraph"/>
        <w:numPr>
          <w:ilvl w:val="0"/>
          <w:numId w:val="1"/>
        </w:numPr>
        <w:spacing w:lineRule="auto" w:line="276" w:before="0" w:after="0"/>
        <w:contextualSpacing/>
        <w:jc w:val="both"/>
        <w:rPr>
          <w:rFonts w:ascii="Cambria" w:hAnsi="Cambria"/>
          <w:color w:themeColor="text1" w:val="000000"/>
        </w:rPr>
      </w:pPr>
      <w:r>
        <w:rPr>
          <w:rFonts w:ascii="Cambria" w:hAnsi="Cambria"/>
          <w:color w:themeColor="text1" w:val="000000"/>
        </w:rPr>
        <w:t xml:space="preserve">Dostarczany sprzęt i oprogramowanie muszą być fabrycznie nowe, nieużywane, nieuszkodzone i nieobciążone prawami osób trzecich oraz muszą pochodzić </w:t>
        <w:br/>
        <w:t>z oficjalnego kanału dystrybucyjnego w UE.</w:t>
      </w:r>
      <w:bookmarkStart w:id="3" w:name="_Hlk167626685"/>
    </w:p>
    <w:p>
      <w:pPr>
        <w:pStyle w:val="ListParagraph"/>
        <w:numPr>
          <w:ilvl w:val="0"/>
          <w:numId w:val="1"/>
        </w:numPr>
        <w:spacing w:lineRule="auto" w:line="276" w:before="0" w:after="0"/>
        <w:contextualSpacing/>
        <w:jc w:val="both"/>
        <w:rPr>
          <w:rFonts w:ascii="Cambria" w:hAnsi="Cambria"/>
          <w:color w:themeColor="text1" w:val="000000"/>
        </w:rPr>
      </w:pPr>
      <w:r>
        <w:rPr>
          <w:rFonts w:ascii="Cambria" w:hAnsi="Cambria"/>
        </w:rPr>
        <w:t>Wykonawca zapewni takie opakowanie sprzętu jakie jest wymagane, żeby nie dopuścić do jego uszkodzenia lub pogorszenia jego jakości w trakcie transportu do miejsca dostawy.</w:t>
      </w:r>
    </w:p>
    <w:p>
      <w:pPr>
        <w:pStyle w:val="ListParagraph"/>
        <w:numPr>
          <w:ilvl w:val="0"/>
          <w:numId w:val="1"/>
        </w:numPr>
        <w:spacing w:lineRule="auto" w:line="276" w:before="0" w:after="0"/>
        <w:contextualSpacing/>
        <w:jc w:val="both"/>
        <w:rPr>
          <w:rFonts w:ascii="Cambria" w:hAnsi="Cambria"/>
          <w:color w:themeColor="text1" w:val="000000"/>
        </w:rPr>
      </w:pPr>
      <w:r>
        <w:rPr>
          <w:rFonts w:ascii="Cambria" w:hAnsi="Cambria"/>
        </w:rPr>
        <w:t>Sprzęt będzie oznaczony zgodnie z obowiązującymi przepisami, a w szczególności znakami bezpieczeństwa.</w:t>
      </w:r>
    </w:p>
    <w:p>
      <w:pPr>
        <w:pStyle w:val="ListParagraph"/>
        <w:numPr>
          <w:ilvl w:val="0"/>
          <w:numId w:val="1"/>
        </w:numPr>
        <w:spacing w:lineRule="auto" w:line="276" w:before="0" w:after="0"/>
        <w:contextualSpacing/>
        <w:jc w:val="both"/>
        <w:rPr>
          <w:rFonts w:ascii="Cambria" w:hAnsi="Cambria"/>
          <w:color w:themeColor="text1" w:val="000000"/>
        </w:rPr>
      </w:pPr>
      <w:r>
        <w:rPr>
          <w:rFonts w:ascii="Cambria" w:hAnsi="Cambria"/>
        </w:rPr>
        <w:t>Wykonawca wyda Zamawiającemu instrukcje obsługi sprzętu lub – jeśli są one udostępniane przez producenta w formie elektronicznej – przekaże adresy WWW, pod którymi można je pobrać.</w:t>
      </w:r>
    </w:p>
    <w:p>
      <w:pPr>
        <w:pStyle w:val="ListParagraph"/>
        <w:numPr>
          <w:ilvl w:val="0"/>
          <w:numId w:val="1"/>
        </w:numPr>
        <w:spacing w:lineRule="auto" w:line="276" w:before="0" w:after="0"/>
        <w:contextualSpacing/>
        <w:jc w:val="both"/>
        <w:rPr>
          <w:rFonts w:ascii="Cambria" w:hAnsi="Cambria"/>
          <w:color w:themeColor="text1" w:val="000000"/>
        </w:rPr>
      </w:pPr>
      <w:r>
        <w:rPr>
          <w:rFonts w:ascii="Cambria" w:hAnsi="Cambria"/>
        </w:rPr>
        <w:t>Dla oprogramowania Wykonawca zobowiązany jest do udzielenia niewyłącznej licencji Zamawiającemu lub przeniesienia niewyłącznego uprawnienia licencyjnego zgodnego z zasadami licencjonowania określonymi przez producenta.</w:t>
      </w:r>
      <w:bookmarkEnd w:id="3"/>
    </w:p>
    <w:p>
      <w:pPr>
        <w:pStyle w:val="ListParagraph"/>
        <w:numPr>
          <w:ilvl w:val="0"/>
          <w:numId w:val="1"/>
        </w:numPr>
        <w:spacing w:lineRule="auto" w:line="276" w:before="0" w:after="0"/>
        <w:contextualSpacing/>
        <w:jc w:val="both"/>
        <w:rPr>
          <w:b w:val="false"/>
          <w:bCs w:val="false"/>
        </w:rPr>
      </w:pPr>
      <w:r>
        <w:rPr>
          <w:rFonts w:ascii="Cambria" w:hAnsi="Cambria"/>
          <w:b w:val="false"/>
          <w:bCs w:val="false"/>
        </w:rPr>
        <w:t>Dostawy będące przedmiotem Umowy są częścią projektu „</w:t>
      </w:r>
      <w:bookmarkStart w:id="4" w:name="_Hlk167705494_kopia_1"/>
      <w:r>
        <w:rPr>
          <w:rFonts w:ascii="Cambria" w:hAnsi="Cambria"/>
          <w:b w:val="false"/>
          <w:bCs w:val="false"/>
        </w:rPr>
        <w:t>D</w:t>
      </w:r>
      <w:bookmarkEnd w:id="4"/>
      <w:r>
        <w:rPr>
          <w:rFonts w:ascii="Cambria" w:hAnsi="Cambria"/>
          <w:b w:val="false"/>
          <w:bCs w:val="false"/>
        </w:rPr>
        <w:t xml:space="preserve">ostawa urządzeń i oprogramowania wraz z wdrożeniem w ramach projektu Cyberbezpieczny Samorząd” i są współfinansowane ze środków </w:t>
      </w:r>
      <w:r>
        <w:rPr>
          <w:rFonts w:cs="Helvetica" w:ascii="Times New Roman" w:hAnsi="Times New Roman"/>
          <w:b w:val="false"/>
          <w:bCs w:val="false"/>
          <w:color w:themeColor="text1" w:val="000000"/>
          <w:sz w:val="24"/>
          <w:szCs w:val="24"/>
          <w:lang w:eastAsia="pl-PL"/>
        </w:rPr>
        <w:t>projektu grantowego „Cyberbezpieczny Samorząd” finansowanego z Funduszy Europejskich na Rozwój cyfrowy 2021-2027 (FERC), Priorytet II: Zawansowane usługi cyfrowe, Działanie 2.2 – Wzmocnienie krajowego systemu cyberbezpieczeństwa.</w:t>
      </w:r>
    </w:p>
    <w:p>
      <w:pPr>
        <w:pStyle w:val="ListParagraph"/>
        <w:spacing w:lineRule="auto" w:line="276" w:before="0" w:after="0"/>
        <w:ind w:start="360"/>
        <w:contextualSpacing/>
        <w:jc w:val="both"/>
        <w:rPr>
          <w:rFonts w:ascii="Cambria" w:hAnsi="Cambria"/>
          <w:color w:themeColor="text1" w:val="000000"/>
          <w:sz w:val="10"/>
          <w:szCs w:val="10"/>
        </w:rPr>
      </w:pPr>
      <w:r>
        <w:rPr>
          <w:rFonts w:ascii="Cambria" w:hAnsi="Cambria"/>
          <w:color w:themeColor="text1" w:val="000000"/>
          <w:sz w:val="10"/>
          <w:szCs w:val="10"/>
        </w:rPr>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xml:space="preserve">§ 3 </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Termin wykonania</w:t>
      </w:r>
    </w:p>
    <w:p>
      <w:pPr>
        <w:pStyle w:val="Normal"/>
        <w:spacing w:lineRule="auto" w:line="276" w:before="0" w:after="0"/>
        <w:contextualSpacing/>
        <w:rPr>
          <w:rFonts w:ascii="Cambria" w:hAnsi="Cambria" w:cs="Arial"/>
          <w:b/>
          <w:bCs/>
          <w:color w:val="000000"/>
        </w:rPr>
      </w:pPr>
      <w:r>
        <w:rPr>
          <w:rFonts w:ascii="Cambria" w:hAnsi="Cambria"/>
          <w:color w:themeColor="text1" w:val="000000"/>
        </w:rPr>
        <w:t xml:space="preserve">Wykonawca zrealizuje Umowę w terminie </w:t>
      </w:r>
      <w:r>
        <w:rPr>
          <w:rFonts w:ascii="Cambria" w:hAnsi="Cambria"/>
          <w:b/>
          <w:bCs/>
          <w:color w:themeColor="text1" w:val="000000"/>
        </w:rPr>
        <w:t xml:space="preserve">do 20 dni od dnia </w:t>
      </w:r>
      <w:r>
        <w:rPr>
          <w:rFonts w:ascii="Cambria" w:hAnsi="Cambria"/>
          <w:b/>
          <w:bCs/>
        </w:rPr>
        <w:t>podpisania umowy</w:t>
      </w:r>
      <w:r>
        <w:rPr>
          <w:rFonts w:cs="Arial" w:ascii="Cambria" w:hAnsi="Cambria"/>
          <w:b/>
          <w:bCs/>
          <w:color w:val="000000"/>
        </w:rPr>
        <w:t>.</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xml:space="preserve">§ 4 </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Obowiązki Stron</w:t>
      </w:r>
    </w:p>
    <w:p>
      <w:pPr>
        <w:pStyle w:val="ListParagraph"/>
        <w:numPr>
          <w:ilvl w:val="0"/>
          <w:numId w:val="4"/>
        </w:numPr>
        <w:spacing w:lineRule="auto" w:line="276" w:before="0" w:after="0"/>
        <w:contextualSpacing/>
        <w:jc w:val="both"/>
        <w:rPr>
          <w:rFonts w:ascii="Cambria" w:hAnsi="Cambria"/>
          <w:color w:themeColor="text1" w:val="000000"/>
        </w:rPr>
      </w:pPr>
      <w:r>
        <w:rPr>
          <w:rFonts w:ascii="Cambria" w:hAnsi="Cambria"/>
          <w:color w:themeColor="text1" w:val="000000"/>
        </w:rPr>
        <w:t>Zamawiający jest zobowiązany do współdziałania z Wykonawcą w granicach określonych prawem oraz Umową.</w:t>
      </w:r>
    </w:p>
    <w:p>
      <w:pPr>
        <w:pStyle w:val="ListParagraph"/>
        <w:numPr>
          <w:ilvl w:val="0"/>
          <w:numId w:val="4"/>
        </w:numPr>
        <w:spacing w:lineRule="auto" w:line="276" w:before="0" w:after="0"/>
        <w:contextualSpacing/>
        <w:jc w:val="both"/>
        <w:rPr>
          <w:rFonts w:ascii="Cambria" w:hAnsi="Cambria"/>
          <w:color w:themeColor="text1" w:val="000000"/>
        </w:rPr>
      </w:pPr>
      <w:r>
        <w:rPr>
          <w:rFonts w:ascii="Cambria" w:hAnsi="Cambria"/>
          <w:color w:themeColor="text1" w:val="000000"/>
        </w:rPr>
        <w:t>Wykonawca zobowiązany jest wykonać przedmiot Umowy z zachowaniem należytej staranności, przy wykorzystaniu całej posiadanej wiedzy i doświadczenia oraz zgodnie z obowiązującymi przepisami prawa w tym zakresie.</w:t>
      </w:r>
    </w:p>
    <w:p>
      <w:pPr>
        <w:pStyle w:val="ListParagraph"/>
        <w:numPr>
          <w:ilvl w:val="0"/>
          <w:numId w:val="4"/>
        </w:numPr>
        <w:spacing w:lineRule="auto" w:line="276" w:before="0" w:after="0"/>
        <w:contextualSpacing/>
        <w:jc w:val="both"/>
        <w:rPr>
          <w:rFonts w:ascii="Cambria" w:hAnsi="Cambria"/>
          <w:color w:themeColor="text1" w:val="000000"/>
        </w:rPr>
      </w:pPr>
      <w:r>
        <w:rPr>
          <w:rFonts w:ascii="Cambria" w:hAnsi="Cambria"/>
          <w:color w:themeColor="text1" w:val="000000"/>
        </w:rPr>
        <w:t xml:space="preserve">Prace instalacyjne i konfiguracyjne towarzyszące dostawom muszą być przeprowadzone przez osoby posiadające kompetencje i doświadczenie w zakresie instalacji, konfiguracji i zarządzania danym urządzeniem lub oprogramowaniem </w:t>
        <w:br/>
        <w:t>(w zakresie odpowiadającym specyfice danego przedmiotu dostawy). Zamawiający wskazuje, że prawidłowa konfiguracja urządzeń i oprogramowania jest warunkiem odbioru przedmiotu umowy.</w:t>
      </w:r>
    </w:p>
    <w:p>
      <w:pPr>
        <w:pStyle w:val="ListParagraph"/>
        <w:numPr>
          <w:ilvl w:val="0"/>
          <w:numId w:val="4"/>
        </w:numPr>
        <w:spacing w:lineRule="auto" w:line="276" w:before="0" w:after="0"/>
        <w:contextualSpacing/>
        <w:jc w:val="both"/>
        <w:rPr>
          <w:rFonts w:ascii="Cambria" w:hAnsi="Cambria"/>
          <w:color w:themeColor="text1" w:val="000000"/>
        </w:rPr>
      </w:pPr>
      <w:r>
        <w:rPr>
          <w:rFonts w:ascii="Cambria" w:hAnsi="Cambria"/>
          <w:color w:themeColor="text1" w:val="000000"/>
        </w:rPr>
        <w:t>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 szczególności do elementów umożliwiających instalację i uruchomienie zakupionego sprzętu, np. kabli połączeniowych, zasilających, elementów montażowych, baterii itp.</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xml:space="preserve">§ 5 </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Sposób realizacji przedmiotu Umowy</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Strony deklarują współpracę w celu realizacji Umowy. W szczególności Strony zobowiązane są do wzajemnego powiadamiania o ważnych okolicznościach mających lub mogących mieć wpływ na wykonanie Umowy, w tym na ewentualne opóźnienia.</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Językiem Umowy i językiem stosowanym podczas jej realizacji jest język polski. Dotyczy to także całej komunikacji między Stronami.</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Wykonawca jest uprawniony do powierzenia wykonania części przedmiotu Umowy Podwykonawcom, przy czym Wykonawca ponosi odpowiedzialność za działanie Podwykonawców jak za własne działania.</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Wykonawca zapewni takie opakowanie sprzętu jakie jest wymagane, żeby nie dopuścić do jego uszkodzenia lub pogorszenia jego jakości w trakcie transportu do miejsca dostawy.</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Sprzęt będzie oznaczony zgodnie z obowiązującymi przepisami, a w szczególności znakami bezpieczeństwa.</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Przedmiot umowy zostanie dostarczony przez Wykonawcę do siedziby Zamawiającego oraz zainstalowany i uruchomiony.</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Wykonawca wyda Zamawiającemu instrukcje obsługi sprzętu lub – jeśli są one udostępniane przez producenta w formie elektronicznej – przekaże adresy WWW, pod którymi można je pobrać.</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Po instalacji Wykonawca jest zobowiązany do odbioru wszystkich opakowań pochodzących od dostarczonego sprzętu.</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Wykonawca jest zobowiązany do sporządzenia i przekazania najpóźniej w dniu odbioru dokumentacji powykonawczej, zawierającej w szczególności wszystkie dane dostępu do urządzeń i systemów (loginy, hasła, kody PIN itp.), jeśli takie zostały wprowadzone przez Wykonawcę.</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Wykonawca zgłosi gotowość do odbioru z wyprzedzeniem co najmniej 5 dni roboczych.</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 xml:space="preserve">Odbiór przedmiotu Umowy odbędzie się w siedzibie Zamawiającego w obecności przedstawicieli obydwu Stron i polegać będzie na sprawdzeniu jego zgodności </w:t>
        <w:br/>
        <w:t>z wymaganiami SWZ, kompletności i stanu.</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 xml:space="preserve">Odbiór przedmiotu Umowy zostanie potwierdzony protokołem odbioru, podpisanym przez przedstawicieli Zamawiającego i Wykonawcy. </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wynagrodzenia. Zamawiający nie dopuszcza jednostronnych protokołów odbioru wystawionych przez Wykonawcę.</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Wykonawca oświadcza, że przedmiot Umowy zostanie wykonany w zgodzie z prawem autorskim.</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Dla oprogramowania Wykonawca zobowiązany jest do udzielenia niewyłącznej licencji Zamawiającemu lub przeniesienia na Zamawiającego niewyłącznego uprawnienia licencyjnego zgodnego z zasadami licencjonowania określonymi przez producenta.</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Licencje na oprogramowanie zostaną udzielone na okres nie krótszy niż 6 lat licząc od dnia odbioru, chyba, że w Załączniku Nr 1 do SWZ (Szczegółowy opis przedmiotu zamówienia) wskazano inaczej.</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Zamawiający zastrzega sobie możliwość weryfikacji legalności oprogramowania bezpośrednio u producenta w przypadku, jeśli poweźmie wątpliwości co do legalności jego pochodzenia.</w:t>
      </w:r>
    </w:p>
    <w:p>
      <w:pPr>
        <w:pStyle w:val="ListParagraph"/>
        <w:numPr>
          <w:ilvl w:val="0"/>
          <w:numId w:val="2"/>
        </w:numPr>
        <w:spacing w:lineRule="auto" w:line="276" w:before="0" w:after="0"/>
        <w:contextualSpacing/>
        <w:jc w:val="both"/>
        <w:rPr>
          <w:rFonts w:ascii="Cambria" w:hAnsi="Cambria"/>
          <w:color w:themeColor="text1" w:val="000000"/>
        </w:rPr>
      </w:pPr>
      <w:r>
        <w:rPr>
          <w:rFonts w:ascii="Cambria" w:hAnsi="Cambria"/>
          <w:color w:themeColor="text1" w:val="000000"/>
        </w:rPr>
        <w:t>Korzyści i ciężary związane ze sprzętem oraz niebezpieczeństwo przypadkowej utraty lub uszkodzenia sprzętu przechodzą na Zamawiającego z chwilą wydania sprzętu Zamawiającemu i po podpisaniu protokołu, o którym mowa w ust. 13. Za dzień wydania sprzętu Zamawiającemu uważa się dzień, w którym sprzęt został odebrany przez Zamawiającego zgodnie z procedurą określoną w ust. 10 i dalszych.</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6</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Wynagrodzenie</w:t>
      </w:r>
    </w:p>
    <w:p>
      <w:pPr>
        <w:pStyle w:val="ListParagraph"/>
        <w:numPr>
          <w:ilvl w:val="0"/>
          <w:numId w:val="5"/>
        </w:numPr>
        <w:spacing w:lineRule="auto" w:line="276" w:before="0" w:after="0"/>
        <w:contextualSpacing/>
        <w:jc w:val="both"/>
        <w:rPr>
          <w:rFonts w:ascii="Cambria" w:hAnsi="Cambria"/>
          <w:color w:themeColor="text1" w:val="000000"/>
        </w:rPr>
      </w:pPr>
      <w:r>
        <w:rPr>
          <w:rFonts w:ascii="Cambria" w:hAnsi="Cambria"/>
          <w:color w:themeColor="text1" w:val="000000"/>
        </w:rPr>
        <w:t>Wynagrodzenie brutto za realizację przedmiotu Umowy wynosi ……… zł (słownie: ………………………………………………….), w tym podatek VAT: ….. zł (słownie: ………………………………………………….). Wynagrodzenie jest wynagrodzeniem ryczałtowym.</w:t>
      </w:r>
    </w:p>
    <w:p>
      <w:pPr>
        <w:pStyle w:val="ListParagraph"/>
        <w:numPr>
          <w:ilvl w:val="0"/>
          <w:numId w:val="0"/>
        </w:numPr>
        <w:spacing w:lineRule="auto" w:line="276" w:before="0" w:after="0"/>
        <w:ind w:hanging="0" w:start="360"/>
        <w:contextualSpacing/>
        <w:jc w:val="both"/>
        <w:rPr>
          <w:rFonts w:ascii="Cambria" w:hAnsi="Cambria"/>
          <w:color w:themeColor="text1" w:val="000000"/>
        </w:rPr>
      </w:pPr>
      <w:r>
        <w:rPr>
          <w:rFonts w:ascii="Cambria" w:hAnsi="Cambria"/>
          <w:color w:themeColor="text1" w:val="000000"/>
        </w:rPr>
        <w:t>- w zakresie kosztów kwalifikowalnych wynosi ……… zł (słownie: ………………………………………………….), w tym podatek VAT: ….. zł (słownie: ………………………………………………….).</w:t>
      </w:r>
    </w:p>
    <w:p>
      <w:pPr>
        <w:pStyle w:val="ListParagraph"/>
        <w:numPr>
          <w:ilvl w:val="0"/>
          <w:numId w:val="0"/>
        </w:numPr>
        <w:spacing w:lineRule="auto" w:line="276" w:before="0" w:after="0"/>
        <w:ind w:hanging="0" w:start="360"/>
        <w:contextualSpacing/>
        <w:jc w:val="both"/>
        <w:rPr>
          <w:rFonts w:ascii="Cambria" w:hAnsi="Cambria"/>
          <w:color w:themeColor="text1" w:val="000000"/>
        </w:rPr>
      </w:pPr>
      <w:r>
        <w:rPr>
          <w:rFonts w:ascii="Cambria" w:hAnsi="Cambria"/>
          <w:color w:themeColor="text1" w:val="000000"/>
        </w:rPr>
        <w:t>- w zkresie kosztów nekwalifikowalnych wynosi ……… zł (słownie: ………………………………………………….), w tym podatek VAT: ….. zł (słownie: ………………………………………………….).</w:t>
      </w:r>
    </w:p>
    <w:p>
      <w:pPr>
        <w:pStyle w:val="ListParagraph"/>
        <w:numPr>
          <w:ilvl w:val="0"/>
          <w:numId w:val="5"/>
        </w:numPr>
        <w:spacing w:lineRule="auto" w:line="276" w:before="0" w:after="0"/>
        <w:contextualSpacing/>
        <w:jc w:val="both"/>
        <w:rPr>
          <w:rFonts w:ascii="Cambria" w:hAnsi="Cambria"/>
          <w:color w:themeColor="text1" w:val="000000"/>
        </w:rPr>
      </w:pPr>
      <w:r>
        <w:rPr>
          <w:rFonts w:ascii="Cambria" w:hAnsi="Cambria"/>
          <w:color w:themeColor="text1" w:val="000000"/>
        </w:rPr>
        <w:t>Strony ustalają, że podstawą do wystawienia przez Wykonawcę faktury jest należyte wykonanie obowiązków Wykonawcy wynikających z niniejszej Umowy, co musi zostać potwierdzone protokołem odbioru obejmującym cały przedmiot Umowy.</w:t>
      </w:r>
    </w:p>
    <w:p>
      <w:pPr>
        <w:pStyle w:val="ListParagraph"/>
        <w:numPr>
          <w:ilvl w:val="0"/>
          <w:numId w:val="5"/>
        </w:numPr>
        <w:spacing w:lineRule="auto" w:line="276" w:before="0" w:after="0"/>
        <w:contextualSpacing/>
        <w:jc w:val="both"/>
        <w:rPr>
          <w:rFonts w:ascii="Cambria" w:hAnsi="Cambria"/>
          <w:color w:themeColor="text1" w:val="000000"/>
        </w:rPr>
      </w:pPr>
      <w:r>
        <w:rPr>
          <w:rFonts w:ascii="Cambria" w:hAnsi="Cambria"/>
          <w:color w:themeColor="text1" w:val="000000"/>
        </w:rPr>
        <w:t xml:space="preserve">Za datę wykonania przedmiotu Umowy w całości uważa się datę podpisania przez Strony protokołu odbioru. </w:t>
      </w:r>
    </w:p>
    <w:p>
      <w:pPr>
        <w:pStyle w:val="ListParagraph"/>
        <w:numPr>
          <w:ilvl w:val="0"/>
          <w:numId w:val="5"/>
        </w:numPr>
        <w:spacing w:lineRule="auto" w:line="276" w:before="0" w:after="0"/>
        <w:contextualSpacing/>
        <w:jc w:val="both"/>
        <w:rPr>
          <w:rFonts w:ascii="Cambria" w:hAnsi="Cambria"/>
          <w:color w:themeColor="text1" w:val="000000"/>
        </w:rPr>
      </w:pPr>
      <w:r>
        <w:rPr>
          <w:rFonts w:ascii="Cambria" w:hAnsi="Cambria"/>
          <w:color w:themeColor="text1" w:val="000000"/>
        </w:rPr>
        <w:t>Wynagrodzenie będzie płatne przelewem w terminie do 30 dni od daty otrzymania prawidłowo wystawionej faktury VAT wraz z załączoną kopią protokołu odbioru. Wynagrodzenie będzie płatne na rachunek Wykonawcy wskazany na fakturze.</w:t>
      </w:r>
    </w:p>
    <w:p>
      <w:pPr>
        <w:pStyle w:val="ListParagraph"/>
        <w:numPr>
          <w:ilvl w:val="0"/>
          <w:numId w:val="5"/>
        </w:numPr>
        <w:spacing w:lineRule="auto" w:line="276" w:before="0" w:after="0"/>
        <w:contextualSpacing/>
        <w:jc w:val="both"/>
        <w:rPr>
          <w:rFonts w:ascii="Cambria" w:hAnsi="Cambria"/>
          <w:color w:themeColor="text1" w:val="000000"/>
        </w:rPr>
      </w:pPr>
      <w:r>
        <w:rPr>
          <w:rFonts w:ascii="Cambria" w:hAnsi="Cambria"/>
          <w:color w:themeColor="text1" w:val="000000"/>
        </w:rPr>
        <w:t>Za datę zapłaty Strony ustalają dzień obciążenia rachunku Zamawiającego.</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xml:space="preserve">§ 7 </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Gwarancja i rękojmia</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 xml:space="preserve">Wykonawca oświadcza, że udziela Zamawiającemu gwarancji na przedmiot Umowy na okres 24 miesięcy z uwzględnieniem wymagań dotyczących gwarancji opisanych </w:t>
        <w:br/>
        <w:t xml:space="preserve">w SWZ, jeśli dla danego elementu zamówienia wskazano takie wymagania, </w:t>
        <w:br/>
        <w:t>z zastrzeżeniem ust. 2.</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Okres gwarancji udzielonej przez Wykonawcę biegnie od dnia podpisania protokołu odbioru przez Zamawiającego.</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 xml:space="preserve">Gwarancja udzielona przez Wykonawcę nie wyłącza uprawnień Zamawiającego </w:t>
        <w:br/>
        <w:t xml:space="preserve">z tytułu gwarancji udzielonych przez producentów sprzętu, w szczególności, jeżeli </w:t>
        <w:br/>
        <w:t xml:space="preserve">w SOPZ sformułowano warunki serwisu gwarancyjnego odnoszące się do gwarancji producenta. Warunki gwarancji udzielonej przez Wykonawcę mają pierwszeństwo przed warunkami gwarancji udzielonych przez producentów sprzętu w zakresie, </w:t>
        <w:br/>
        <w:t>w jakim warunki gwarancji przyznają Zamawiającemu silniejszą ochronę.</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Gwarancja udzielana jest w ramach wynagrodzenia.</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W okresie gwarancji Wykonawca nie może odmówić wymiany niesprawnej części na nową w przypadku, gdy jej naprawa nie gwarantuje prawidłowej pracy sprzętu, zgodnie z warunkami gwarancyjnymi.</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 xml:space="preserve">Niezależnie od udzielonej gwarancji, Wykonawca ponosi wobec Zamawiającego odpowiedzialność za wady fizyczne i prawne przedmiotu Umowy z tytułu rękojmi </w:t>
        <w:br/>
        <w:t xml:space="preserve">w terminie i na zasadach określonych w Kodeksie cywilnym. </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 xml:space="preserve">Przez wadę należy rozumieć wadę fizyczną i prawną. Wada fizyczna </w:t>
      </w:r>
      <w:bookmarkStart w:id="5" w:name="_Hlk178589670"/>
      <w:r>
        <w:rPr>
          <w:rFonts w:ascii="Cambria" w:hAnsi="Cambria"/>
          <w:color w:themeColor="text1" w:val="000000"/>
        </w:rPr>
        <w:t xml:space="preserve">oprócz znaczenia nadanego jej przepisami kodeksu cywilnego (które strony przyjmują jako wiążące) </w:t>
      </w:r>
      <w:bookmarkEnd w:id="5"/>
      <w:r>
        <w:rPr>
          <w:rFonts w:ascii="Cambria" w:hAnsi="Cambria"/>
          <w:color w:themeColor="text1" w:val="000000"/>
        </w:rPr>
        <w:t>rozumiana jest dodatkowo, jako jawne lub ukryte właściwości tkwiące w sprzęcie i oprogramowaniu stanowiących przedmiot umowy lub w jakimkolwiek ich elemencie, powodujące niemożność używania lub korzystania z przedmiotu umowy zgodnie z przeznaczeniem a także obniżenie jakości, uszkodzenia lub usterki w przedmiocie umowy. Wada prawna oprócz znaczenia nadanego jej przepisami kodeksu cywilnego (które strony przyjmują jako wiążące) rozumiana jest dodatkowo jako sytuacja w której przedmiot umowy lub jakikolwiek element przedmiotu umowy nie stanowi własności Wykonawcy albo jeżeli jest obciążony prawem osoby trzeciej a także inne wady prawne.</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Zgłoszenie awarii lub wady następuje telefonicznie/e-mailem na numer telefonu ……….…………….. / e-mail ………………………</w:t>
      </w:r>
    </w:p>
    <w:p>
      <w:pPr>
        <w:pStyle w:val="ListParagraph"/>
        <w:numPr>
          <w:ilvl w:val="0"/>
          <w:numId w:val="6"/>
        </w:numPr>
        <w:spacing w:lineRule="auto" w:line="276" w:before="0" w:after="0"/>
        <w:contextualSpacing/>
        <w:jc w:val="both"/>
        <w:rPr>
          <w:rFonts w:ascii="Cambria" w:hAnsi="Cambria"/>
          <w:color w:themeColor="text1" w:val="000000"/>
        </w:rPr>
      </w:pPr>
      <w:r>
        <w:rPr>
          <w:rFonts w:ascii="Cambria" w:hAnsi="Cambria"/>
          <w:color w:themeColor="text1" w:val="000000"/>
        </w:rPr>
        <w:t>Jeśli dla danego elementu zamówienia nie postanowiono inaczej w SWZ lub o ile Wykonawca nie zadeklarował w ofercie korzystniejszych warunków świadczenia serwisu gwarancyjnego, Wykonawca potwierdzi zgłoszenie w ciągu 2 dni roboczych, a usunie awarię lub wadę w ciągu 14 dni kalendarzowych licząc od dnia zgłoszenia, chyba że wykonawca wykaże usunięcie wady lub awarii w tym terminie nie będzie możliwe mimo zachowania należytej staranności przez wykonawcę (wówczas zamawiający wyznaczy termin usunięcia awarii lub wady nie dłuższy niż 30 dni od dnia zgłoszenia).</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8</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Kary umowne</w:t>
      </w:r>
    </w:p>
    <w:p>
      <w:pPr>
        <w:pStyle w:val="ListParagraph"/>
        <w:numPr>
          <w:ilvl w:val="0"/>
          <w:numId w:val="7"/>
        </w:numPr>
        <w:spacing w:lineRule="auto" w:line="276" w:before="0" w:after="0"/>
        <w:contextualSpacing/>
        <w:jc w:val="both"/>
        <w:rPr>
          <w:rFonts w:ascii="Cambria" w:hAnsi="Cambria"/>
          <w:color w:themeColor="text1" w:val="000000"/>
        </w:rPr>
      </w:pPr>
      <w:r>
        <w:rPr>
          <w:rFonts w:ascii="Cambria" w:hAnsi="Cambria"/>
          <w:color w:themeColor="text1" w:val="000000"/>
        </w:rPr>
        <w:t xml:space="preserve">W przypadku niewykonania lub nienależytego wykonania Umowy przez Wykonawcę Zamawiający może naliczyć karę umowną w następujących przypadkach </w:t>
        <w:br/>
        <w:t>i wysokościach:</w:t>
      </w:r>
    </w:p>
    <w:p>
      <w:pPr>
        <w:pStyle w:val="ListParagraph"/>
        <w:numPr>
          <w:ilvl w:val="1"/>
          <w:numId w:val="7"/>
        </w:numPr>
        <w:spacing w:lineRule="auto" w:line="276" w:before="0" w:after="0"/>
        <w:ind w:hanging="425" w:start="709"/>
        <w:contextualSpacing/>
        <w:jc w:val="both"/>
        <w:rPr>
          <w:rFonts w:ascii="Cambria" w:hAnsi="Cambria"/>
          <w:color w:themeColor="text1" w:val="000000"/>
        </w:rPr>
      </w:pPr>
      <w:r>
        <w:rPr>
          <w:rFonts w:ascii="Cambria" w:hAnsi="Cambria"/>
          <w:color w:themeColor="text1" w:val="000000"/>
        </w:rPr>
        <w:t>za zwłokę w wykonaniu przedmiotu Umowy w wysokości 0,5% ceny, o której mowa w § 6 ust. 1 Umowy za każdy dzień zwłoki;</w:t>
      </w:r>
    </w:p>
    <w:p>
      <w:pPr>
        <w:pStyle w:val="ListParagraph"/>
        <w:numPr>
          <w:ilvl w:val="1"/>
          <w:numId w:val="7"/>
        </w:numPr>
        <w:spacing w:lineRule="auto" w:line="276" w:before="0" w:after="0"/>
        <w:ind w:hanging="425" w:start="709"/>
        <w:contextualSpacing/>
        <w:jc w:val="both"/>
        <w:rPr>
          <w:rFonts w:ascii="Cambria" w:hAnsi="Cambria"/>
          <w:color w:themeColor="text1" w:val="000000"/>
        </w:rPr>
      </w:pPr>
      <w:r>
        <w:rPr>
          <w:rFonts w:ascii="Cambria" w:hAnsi="Cambria"/>
          <w:color w:themeColor="text1" w:val="000000"/>
        </w:rPr>
        <w:t>za zwłokę w usunięciu awarii lub wad przedmiotu Umowy w wysokości 0,1% ceny, o której mowa w § 6 ust. 1 Umowy za każdy dzień zwłoki w stosunku do terminów, o których mowa w § 7 ust. 10 Umowy;</w:t>
      </w:r>
    </w:p>
    <w:p>
      <w:pPr>
        <w:pStyle w:val="ListParagraph"/>
        <w:numPr>
          <w:ilvl w:val="1"/>
          <w:numId w:val="7"/>
        </w:numPr>
        <w:spacing w:lineRule="auto" w:line="276" w:before="0" w:after="0"/>
        <w:ind w:hanging="425" w:start="709"/>
        <w:contextualSpacing/>
        <w:jc w:val="both"/>
        <w:rPr>
          <w:rFonts w:ascii="Cambria" w:hAnsi="Cambria"/>
          <w:color w:themeColor="text1" w:val="000000"/>
        </w:rPr>
      </w:pPr>
      <w:r>
        <w:rPr>
          <w:rFonts w:ascii="Cambria" w:hAnsi="Cambria"/>
          <w:color w:themeColor="text1" w:val="000000"/>
        </w:rPr>
        <w:t>za odstąpienie od Umowy przez Zamawiającego z przyczyn leżących po stronie Wykonawcy w wysokości 20% wartości Umowy, o której mowa w § 6 ust. 1 Umowy.</w:t>
      </w:r>
    </w:p>
    <w:p>
      <w:pPr>
        <w:pStyle w:val="ListParagraph"/>
        <w:numPr>
          <w:ilvl w:val="0"/>
          <w:numId w:val="7"/>
        </w:numPr>
        <w:spacing w:lineRule="auto" w:line="276" w:before="0" w:after="0"/>
        <w:contextualSpacing/>
        <w:jc w:val="both"/>
        <w:rPr>
          <w:rFonts w:ascii="Cambria" w:hAnsi="Cambria"/>
          <w:color w:themeColor="text1" w:val="000000"/>
        </w:rPr>
      </w:pPr>
      <w:r>
        <w:rPr>
          <w:rFonts w:ascii="Cambria" w:hAnsi="Cambria"/>
          <w:color w:themeColor="text1" w:val="000000"/>
        </w:rPr>
        <w:t xml:space="preserve">Wykonawca może naliczyć karę umowną za odstąpienie od Umowy przez Wykonawcę z przyczyn leżących po stronie Zamawiającego w wysokości 20% wartości Umowy, </w:t>
        <w:br/>
        <w:t>o której mowa w § 6 ust. 1 Umowy z wyłączeniem przypadku, o jakim mowa w § 9 ust. 1 Umowy.</w:t>
      </w:r>
    </w:p>
    <w:p>
      <w:pPr>
        <w:pStyle w:val="ListParagraph"/>
        <w:numPr>
          <w:ilvl w:val="0"/>
          <w:numId w:val="7"/>
        </w:numPr>
        <w:spacing w:lineRule="auto" w:line="276" w:before="0" w:after="0"/>
        <w:contextualSpacing/>
        <w:jc w:val="both"/>
        <w:rPr>
          <w:rFonts w:ascii="Cambria" w:hAnsi="Cambria"/>
          <w:color w:themeColor="text1" w:val="000000"/>
        </w:rPr>
      </w:pPr>
      <w:r>
        <w:rPr>
          <w:rFonts w:ascii="Cambria" w:hAnsi="Cambria"/>
          <w:color w:themeColor="text1" w:val="000000"/>
        </w:rPr>
        <w:t>O nałożeniu kary umownej, jej wysokości i podstawie jej nałożenia Zamawiający będzie informował Wykonawcę pisemnie w terminie 30 dni od zaistnienia zdarzenia stanowiącego podstawę nałożenia kary.</w:t>
      </w:r>
    </w:p>
    <w:p>
      <w:pPr>
        <w:pStyle w:val="ListParagraph"/>
        <w:numPr>
          <w:ilvl w:val="0"/>
          <w:numId w:val="7"/>
        </w:numPr>
        <w:spacing w:lineRule="auto" w:line="276" w:before="0" w:after="0"/>
        <w:contextualSpacing/>
        <w:jc w:val="both"/>
        <w:rPr>
          <w:rFonts w:ascii="Cambria" w:hAnsi="Cambria"/>
          <w:color w:themeColor="text1" w:val="000000"/>
        </w:rPr>
      </w:pPr>
      <w:r>
        <w:rPr>
          <w:rFonts w:ascii="Cambria" w:hAnsi="Cambria"/>
          <w:color w:themeColor="text1" w:val="000000"/>
        </w:rPr>
        <w:t>Kary umowne liczone są od wynagrodzenia brutto należnego Wykonawcy.</w:t>
      </w:r>
    </w:p>
    <w:p>
      <w:pPr>
        <w:pStyle w:val="ListParagraph"/>
        <w:numPr>
          <w:ilvl w:val="0"/>
          <w:numId w:val="7"/>
        </w:numPr>
        <w:spacing w:lineRule="auto" w:line="276" w:before="0" w:after="0"/>
        <w:contextualSpacing/>
        <w:jc w:val="both"/>
        <w:rPr>
          <w:rFonts w:ascii="Cambria" w:hAnsi="Cambria"/>
          <w:color w:themeColor="text1" w:val="000000"/>
        </w:rPr>
      </w:pPr>
      <w:r>
        <w:rPr>
          <w:rFonts w:ascii="Cambria" w:hAnsi="Cambria"/>
          <w:color w:themeColor="text1" w:val="000000"/>
        </w:rPr>
        <w:t>Kwoty kar umownych będą płatne w terminie wskazanym w żądaniu Zamawiającego. Powyższe nie wyłącza możliwości potrącenia naliczonych kar z wynagrodzenia należnego Wykonawcy, jak również zaspokojenia roszczeń z zabezpieczenia należytego wykonania Umowy.</w:t>
      </w:r>
    </w:p>
    <w:p>
      <w:pPr>
        <w:pStyle w:val="ListParagraph"/>
        <w:numPr>
          <w:ilvl w:val="0"/>
          <w:numId w:val="7"/>
        </w:numPr>
        <w:spacing w:lineRule="auto" w:line="276" w:before="0" w:after="0"/>
        <w:contextualSpacing/>
        <w:jc w:val="both"/>
        <w:rPr>
          <w:rFonts w:ascii="Cambria" w:hAnsi="Cambria"/>
          <w:color w:themeColor="text1" w:val="000000"/>
        </w:rPr>
      </w:pPr>
      <w:r>
        <w:rPr>
          <w:rFonts w:ascii="Cambria" w:hAnsi="Cambria"/>
          <w:color w:themeColor="text1" w:val="000000"/>
        </w:rPr>
        <w:t>Łączna wysokość kar umownych, których mogą dochodzić strony, nie może przekroczyć 30% wartości Wynagrodzenia, o którym mowa w § 6 ust. 1 Umowy.</w:t>
      </w:r>
    </w:p>
    <w:p>
      <w:pPr>
        <w:pStyle w:val="ListParagraph"/>
        <w:numPr>
          <w:ilvl w:val="0"/>
          <w:numId w:val="7"/>
        </w:numPr>
        <w:spacing w:lineRule="auto" w:line="276" w:before="0" w:after="0"/>
        <w:contextualSpacing/>
        <w:jc w:val="both"/>
        <w:rPr>
          <w:rFonts w:ascii="Cambria" w:hAnsi="Cambria"/>
          <w:color w:themeColor="text1" w:val="000000"/>
        </w:rPr>
      </w:pPr>
      <w:r>
        <w:rPr>
          <w:rFonts w:ascii="Cambria" w:hAnsi="Cambria"/>
          <w:color w:themeColor="text1" w:val="000000"/>
        </w:rPr>
        <w:t xml:space="preserve">Zastrzeżone kary umowne nie wyłączają możliwości dochodzenia na zasadach ogólnych odszkodowania przewyższającą karę umowną. </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9</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Odstąpienie od Umowy</w:t>
      </w:r>
    </w:p>
    <w:p>
      <w:pPr>
        <w:pStyle w:val="ListParagraph"/>
        <w:numPr>
          <w:ilvl w:val="0"/>
          <w:numId w:val="8"/>
        </w:numPr>
        <w:spacing w:lineRule="auto" w:line="276" w:before="0" w:after="0"/>
        <w:contextualSpacing/>
        <w:jc w:val="both"/>
        <w:rPr>
          <w:rFonts w:ascii="Cambria" w:hAnsi="Cambria"/>
          <w:color w:themeColor="text1" w:val="000000"/>
        </w:rPr>
      </w:pPr>
      <w:r>
        <w:rPr>
          <w:rFonts w:ascii="Cambria" w:hAnsi="Cambria"/>
          <w:color w:themeColor="text1" w:val="000000"/>
        </w:rPr>
        <w:t xml:space="preserve">Zamawiającemu przysługuje prawo odstąpienia od Umowy w razie zaistnienia istotnej zmiany okoliczności powodującej, że wykonanie Umowy nie leży w interesie publicznym, czego nie można było przewidzieć w chwili zawarcia Umowy (zgodnie </w:t>
        <w:br/>
        <w:t>z art. 456 ust. 1 pkt 1 Ustawy).</w:t>
      </w:r>
    </w:p>
    <w:p>
      <w:pPr>
        <w:pStyle w:val="ListParagraph"/>
        <w:numPr>
          <w:ilvl w:val="0"/>
          <w:numId w:val="8"/>
        </w:numPr>
        <w:spacing w:lineRule="auto" w:line="276" w:before="0" w:after="0"/>
        <w:contextualSpacing/>
        <w:jc w:val="both"/>
        <w:rPr>
          <w:rFonts w:ascii="Cambria" w:hAnsi="Cambria"/>
          <w:color w:themeColor="text1" w:val="000000"/>
        </w:rPr>
      </w:pPr>
      <w:r>
        <w:rPr>
          <w:rFonts w:ascii="Cambria" w:hAnsi="Cambria"/>
          <w:color w:themeColor="text1" w:val="000000"/>
        </w:rPr>
        <w:t>Zamawiający może odstąpić od Umowy ze skutkiem natychmiastowym również, gdy:</w:t>
      </w:r>
    </w:p>
    <w:p>
      <w:pPr>
        <w:pStyle w:val="ListParagraph"/>
        <w:numPr>
          <w:ilvl w:val="1"/>
          <w:numId w:val="8"/>
        </w:numPr>
        <w:spacing w:lineRule="auto" w:line="276" w:before="0" w:after="0"/>
        <w:ind w:hanging="283" w:start="709"/>
        <w:contextualSpacing/>
        <w:jc w:val="both"/>
        <w:rPr>
          <w:rFonts w:ascii="Cambria" w:hAnsi="Cambria"/>
          <w:color w:themeColor="text1" w:val="000000"/>
        </w:rPr>
      </w:pPr>
      <w:r>
        <w:rPr>
          <w:rFonts w:ascii="Cambria" w:hAnsi="Cambria"/>
          <w:color w:themeColor="text1" w:val="000000"/>
        </w:rPr>
        <w:t>Wykonawca mimo pisemnego wezwania przez Zamawiającego nie wykonuje zapisów Umowy zgodnie z jej postanowieniami lub w rażący sposób zaniedbuje bądź narusza zobowiązania umowne;</w:t>
      </w:r>
    </w:p>
    <w:p>
      <w:pPr>
        <w:pStyle w:val="ListParagraph"/>
        <w:numPr>
          <w:ilvl w:val="1"/>
          <w:numId w:val="8"/>
        </w:numPr>
        <w:spacing w:lineRule="auto" w:line="276" w:before="0" w:after="0"/>
        <w:ind w:hanging="283" w:start="709"/>
        <w:contextualSpacing/>
        <w:jc w:val="both"/>
        <w:rPr>
          <w:rFonts w:ascii="Cambria" w:hAnsi="Cambria"/>
          <w:color w:themeColor="text1" w:val="000000"/>
        </w:rPr>
      </w:pPr>
      <w:r>
        <w:rPr>
          <w:rFonts w:ascii="Cambria" w:hAnsi="Cambria"/>
          <w:color w:themeColor="text1" w:val="000000"/>
        </w:rPr>
        <w:t>stwierdzenia w toku odbioru przedmiotu Umowy, że przedmiot Umowy zawiera wady i pomimo wyznaczenia terminu ich usunięcia Wykonawca ich nie poprawił lub nie przystąpił do ich usunięcia;</w:t>
      </w:r>
    </w:p>
    <w:p>
      <w:pPr>
        <w:pStyle w:val="ListParagraph"/>
        <w:numPr>
          <w:ilvl w:val="1"/>
          <w:numId w:val="8"/>
        </w:numPr>
        <w:spacing w:lineRule="auto" w:line="276" w:before="0" w:after="0"/>
        <w:ind w:hanging="283" w:start="709"/>
        <w:contextualSpacing/>
        <w:jc w:val="both"/>
        <w:rPr>
          <w:rFonts w:ascii="Cambria" w:hAnsi="Cambria"/>
          <w:color w:themeColor="text1" w:val="000000"/>
        </w:rPr>
      </w:pPr>
      <w:r>
        <w:rPr>
          <w:rFonts w:ascii="Cambria" w:hAnsi="Cambria"/>
          <w:color w:themeColor="text1" w:val="000000"/>
        </w:rPr>
        <w:t>zwłoka w realizacji przedmiotu Umowy przekracza 10 dni.</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 10</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Zmiany Umowy</w:t>
      </w:r>
    </w:p>
    <w:p>
      <w:pPr>
        <w:pStyle w:val="ListParagraph"/>
        <w:numPr>
          <w:ilvl w:val="0"/>
          <w:numId w:val="12"/>
        </w:numPr>
        <w:spacing w:lineRule="auto" w:line="276" w:before="0" w:after="0"/>
        <w:ind w:hanging="426" w:start="426"/>
        <w:contextualSpacing/>
        <w:jc w:val="both"/>
        <w:rPr>
          <w:rFonts w:ascii="Cambria" w:hAnsi="Cambria"/>
        </w:rPr>
      </w:pPr>
      <w:r>
        <w:rPr>
          <w:rFonts w:ascii="Cambria" w:hAnsi="Cambria"/>
          <w:color w:themeColor="text1" w:val="000000"/>
        </w:rPr>
        <w:t xml:space="preserve">Zamawiający przewiduje możliwość wprowadzenia do Umowy zmian w przypadku </w:t>
      </w:r>
      <w:r>
        <w:rPr>
          <w:rFonts w:ascii="Cambria" w:hAnsi="Cambria"/>
        </w:rPr>
        <w:t>zaistnienia wskazanych poniżej okoliczności:</w:t>
      </w:r>
    </w:p>
    <w:p>
      <w:pPr>
        <w:pStyle w:val="ListParagraph"/>
        <w:numPr>
          <w:ilvl w:val="1"/>
          <w:numId w:val="11"/>
        </w:numPr>
        <w:spacing w:lineRule="auto" w:line="276" w:before="0" w:after="0"/>
        <w:ind w:hanging="283" w:start="709"/>
        <w:contextualSpacing/>
        <w:jc w:val="both"/>
        <w:rPr>
          <w:rFonts w:ascii="Cambria" w:hAnsi="Cambria"/>
        </w:rPr>
      </w:pPr>
      <w:r>
        <w:rPr>
          <w:rFonts w:ascii="Cambria" w:hAnsi="Cambria"/>
        </w:rPr>
        <w:t xml:space="preserve">zmiana oferowanych przez Wykonawcę urządzeń lub Oprogramowania Wspomagającego w sytuacji, gdy producent (osoba trzecia) nie będzie mógł dostarczyć oferowanych przez Wykonawcę urządzeń lub oprogramowania w terminie wyznaczonym w Umowie z przyczyn za które wykonawca nie ponosi odpowiedzi, </w:t>
      </w:r>
    </w:p>
    <w:p>
      <w:pPr>
        <w:pStyle w:val="ListParagraph"/>
        <w:numPr>
          <w:ilvl w:val="1"/>
          <w:numId w:val="11"/>
        </w:numPr>
        <w:spacing w:lineRule="auto" w:line="276" w:before="0" w:after="0"/>
        <w:ind w:hanging="283" w:start="709"/>
        <w:contextualSpacing/>
        <w:jc w:val="both"/>
        <w:rPr>
          <w:rFonts w:ascii="Cambria" w:hAnsi="Cambria"/>
        </w:rPr>
      </w:pPr>
      <w:r>
        <w:rPr>
          <w:rFonts w:ascii="Cambria" w:hAnsi="Cambria"/>
        </w:rPr>
        <w:t>zmiana oferowanych przez Wykonawcę wersji lub modelu urządzeń lub Oprogramowania w sytuacji wprowadzenia na rynek przez Wykonawcę lub osobę trzecią nowszej wersji lub modelu (urządzenia lub oprogramowania),</w:t>
      </w:r>
    </w:p>
    <w:p>
      <w:pPr>
        <w:pStyle w:val="ListParagraph"/>
        <w:numPr>
          <w:ilvl w:val="1"/>
          <w:numId w:val="11"/>
        </w:numPr>
        <w:spacing w:lineRule="auto" w:line="276" w:before="0" w:after="0"/>
        <w:ind w:hanging="283" w:start="709"/>
        <w:contextualSpacing/>
        <w:jc w:val="both"/>
        <w:rPr>
          <w:rFonts w:ascii="Cambria" w:hAnsi="Cambria"/>
        </w:rPr>
      </w:pPr>
      <w:r>
        <w:rPr>
          <w:rFonts w:ascii="Cambria" w:hAnsi="Cambria"/>
        </w:rPr>
        <w:t>zmiana oferowanych przez Wykonawcę urządzeń lub Oprogramowania Wspomagającego w sytuacji zakończenia ich wytwarzania po terminie składania ofert,</w:t>
      </w:r>
    </w:p>
    <w:p>
      <w:pPr>
        <w:pStyle w:val="ListParagraph"/>
        <w:numPr>
          <w:ilvl w:val="1"/>
          <w:numId w:val="11"/>
        </w:numPr>
        <w:spacing w:lineRule="auto" w:line="276" w:before="0" w:after="0"/>
        <w:ind w:hanging="283" w:start="709"/>
        <w:contextualSpacing/>
        <w:jc w:val="both"/>
        <w:rPr>
          <w:rFonts w:ascii="Cambria" w:hAnsi="Cambria"/>
        </w:rPr>
      </w:pPr>
      <w:r>
        <w:rPr>
          <w:rFonts w:ascii="Cambria" w:hAnsi="Cambria"/>
        </w:rPr>
        <w:t>zmiana oferowanych przez Wykonawcę urządzeń w sytuacji wprowadzenia przez producenta zmodernizowanych urządzeń odpowiadających zaoferowanym,</w:t>
      </w:r>
    </w:p>
    <w:p>
      <w:pPr>
        <w:pStyle w:val="ListParagraph"/>
        <w:numPr>
          <w:ilvl w:val="1"/>
          <w:numId w:val="11"/>
        </w:numPr>
        <w:spacing w:lineRule="auto" w:line="276" w:before="0" w:after="0"/>
        <w:ind w:hanging="283" w:start="709"/>
        <w:contextualSpacing/>
        <w:jc w:val="both"/>
        <w:rPr>
          <w:rFonts w:ascii="Cambria" w:hAnsi="Cambria"/>
        </w:rPr>
      </w:pPr>
      <w:r>
        <w:rPr>
          <w:rFonts w:ascii="Cambria" w:hAnsi="Cambria"/>
        </w:rPr>
        <w:t>zmiana oferowanych przez Wykonawcę urządzeń lub Oprogramowania Wspomagającego w sytuacji ujawnienia się powszechnie występujących wad tychże urządzeń lub oprogramowania albo wprowadzenia embarga na przywóz sprzętu, urządzeń lub oprogramowania,</w:t>
      </w:r>
    </w:p>
    <w:p>
      <w:pPr>
        <w:pStyle w:val="ListParagraph"/>
        <w:spacing w:lineRule="auto" w:line="276" w:before="0" w:after="0"/>
        <w:ind w:start="426"/>
        <w:contextualSpacing/>
        <w:jc w:val="both"/>
        <w:rPr>
          <w:rFonts w:ascii="Cambria" w:hAnsi="Cambria"/>
        </w:rPr>
      </w:pPr>
      <w:r>
        <w:rPr>
          <w:rFonts w:ascii="Cambria" w:hAnsi="Cambria"/>
        </w:rPr>
        <w:t>- z zastrzeżeniem, że zmiany wskazane w pkt 1) - 5) nie mogą powodować zmiany terminu zakończenia realizacji Umowy ani też wysokości wynagrodzenia, ani obniżenia parametrów technicznych i jakościowych zaoferowanego przedmiotu zamówienia).</w:t>
      </w:r>
    </w:p>
    <w:p>
      <w:pPr>
        <w:pStyle w:val="ListParagraph"/>
        <w:numPr>
          <w:ilvl w:val="0"/>
          <w:numId w:val="12"/>
        </w:numPr>
        <w:spacing w:lineRule="auto" w:line="276" w:before="0" w:after="0"/>
        <w:ind w:hanging="426" w:start="426"/>
        <w:contextualSpacing/>
        <w:jc w:val="both"/>
        <w:rPr>
          <w:rFonts w:ascii="Cambria" w:hAnsi="Cambria"/>
          <w:color w:themeColor="text1" w:val="000000"/>
        </w:rPr>
      </w:pPr>
      <w:r>
        <w:rPr>
          <w:rFonts w:ascii="Cambria" w:hAnsi="Cambria"/>
          <w:color w:themeColor="text1" w:val="000000"/>
        </w:rPr>
        <w:t>Zamawiający przewiduje możliwość wprowadzenia do Umowy zmian:</w:t>
      </w:r>
    </w:p>
    <w:p>
      <w:pPr>
        <w:pStyle w:val="ListParagraph"/>
        <w:numPr>
          <w:ilvl w:val="1"/>
          <w:numId w:val="9"/>
        </w:numPr>
        <w:tabs>
          <w:tab w:val="clear" w:pos="708"/>
          <w:tab w:val="left" w:pos="709" w:leader="none"/>
        </w:tabs>
        <w:spacing w:lineRule="auto" w:line="276" w:before="0" w:after="0"/>
        <w:ind w:hanging="283" w:start="709"/>
        <w:contextualSpacing/>
        <w:jc w:val="both"/>
        <w:rPr>
          <w:rFonts w:ascii="Cambria" w:hAnsi="Cambria"/>
          <w:color w:themeColor="text1" w:val="000000"/>
        </w:rPr>
      </w:pPr>
      <w:r>
        <w:rPr>
          <w:rFonts w:ascii="Cambria" w:hAnsi="Cambria"/>
          <w:color w:themeColor="text1" w:val="000000"/>
        </w:rPr>
        <w:t>w przypadku przerwy w wykonywaniu umowy spowodowanej działaniem siły wyższej jako zdarzenia zewnętrznego, niemożliwego do przewidzenia i niemożliwego do zapobieżenia,</w:t>
      </w:r>
    </w:p>
    <w:p>
      <w:pPr>
        <w:pStyle w:val="ListParagraph"/>
        <w:numPr>
          <w:ilvl w:val="1"/>
          <w:numId w:val="9"/>
        </w:numPr>
        <w:tabs>
          <w:tab w:val="clear" w:pos="708"/>
          <w:tab w:val="left" w:pos="709" w:leader="none"/>
        </w:tabs>
        <w:spacing w:lineRule="auto" w:line="276" w:before="0" w:after="0"/>
        <w:ind w:hanging="283" w:start="709"/>
        <w:contextualSpacing/>
        <w:jc w:val="both"/>
        <w:rPr>
          <w:rFonts w:ascii="Cambria" w:hAnsi="Cambria"/>
          <w:color w:themeColor="text1" w:val="000000"/>
        </w:rPr>
      </w:pPr>
      <w:r>
        <w:rPr>
          <w:rFonts w:ascii="Cambria" w:hAnsi="Cambria"/>
          <w:color w:themeColor="text1" w:val="000000"/>
        </w:rPr>
        <w:t xml:space="preserve">w zakresie zmiany formy zabezpieczenia </w:t>
      </w:r>
      <w:r>
        <w:rPr>
          <w:rFonts w:ascii="Cambria" w:hAnsi="Cambria"/>
        </w:rPr>
        <w:t>należytego wykonania Umowy (w ramach form dopuszczonych przepisami o zamówieniach publicznych),</w:t>
      </w:r>
    </w:p>
    <w:p>
      <w:pPr>
        <w:pStyle w:val="ListParagraph"/>
        <w:numPr>
          <w:ilvl w:val="0"/>
          <w:numId w:val="12"/>
        </w:numPr>
        <w:spacing w:lineRule="auto" w:line="276" w:before="0" w:after="0"/>
        <w:ind w:hanging="426" w:start="426"/>
        <w:contextualSpacing/>
        <w:jc w:val="both"/>
        <w:rPr>
          <w:rFonts w:ascii="Cambria" w:hAnsi="Cambria"/>
          <w:color w:themeColor="text1" w:val="000000"/>
        </w:rPr>
      </w:pPr>
      <w:r>
        <w:rPr>
          <w:rFonts w:ascii="Cambria" w:hAnsi="Cambria"/>
          <w:color w:themeColor="text1" w:val="000000"/>
        </w:rPr>
        <w:t>Inicjatorem zmian może być Zamawiający lub Wykonawca poprzez pisemne wystąpienie w okresie obowiązywania Umowy zawierające opis proponowanych zmian, ich uzasadnienie oraz termin wprowadzenia.</w:t>
      </w:r>
    </w:p>
    <w:p>
      <w:pPr>
        <w:pStyle w:val="ListParagraph"/>
        <w:numPr>
          <w:ilvl w:val="0"/>
          <w:numId w:val="12"/>
        </w:numPr>
        <w:spacing w:lineRule="auto" w:line="276" w:before="0" w:after="0"/>
        <w:ind w:hanging="426" w:start="426"/>
        <w:contextualSpacing/>
        <w:jc w:val="both"/>
        <w:rPr>
          <w:rFonts w:ascii="Cambria" w:hAnsi="Cambria"/>
          <w:color w:themeColor="text1" w:val="000000"/>
        </w:rPr>
      </w:pPr>
      <w:r>
        <w:rPr>
          <w:rFonts w:ascii="Cambria" w:hAnsi="Cambria"/>
          <w:color w:themeColor="text1" w:val="000000"/>
        </w:rPr>
        <w:t>Po rozpatrzeniu wniosku o zmianę Zamawiający decyduje o udzieleniu zgody na wprowadzenie zmiany do Umowy w formie pisemnej pod rygorem nieważności w ciągu 7 dni roboczych. Zamawiający zastrzega sobie prawo niewydania zgody na zmianę Umowy.</w:t>
      </w:r>
    </w:p>
    <w:p>
      <w:pPr>
        <w:pStyle w:val="ListParagraph"/>
        <w:numPr>
          <w:ilvl w:val="0"/>
          <w:numId w:val="12"/>
        </w:numPr>
        <w:spacing w:lineRule="auto" w:line="276" w:before="0" w:after="0"/>
        <w:ind w:hanging="426" w:start="426"/>
        <w:contextualSpacing/>
        <w:jc w:val="both"/>
        <w:rPr>
          <w:rFonts w:ascii="Cambria" w:hAnsi="Cambria"/>
          <w:color w:themeColor="text1" w:val="000000"/>
        </w:rPr>
      </w:pPr>
      <w:r>
        <w:rPr>
          <w:rFonts w:ascii="Cambria" w:hAnsi="Cambria"/>
          <w:color w:themeColor="text1" w:val="000000"/>
        </w:rPr>
        <w:t>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w:t>
      </w:r>
    </w:p>
    <w:p>
      <w:pPr>
        <w:pStyle w:val="ListParagraph"/>
        <w:numPr>
          <w:ilvl w:val="0"/>
          <w:numId w:val="12"/>
        </w:numPr>
        <w:spacing w:lineRule="auto" w:line="276" w:before="0" w:after="0"/>
        <w:ind w:hanging="426" w:start="426"/>
        <w:contextualSpacing/>
        <w:jc w:val="both"/>
        <w:rPr>
          <w:rFonts w:ascii="Cambria" w:hAnsi="Cambria"/>
          <w:color w:themeColor="text1" w:val="000000"/>
        </w:rPr>
      </w:pPr>
      <w:r>
        <w:rPr>
          <w:rFonts w:ascii="Cambria" w:hAnsi="Cambria"/>
          <w:color w:themeColor="text1" w:val="000000"/>
        </w:rPr>
        <w:t>Nie stanowi zmiany Umowy zmiana danych rejestrowych lub adresowych oraz ich danych kontaktowych.</w:t>
      </w:r>
    </w:p>
    <w:p>
      <w:pPr>
        <w:pStyle w:val="Heading1"/>
        <w:spacing w:lineRule="auto" w:line="276" w:before="0" w:after="0"/>
        <w:contextualSpacing/>
        <w:rPr>
          <w:rFonts w:ascii="Cambria" w:hAnsi="Cambria"/>
          <w:color w:themeColor="text1" w:val="000000"/>
          <w:sz w:val="24"/>
          <w:szCs w:val="24"/>
        </w:rPr>
      </w:pPr>
      <w:bookmarkStart w:id="6" w:name="_Hlk161043860"/>
      <w:r>
        <w:rPr>
          <w:rFonts w:ascii="Cambria" w:hAnsi="Cambria"/>
          <w:color w:themeColor="text1" w:val="000000"/>
          <w:sz w:val="24"/>
          <w:szCs w:val="24"/>
        </w:rPr>
        <w:t>§</w:t>
      </w:r>
      <w:bookmarkEnd w:id="6"/>
      <w:r>
        <w:rPr>
          <w:rFonts w:ascii="Cambria" w:hAnsi="Cambria"/>
          <w:color w:themeColor="text1" w:val="000000"/>
          <w:sz w:val="24"/>
          <w:szCs w:val="24"/>
        </w:rPr>
        <w:t xml:space="preserve"> 11</w:t>
      </w:r>
    </w:p>
    <w:p>
      <w:pPr>
        <w:pStyle w:val="Heading1"/>
        <w:spacing w:lineRule="auto" w:line="276" w:before="0" w:after="0"/>
        <w:contextualSpacing/>
        <w:rPr>
          <w:rFonts w:ascii="Cambria" w:hAnsi="Cambria"/>
          <w:color w:themeColor="text1" w:val="000000"/>
          <w:sz w:val="24"/>
          <w:szCs w:val="24"/>
        </w:rPr>
      </w:pPr>
      <w:r>
        <w:rPr>
          <w:rFonts w:ascii="Cambria" w:hAnsi="Cambria"/>
          <w:color w:themeColor="text1" w:val="000000"/>
          <w:sz w:val="24"/>
          <w:szCs w:val="24"/>
        </w:rPr>
        <w:t>Postanowienia końcowe</w:t>
      </w:r>
    </w:p>
    <w:p>
      <w:pPr>
        <w:pStyle w:val="ListParagraph"/>
        <w:numPr>
          <w:ilvl w:val="0"/>
          <w:numId w:val="10"/>
        </w:numPr>
        <w:spacing w:lineRule="auto" w:line="276" w:before="0" w:after="0"/>
        <w:contextualSpacing/>
        <w:jc w:val="both"/>
        <w:rPr>
          <w:rFonts w:ascii="Cambria" w:hAnsi="Cambria"/>
          <w:color w:themeColor="text1" w:val="000000"/>
        </w:rPr>
      </w:pPr>
      <w:r>
        <w:rPr>
          <w:rFonts w:ascii="Cambria" w:hAnsi="Cambria"/>
          <w:color w:themeColor="text1" w:val="000000"/>
        </w:rPr>
        <w:t>Wykonawca nie ma prawa dokonywać cesji, przeniesienia bądź obciążenia swoich praw lub obowiązków wynikających z Umowy bez uprzedniej pisemnej zgody Zamawiającego, udzielonej na piśmie pod rygorem nieważności.</w:t>
      </w:r>
    </w:p>
    <w:p>
      <w:pPr>
        <w:pStyle w:val="ListParagraph"/>
        <w:numPr>
          <w:ilvl w:val="0"/>
          <w:numId w:val="10"/>
        </w:numPr>
        <w:spacing w:lineRule="auto" w:line="276" w:before="0" w:after="0"/>
        <w:contextualSpacing/>
        <w:jc w:val="both"/>
        <w:rPr>
          <w:rFonts w:ascii="Cambria" w:hAnsi="Cambria"/>
          <w:color w:themeColor="text1" w:val="000000"/>
        </w:rPr>
      </w:pPr>
      <w:r>
        <w:rPr>
          <w:rFonts w:ascii="Cambria" w:hAnsi="Cambria"/>
          <w:color w:themeColor="text1" w:val="000000"/>
        </w:rPr>
        <w:t>Umowa zawarta jest pod prawem polskim. Wszelkie spory będą poddane pod rozstrzygnięcie sądu powszechnego właściwego dla siedziby Zamawiającego.</w:t>
      </w:r>
    </w:p>
    <w:p>
      <w:pPr>
        <w:pStyle w:val="ListParagraph"/>
        <w:numPr>
          <w:ilvl w:val="0"/>
          <w:numId w:val="10"/>
        </w:numPr>
        <w:spacing w:lineRule="auto" w:line="276" w:before="0" w:after="0"/>
        <w:contextualSpacing/>
        <w:jc w:val="both"/>
        <w:rPr>
          <w:rFonts w:ascii="Cambria" w:hAnsi="Cambria"/>
          <w:color w:themeColor="text1" w:val="000000"/>
        </w:rPr>
      </w:pPr>
      <w:r>
        <w:rPr>
          <w:rFonts w:ascii="Cambria" w:hAnsi="Cambria"/>
          <w:color w:themeColor="text1" w:val="000000"/>
        </w:rPr>
        <w:t xml:space="preserve">W sprawach nieuregulowanych zastosowanie mają przepisy Ustawy, ustawy z dnia </w:t>
        <w:br/>
        <w:t xml:space="preserve">23 kwietnia 1964 r. Kodeks cywilny oraz inne mające związek z przedmiotową Umową. </w:t>
      </w:r>
    </w:p>
    <w:p>
      <w:pPr>
        <w:pStyle w:val="ListParagraph"/>
        <w:numPr>
          <w:ilvl w:val="0"/>
          <w:numId w:val="10"/>
        </w:numPr>
        <w:spacing w:lineRule="auto" w:line="276" w:before="0" w:after="0"/>
        <w:contextualSpacing/>
        <w:jc w:val="both"/>
        <w:rPr>
          <w:rFonts w:ascii="Cambria" w:hAnsi="Cambria"/>
          <w:color w:themeColor="text1" w:val="000000"/>
        </w:rPr>
      </w:pPr>
      <w:r>
        <w:rPr>
          <w:rFonts w:ascii="Cambria" w:hAnsi="Cambria"/>
          <w:color w:themeColor="text1" w:val="000000"/>
        </w:rPr>
        <w:t xml:space="preserve">Wszelkie zmiany Umowy, jej uzupełnienie lub oświadczenia z nią związane wymagają formy pisemnej pod rygorem nieważności. </w:t>
      </w:r>
    </w:p>
    <w:p>
      <w:pPr>
        <w:pStyle w:val="ListParagraph"/>
        <w:numPr>
          <w:ilvl w:val="0"/>
          <w:numId w:val="10"/>
        </w:numPr>
        <w:spacing w:lineRule="auto" w:line="276" w:before="0" w:after="0"/>
        <w:contextualSpacing/>
        <w:jc w:val="both"/>
        <w:rPr>
          <w:rFonts w:ascii="Cambria" w:hAnsi="Cambria"/>
          <w:color w:themeColor="text1" w:val="000000"/>
        </w:rPr>
      </w:pPr>
      <w:r>
        <w:rPr>
          <w:rFonts w:ascii="Cambria" w:hAnsi="Cambria"/>
          <w:color w:themeColor="text1" w:val="000000"/>
        </w:rPr>
        <w:t>W przypadku utraty przez Zamawiającego przyznanego dofinansowania, o którym mowa w § 2 ust. 3 z udokumentowanej winy Wykonawcy, Zamawiający może się domagać od Wykonawcy zwrotu utraconego dofinansowania.</w:t>
      </w:r>
    </w:p>
    <w:p>
      <w:pPr>
        <w:pStyle w:val="ListParagraph"/>
        <w:numPr>
          <w:ilvl w:val="0"/>
          <w:numId w:val="10"/>
        </w:numPr>
        <w:spacing w:lineRule="auto" w:line="276" w:before="0" w:after="0"/>
        <w:contextualSpacing/>
        <w:jc w:val="both"/>
        <w:rPr>
          <w:rFonts w:ascii="Cambria" w:hAnsi="Cambria"/>
          <w:color w:themeColor="text1" w:val="000000"/>
        </w:rPr>
      </w:pPr>
      <w:r>
        <w:rPr>
          <w:rFonts w:ascii="Cambria" w:hAnsi="Cambria"/>
          <w:color w:themeColor="text1" w:val="000000"/>
        </w:rPr>
        <w:t>Umowę sporządzono w trzech jednobrzmiących egzemplarzach, jeden dla Wykonawcy, a dwa dla Zamawiającego.</w:t>
      </w:r>
    </w:p>
    <w:p>
      <w:pPr>
        <w:pStyle w:val="ListParagraph"/>
        <w:numPr>
          <w:ilvl w:val="0"/>
          <w:numId w:val="10"/>
        </w:numPr>
        <w:spacing w:lineRule="auto" w:line="276" w:before="0" w:after="0"/>
        <w:contextualSpacing/>
        <w:jc w:val="both"/>
        <w:rPr>
          <w:rFonts w:ascii="Cambria" w:hAnsi="Cambria"/>
          <w:color w:themeColor="text1" w:val="000000"/>
        </w:rPr>
      </w:pPr>
      <w:r>
        <w:rPr>
          <w:rFonts w:ascii="Cambria" w:hAnsi="Cambria"/>
          <w:color w:themeColor="text1" w:val="000000"/>
        </w:rPr>
        <w:t>Integralną część Umowy stanowią następujące załączniki:</w:t>
      </w:r>
    </w:p>
    <w:p>
      <w:pPr>
        <w:pStyle w:val="ListParagraph"/>
        <w:numPr>
          <w:ilvl w:val="1"/>
          <w:numId w:val="10"/>
        </w:numPr>
        <w:tabs>
          <w:tab w:val="clear" w:pos="708"/>
          <w:tab w:val="left" w:pos="426" w:leader="none"/>
        </w:tabs>
        <w:spacing w:lineRule="auto" w:line="276" w:before="0" w:after="0"/>
        <w:ind w:hanging="425" w:start="851"/>
        <w:contextualSpacing/>
        <w:rPr>
          <w:rFonts w:ascii="Cambria" w:hAnsi="Cambria"/>
          <w:color w:themeColor="text1" w:val="000000"/>
        </w:rPr>
      </w:pPr>
      <w:r>
        <w:rPr>
          <w:rFonts w:ascii="Cambria" w:hAnsi="Cambria"/>
          <w:color w:themeColor="text1" w:val="000000"/>
        </w:rPr>
        <w:t xml:space="preserve">Specyfikacja Warunków Zamówienia. </w:t>
      </w:r>
    </w:p>
    <w:p>
      <w:pPr>
        <w:pStyle w:val="ListParagraph"/>
        <w:numPr>
          <w:ilvl w:val="1"/>
          <w:numId w:val="10"/>
        </w:numPr>
        <w:tabs>
          <w:tab w:val="clear" w:pos="708"/>
          <w:tab w:val="left" w:pos="426" w:leader="none"/>
        </w:tabs>
        <w:spacing w:lineRule="auto" w:line="276" w:before="0" w:after="0"/>
        <w:ind w:hanging="425" w:start="851"/>
        <w:contextualSpacing/>
        <w:rPr>
          <w:rFonts w:ascii="Cambria" w:hAnsi="Cambria"/>
          <w:color w:themeColor="text1" w:val="000000"/>
        </w:rPr>
      </w:pPr>
      <w:r>
        <w:rPr>
          <w:rFonts w:ascii="Cambria" w:hAnsi="Cambria"/>
          <w:color w:themeColor="text1" w:val="000000"/>
        </w:rPr>
        <w:t>Oferta Wykonawcy.</w:t>
      </w:r>
    </w:p>
    <w:p>
      <w:pPr>
        <w:pStyle w:val="Normal"/>
        <w:spacing w:lineRule="auto" w:line="276" w:before="0" w:after="0"/>
        <w:contextualSpacing/>
        <w:rPr>
          <w:rFonts w:ascii="Cambria" w:hAnsi="Cambria"/>
          <w:color w:themeColor="text1" w:val="000000"/>
          <w:highlight w:val="yellow"/>
        </w:rPr>
      </w:pPr>
      <w:r>
        <w:rPr>
          <w:rFonts w:ascii="Cambria" w:hAnsi="Cambria"/>
          <w:color w:themeColor="text1" w:val="000000"/>
          <w:highlight w:val="yellow"/>
        </w:rPr>
      </w:r>
    </w:p>
    <w:p>
      <w:pPr>
        <w:pStyle w:val="Normal"/>
        <w:spacing w:lineRule="auto" w:line="276" w:before="0" w:after="0"/>
        <w:contextualSpacing/>
        <w:rPr>
          <w:rFonts w:ascii="Cambria" w:hAnsi="Cambria"/>
          <w:color w:themeColor="text1" w:val="000000"/>
        </w:rPr>
      </w:pPr>
      <w:r>
        <w:rPr>
          <w:rFonts w:ascii="Cambria" w:hAnsi="Cambria"/>
          <w:color w:themeColor="text1" w:val="000000"/>
        </w:rPr>
      </w:r>
    </w:p>
    <w:p>
      <w:pPr>
        <w:pStyle w:val="Normal"/>
        <w:spacing w:lineRule="auto" w:line="276" w:before="0" w:after="0"/>
        <w:contextualSpacing/>
        <w:rPr>
          <w:rFonts w:ascii="Cambria" w:hAnsi="Cambria"/>
          <w:color w:themeColor="text1" w:val="000000"/>
        </w:rPr>
      </w:pPr>
      <w:r>
        <w:rPr>
          <w:rFonts w:ascii="Cambria" w:hAnsi="Cambria"/>
          <w:color w:themeColor="text1" w:val="000000"/>
        </w:rPr>
      </w:r>
    </w:p>
    <w:p>
      <w:pPr>
        <w:pStyle w:val="Normal"/>
        <w:spacing w:lineRule="auto" w:line="276" w:before="0" w:after="0"/>
        <w:contextualSpacing/>
        <w:jc w:val="center"/>
        <w:rPr>
          <w:rFonts w:ascii="Cambria" w:hAnsi="Cambria"/>
          <w:color w:themeColor="text1" w:val="000000"/>
        </w:rPr>
      </w:pPr>
      <w:r>
        <w:rPr>
          <w:rFonts w:ascii="Cambria" w:hAnsi="Cambria"/>
          <w:color w:themeColor="text1" w:val="000000"/>
        </w:rPr>
        <w:t>…………………………………</w:t>
      </w:r>
      <w:r>
        <w:rPr>
          <w:rFonts w:ascii="Cambria" w:hAnsi="Cambria"/>
          <w:color w:themeColor="text1" w:val="000000"/>
        </w:rPr>
        <w:tab/>
        <w:tab/>
        <w:tab/>
        <w:tab/>
        <w:tab/>
        <w:tab/>
        <w:t>…………………………………</w:t>
      </w:r>
    </w:p>
    <w:p>
      <w:pPr>
        <w:pStyle w:val="Normal"/>
        <w:spacing w:lineRule="auto" w:line="276" w:before="0" w:after="0"/>
        <w:contextualSpacing/>
        <w:jc w:val="center"/>
        <w:rPr>
          <w:rFonts w:ascii="Cambria" w:hAnsi="Cambria"/>
          <w:i/>
          <w:iCs/>
          <w:color w:themeColor="text1" w:val="000000"/>
        </w:rPr>
      </w:pPr>
      <w:r>
        <w:rPr>
          <w:rFonts w:ascii="Cambria" w:hAnsi="Cambria"/>
          <w:i/>
          <w:iCs/>
          <w:color w:themeColor="text1" w:val="000000"/>
        </w:rPr>
        <w:t>Zamawiający</w:t>
        <w:tab/>
        <w:tab/>
        <w:tab/>
        <w:tab/>
        <w:tab/>
        <w:tab/>
        <w:tab/>
        <w:tab/>
        <w:tab/>
        <w:t>Wykonawca</w:t>
      </w:r>
    </w:p>
    <w:p>
      <w:pPr>
        <w:pStyle w:val="Normal"/>
        <w:spacing w:lineRule="auto" w:line="276" w:before="0" w:after="0"/>
        <w:contextualSpacing/>
        <w:jc w:val="center"/>
        <w:rPr>
          <w:rFonts w:ascii="Cambria" w:hAnsi="Cambria"/>
          <w:color w:themeColor="text1" w:val="000000"/>
        </w:rPr>
      </w:pPr>
      <w:r>
        <w:rPr>
          <w:rFonts w:ascii="Cambria" w:hAnsi="Cambria"/>
          <w:color w:themeColor="text1" w:val="000000"/>
        </w:rPr>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417" w:right="1417" w:gutter="0" w:header="252" w:top="1416" w:footer="526" w:bottom="126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ptos">
    <w:charset w:val="ee" w:characterSet="windows-1250"/>
    <w:family w:val="roman"/>
    <w:pitch w:val="variable"/>
  </w:font>
  <w:font w:name="Aptos Display">
    <w:charset w:val="ee" w:characterSet="windows-1250"/>
    <w:family w:val="roman"/>
    <w:pitch w:val="variable"/>
  </w:font>
  <w:font w:name="Times New Roman">
    <w:charset w:val="ee" w:characterSet="windows-1250"/>
    <w:family w:val="roman"/>
    <w:pitch w:val="variable"/>
  </w:font>
  <w:font w:name="Liberation Sans">
    <w:altName w:val="Arial"/>
    <w:charset w:val="ee" w:characterSet="windows-1250"/>
    <w:family w:val="swiss"/>
    <w:pitch w:val="variable"/>
  </w:font>
  <w:font w:name="Arial">
    <w:charset w:val="ee" w:characterSet="windows-1250"/>
    <w:family w:val="swiss"/>
    <w:pitch w:val="variable"/>
  </w:font>
  <w:font w:name="Cambria">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414387118"/>
      <w:docPartObj>
        <w:docPartGallery w:val="Page Numbers (Bottom of Page)"/>
        <w:docPartUnique w:val="true"/>
      </w:docPartObj>
    </w:sdtPr>
    <w:sdtContent>
      <w:p>
        <w:pPr>
          <w:pStyle w:val="Footer"/>
          <w:rPr>
            <w:rFonts w:ascii="Cambria" w:hAnsi="Cambria"/>
            <w:b/>
            <w:sz w:val="20"/>
            <w:szCs w:val="20"/>
            <w:bdr w:val="single" w:sz="4" w:space="0" w:color="000000"/>
          </w:rPr>
        </w:pPr>
        <w:r>
          <w:rPr>
            <w:sz w:val="20"/>
            <w:szCs w:val="20"/>
            <w:bdr w:val="single" w:sz="4" w:space="0" w:color="000000"/>
          </w:rPr>
          <w:tab/>
        </w:r>
        <w:r>
          <w:rPr>
            <w:rFonts w:ascii="Cambria" w:hAnsi="Cambria"/>
            <w:sz w:val="20"/>
            <w:szCs w:val="20"/>
            <w:bdr w:val="single" w:sz="4" w:space="0" w:color="000000"/>
          </w:rPr>
          <w:t>Załącznik Nr 2 do SWZ – Projekt umowy</w:t>
          <w:tab/>
          <w:t xml:space="preserve">Strona </w:t>
        </w:r>
        <w:r>
          <w:rPr>
            <w:rFonts w:ascii="Cambria" w:hAnsi="Cambria"/>
            <w:b/>
            <w:sz w:val="20"/>
            <w:szCs w:val="20"/>
            <w:bdr w:val="single" w:sz="4" w:space="0" w:color="000000"/>
          </w:rPr>
          <w:fldChar w:fldCharType="begin"/>
        </w:r>
        <w:r>
          <w:rPr>
            <w:rFonts w:ascii="Cambria" w:hAnsi="Cambria"/>
            <w:b/>
            <w:sz w:val="20"/>
            <w:szCs w:val="20"/>
            <w:bdr w:val="single" w:sz="4" w:space="0" w:color="000000"/>
          </w:rPr>
          <w:instrText xml:space="preserve"> PAGE </w:instrText>
        </w:r>
        <w:r>
          <w:rPr>
            <w:rFonts w:ascii="Cambria" w:hAnsi="Cambria"/>
            <w:b/>
            <w:sz w:val="20"/>
            <w:szCs w:val="20"/>
            <w:bdr w:val="single" w:sz="4" w:space="0" w:color="000000"/>
          </w:rPr>
          <w:fldChar w:fldCharType="separate"/>
        </w:r>
        <w:r>
          <w:rPr>
            <w:rFonts w:ascii="Cambria" w:hAnsi="Cambria"/>
            <w:b/>
            <w:sz w:val="20"/>
            <w:szCs w:val="20"/>
            <w:bdr w:val="single" w:sz="4" w:space="0" w:color="000000"/>
          </w:rPr>
          <w:t>9</w:t>
        </w:r>
        <w:r>
          <w:rPr>
            <w:rFonts w:ascii="Cambria" w:hAnsi="Cambria"/>
            <w:b/>
            <w:sz w:val="20"/>
            <w:szCs w:val="20"/>
            <w:bdr w:val="single" w:sz="4" w:space="0" w:color="000000"/>
          </w:rPr>
          <w:fldChar w:fldCharType="end"/>
        </w:r>
        <w:r>
          <w:rPr>
            <w:rFonts w:ascii="Cambria" w:hAnsi="Cambria"/>
            <w:sz w:val="20"/>
            <w:szCs w:val="20"/>
            <w:bdr w:val="single" w:sz="4" w:space="0" w:color="000000"/>
          </w:rPr>
          <w:t xml:space="preserve"> z </w:t>
        </w:r>
        <w:r>
          <w:rPr>
            <w:rFonts w:ascii="Cambria" w:hAnsi="Cambria"/>
            <w:b/>
            <w:sz w:val="20"/>
            <w:szCs w:val="20"/>
            <w:bdr w:val="single" w:sz="4" w:space="0" w:color="000000"/>
          </w:rPr>
          <w:fldChar w:fldCharType="begin"/>
        </w:r>
        <w:r>
          <w:rPr>
            <w:rFonts w:ascii="Cambria" w:hAnsi="Cambria"/>
            <w:b/>
            <w:sz w:val="20"/>
            <w:szCs w:val="20"/>
            <w:bdr w:val="single" w:sz="4" w:space="0" w:color="000000"/>
          </w:rPr>
          <w:instrText xml:space="preserve"> NUMPAGES </w:instrText>
        </w:r>
        <w:r>
          <w:rPr>
            <w:rFonts w:ascii="Cambria" w:hAnsi="Cambria"/>
            <w:b/>
            <w:sz w:val="20"/>
            <w:szCs w:val="20"/>
            <w:bdr w:val="single" w:sz="4" w:space="0" w:color="000000"/>
          </w:rPr>
          <w:fldChar w:fldCharType="separate"/>
        </w:r>
        <w:r>
          <w:rPr>
            <w:rFonts w:ascii="Cambria" w:hAnsi="Cambria"/>
            <w:b/>
            <w:sz w:val="20"/>
            <w:szCs w:val="20"/>
            <w:bdr w:val="single" w:sz="4" w:space="0" w:color="000000"/>
          </w:rPr>
          <w:t>9</w:t>
        </w:r>
        <w:r>
          <w:rPr>
            <w:rFonts w:ascii="Cambria" w:hAnsi="Cambria"/>
            <w:b/>
            <w:sz w:val="20"/>
            <w:szCs w:val="20"/>
            <w:bdr w:val="single" w:sz="4" w:space="0" w:color="000000"/>
          </w:rPr>
          <w:fldChar w:fldCharType="end"/>
        </w:r>
      </w:p>
      <w:p>
        <w:pPr>
          <w:pStyle w:val="Footer"/>
          <w:jc w:val="end"/>
          <w:rPr>
            <w:rFonts w:cs="Cambria"/>
            <w:sz w:val="20"/>
            <w:szCs w:val="20"/>
          </w:rPr>
        </w:pPr>
        <w:r>
          <w:rPr>
            <w:rFonts w:cs="Cambria"/>
            <w:sz w:val="20"/>
            <w:szCs w:val="20"/>
          </w:rPr>
        </w:r>
      </w:p>
      <w:p>
        <w:pPr>
          <w:pStyle w:val="Footer"/>
          <w:jc w:val="end"/>
          <w:rPr>
            <w:rFonts w:cs="Aptos" w:cstheme="minorHAnsi"/>
            <w:sz w:val="20"/>
            <w:szCs w:val="20"/>
          </w:rPr>
        </w:pPr>
        <w:r>
          <w:rPr>
            <w:rFonts w:cs="Aptos" w:cstheme="minorHAnsi"/>
            <w:sz w:val="20"/>
            <w:szCs w:val="20"/>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414387118"/>
      <w:docPartObj>
        <w:docPartGallery w:val="Page Numbers (Bottom of Page)"/>
        <w:docPartUnique w:val="true"/>
      </w:docPartObj>
    </w:sdtPr>
    <w:sdtContent>
      <w:p>
        <w:pPr>
          <w:pStyle w:val="Footer"/>
          <w:rPr>
            <w:rFonts w:ascii="Cambria" w:hAnsi="Cambria"/>
            <w:b/>
            <w:sz w:val="20"/>
            <w:szCs w:val="20"/>
            <w:bdr w:val="single" w:sz="4" w:space="0" w:color="000000"/>
          </w:rPr>
        </w:pPr>
        <w:r>
          <w:rPr>
            <w:sz w:val="20"/>
            <w:szCs w:val="20"/>
            <w:bdr w:val="single" w:sz="4" w:space="0" w:color="000000"/>
          </w:rPr>
          <w:tab/>
        </w:r>
        <w:r>
          <w:rPr>
            <w:rFonts w:ascii="Cambria" w:hAnsi="Cambria"/>
            <w:sz w:val="20"/>
            <w:szCs w:val="20"/>
            <w:bdr w:val="single" w:sz="4" w:space="0" w:color="000000"/>
          </w:rPr>
          <w:t>Załącznik Nr 2 do SWZ – Projekt umowy</w:t>
          <w:tab/>
          <w:t xml:space="preserve">Strona </w:t>
        </w:r>
        <w:r>
          <w:rPr>
            <w:rFonts w:ascii="Cambria" w:hAnsi="Cambria"/>
            <w:b/>
            <w:sz w:val="20"/>
            <w:szCs w:val="20"/>
            <w:bdr w:val="single" w:sz="4" w:space="0" w:color="000000"/>
          </w:rPr>
          <w:fldChar w:fldCharType="begin"/>
        </w:r>
        <w:r>
          <w:rPr>
            <w:rFonts w:ascii="Cambria" w:hAnsi="Cambria"/>
            <w:b/>
            <w:sz w:val="20"/>
            <w:szCs w:val="20"/>
            <w:bdr w:val="single" w:sz="4" w:space="0" w:color="000000"/>
          </w:rPr>
          <w:instrText xml:space="preserve"> PAGE </w:instrText>
        </w:r>
        <w:r>
          <w:rPr>
            <w:rFonts w:ascii="Cambria" w:hAnsi="Cambria"/>
            <w:b/>
            <w:sz w:val="20"/>
            <w:szCs w:val="20"/>
            <w:bdr w:val="single" w:sz="4" w:space="0" w:color="000000"/>
          </w:rPr>
          <w:fldChar w:fldCharType="separate"/>
        </w:r>
        <w:r>
          <w:rPr>
            <w:rFonts w:ascii="Cambria" w:hAnsi="Cambria"/>
            <w:b/>
            <w:sz w:val="20"/>
            <w:szCs w:val="20"/>
            <w:bdr w:val="single" w:sz="4" w:space="0" w:color="000000"/>
          </w:rPr>
          <w:t>9</w:t>
        </w:r>
        <w:r>
          <w:rPr>
            <w:rFonts w:ascii="Cambria" w:hAnsi="Cambria"/>
            <w:b/>
            <w:sz w:val="20"/>
            <w:szCs w:val="20"/>
            <w:bdr w:val="single" w:sz="4" w:space="0" w:color="000000"/>
          </w:rPr>
          <w:fldChar w:fldCharType="end"/>
        </w:r>
        <w:r>
          <w:rPr>
            <w:rFonts w:ascii="Cambria" w:hAnsi="Cambria"/>
            <w:sz w:val="20"/>
            <w:szCs w:val="20"/>
            <w:bdr w:val="single" w:sz="4" w:space="0" w:color="000000"/>
          </w:rPr>
          <w:t xml:space="preserve"> z </w:t>
        </w:r>
        <w:r>
          <w:rPr>
            <w:rFonts w:ascii="Cambria" w:hAnsi="Cambria"/>
            <w:b/>
            <w:sz w:val="20"/>
            <w:szCs w:val="20"/>
            <w:bdr w:val="single" w:sz="4" w:space="0" w:color="000000"/>
          </w:rPr>
          <w:fldChar w:fldCharType="begin"/>
        </w:r>
        <w:r>
          <w:rPr>
            <w:rFonts w:ascii="Cambria" w:hAnsi="Cambria"/>
            <w:b/>
            <w:sz w:val="20"/>
            <w:szCs w:val="20"/>
            <w:bdr w:val="single" w:sz="4" w:space="0" w:color="000000"/>
          </w:rPr>
          <w:instrText xml:space="preserve"> NUMPAGES </w:instrText>
        </w:r>
        <w:r>
          <w:rPr>
            <w:rFonts w:ascii="Cambria" w:hAnsi="Cambria"/>
            <w:b/>
            <w:sz w:val="20"/>
            <w:szCs w:val="20"/>
            <w:bdr w:val="single" w:sz="4" w:space="0" w:color="000000"/>
          </w:rPr>
          <w:fldChar w:fldCharType="separate"/>
        </w:r>
        <w:r>
          <w:rPr>
            <w:rFonts w:ascii="Cambria" w:hAnsi="Cambria"/>
            <w:b/>
            <w:sz w:val="20"/>
            <w:szCs w:val="20"/>
            <w:bdr w:val="single" w:sz="4" w:space="0" w:color="000000"/>
          </w:rPr>
          <w:t>9</w:t>
        </w:r>
        <w:r>
          <w:rPr>
            <w:rFonts w:ascii="Cambria" w:hAnsi="Cambria"/>
            <w:b/>
            <w:sz w:val="20"/>
            <w:szCs w:val="20"/>
            <w:bdr w:val="single" w:sz="4" w:space="0" w:color="000000"/>
          </w:rPr>
          <w:fldChar w:fldCharType="end"/>
        </w:r>
      </w:p>
      <w:p>
        <w:pPr>
          <w:pStyle w:val="Footer"/>
          <w:jc w:val="end"/>
          <w:rPr>
            <w:rFonts w:cs="Cambria"/>
            <w:sz w:val="20"/>
            <w:szCs w:val="20"/>
          </w:rPr>
        </w:pPr>
        <w:r>
          <w:rPr>
            <w:rFonts w:cs="Cambria"/>
            <w:sz w:val="20"/>
            <w:szCs w:val="20"/>
          </w:rPr>
        </w:r>
      </w:p>
      <w:p>
        <w:pPr>
          <w:pStyle w:val="Footer"/>
          <w:jc w:val="end"/>
          <w:rPr>
            <w:rFonts w:cs="Aptos" w:cstheme="minorHAnsi"/>
            <w:sz w:val="20"/>
            <w:szCs w:val="20"/>
          </w:rPr>
        </w:pPr>
        <w:r>
          <w:rPr>
            <w:rFonts w:cs="Aptos" w:cstheme="minorHAnsi"/>
            <w:sz w:val="20"/>
            <w:szCs w:val="20"/>
          </w:rPr>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Cambria" w:hAnsi="Cambria" w:cs="Arial"/>
        </w:rPr>
      </w:pPr>
      <w:r>
        <w:rPr>
          <w:rStyle w:val="Znakiprzypiswdolnych"/>
        </w:rPr>
        <w:footnoteRef/>
      </w:r>
      <w:r>
        <w:rPr>
          <w:rFonts w:eastAsia="Cambria" w:cs="Arial" w:ascii="Cambria" w:hAnsi="Cambria"/>
          <w:sz w:val="18"/>
          <w:szCs w:val="18"/>
        </w:rPr>
        <w:t xml:space="preserve"> </w:t>
      </w:r>
      <w:r>
        <w:rPr>
          <w:rFonts w:cs="Arial" w:ascii="Cambria" w:hAnsi="Cambria"/>
          <w:sz w:val="18"/>
          <w:szCs w:val="18"/>
        </w:rPr>
        <w:t>Jeżeli przy zawarciu umowy działa osoba/-y pełniąca/-e funkcję organu (członka organu) lub prokurent spółki.</w:t>
      </w:r>
    </w:p>
  </w:footnote>
  <w:footnote w:id="3">
    <w:p>
      <w:pPr>
        <w:pStyle w:val="FootnoteText"/>
        <w:rPr>
          <w:rFonts w:ascii="Cambria" w:hAnsi="Cambria" w:cs="Arial"/>
        </w:rPr>
      </w:pPr>
      <w:r>
        <w:rPr>
          <w:rStyle w:val="Znakiprzypiswdolnych"/>
        </w:rPr>
        <w:footnoteRef/>
      </w:r>
      <w:r>
        <w:rPr>
          <w:rFonts w:eastAsia="Cambria" w:cs="Arial" w:ascii="Cambria" w:hAnsi="Cambria"/>
          <w:sz w:val="18"/>
          <w:szCs w:val="18"/>
        </w:rPr>
        <w:t xml:space="preserve"> </w:t>
      </w:r>
      <w:r>
        <w:rPr>
          <w:rFonts w:cs="Arial" w:ascii="Cambria" w:hAnsi="Cambria"/>
          <w:sz w:val="18"/>
          <w:szCs w:val="18"/>
        </w:rPr>
        <w:t>Jeżeli przy zawarciu umowy działa pełnomocnik spółki.</w:t>
      </w:r>
    </w:p>
  </w:footnote>
  <w:footnote w:id="4">
    <w:p>
      <w:pPr>
        <w:pStyle w:val="FootnoteText"/>
        <w:rPr/>
      </w:pPr>
      <w:r>
        <w:rPr>
          <w:rStyle w:val="Znakiprzypiswdolnych"/>
        </w:rPr>
        <w:footnoteRef/>
      </w:r>
      <w:r>
        <w:rPr>
          <w:rFonts w:eastAsia="Cambria" w:cs="Arial" w:ascii="Cambria" w:hAnsi="Cambria"/>
          <w:sz w:val="18"/>
          <w:szCs w:val="18"/>
        </w:rPr>
        <w:t xml:space="preserve"> </w:t>
      </w:r>
      <w:r>
        <w:rPr>
          <w:rFonts w:cs="Arial" w:ascii="Cambria" w:hAnsi="Cambria"/>
          <w:sz w:val="18"/>
          <w:szCs w:val="18"/>
        </w:rPr>
        <w:t>Jeżeli przy zawarciu umowy działa pełnomocnik tej osoby.</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120130" cy="634365"/>
          <wp:effectExtent l="0" t="0" r="0"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noChangeArrowheads="1"/>
                  </pic:cNvPicPr>
                </pic:nvPicPr>
                <pic:blipFill>
                  <a:blip r:embed="rId1"/>
                  <a:stretch>
                    <a:fillRect/>
                  </a:stretch>
                </pic:blipFill>
                <pic:spPr bwMode="auto">
                  <a:xfrm>
                    <a:off x="0" y="0"/>
                    <a:ext cx="6120130" cy="634365"/>
                  </a:xfrm>
                  <a:prstGeom prst="rect">
                    <a:avLst/>
                  </a:prstGeom>
                  <a:noFill/>
                </pic:spPr>
              </pic:pic>
            </a:graphicData>
          </a:graphic>
        </wp:inline>
      </w:drawing>
    </w:r>
    <w:r>
      <w:rPr/>
      <w:tab/>
    </w:r>
  </w:p>
  <w:p>
    <w:pPr>
      <w:pStyle w:val="Header"/>
      <w:tabs>
        <w:tab w:val="left" w:pos="5370" w:leader="none"/>
      </w:tabs>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120130" cy="634365"/>
          <wp:effectExtent l="0" t="0" r="0" b="0"/>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pic:cNvPicPr>
                    <a:picLocks noChangeAspect="1" noChangeArrowheads="1"/>
                  </pic:cNvPicPr>
                </pic:nvPicPr>
                <pic:blipFill>
                  <a:blip r:embed="rId1"/>
                  <a:stretch>
                    <a:fillRect/>
                  </a:stretch>
                </pic:blipFill>
                <pic:spPr bwMode="auto">
                  <a:xfrm>
                    <a:off x="0" y="0"/>
                    <a:ext cx="6120130" cy="634365"/>
                  </a:xfrm>
                  <a:prstGeom prst="rect">
                    <a:avLst/>
                  </a:prstGeom>
                  <a:noFill/>
                </pic:spPr>
              </pic:pic>
            </a:graphicData>
          </a:graphic>
        </wp:inline>
      </w:drawing>
    </w:r>
    <w:r>
      <w:rPr/>
      <w:tab/>
    </w:r>
  </w:p>
  <w:p>
    <w:pPr>
      <w:pStyle w:val="Header"/>
      <w:tabs>
        <w:tab w:val="left" w:pos="5370"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2">
    <w:lvl w:ilvl="0">
      <w:start w:val="1"/>
      <w:numFmt w:val="decimal"/>
      <w:lvlText w:val="%1."/>
      <w:lvlJc w:val="start"/>
      <w:pPr>
        <w:tabs>
          <w:tab w:val="num" w:pos="0"/>
        </w:tabs>
        <w:ind w:start="360" w:hanging="360"/>
      </w:pPr>
      <w:rPr>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3">
    <w:lvl w:ilvl="0">
      <w:start w:val="1"/>
      <w:numFmt w:val="decimal"/>
      <w:lvlText w:val="%1."/>
      <w:lvlJc w:val="start"/>
      <w:pPr>
        <w:tabs>
          <w:tab w:val="num" w:pos="0"/>
        </w:tabs>
        <w:ind w:start="360" w:hanging="360"/>
      </w:pPr>
      <w:rPr>
        <w:rFonts w:cs="Times New Roman"/>
        <w:b/>
        <w:bCs/>
        <w:i w:val="false"/>
        <w:iCs w:val="false"/>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4">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5">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6">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7">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8">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9">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10">
    <w:lvl w:ilvl="0">
      <w:start w:val="1"/>
      <w:numFmt w:val="decimal"/>
      <w:lvlText w:val="%1."/>
      <w:lvlJc w:val="start"/>
      <w:pPr>
        <w:tabs>
          <w:tab w:val="num" w:pos="0"/>
        </w:tabs>
        <w:ind w:start="360" w:hanging="360"/>
      </w:pPr>
      <w:rPr>
        <w:rFonts w:cs="Times New Roman"/>
        <w:b/>
        <w:bCs/>
      </w:rPr>
    </w:lvl>
    <w:lvl w:ilvl="1">
      <w:start w:val="1"/>
      <w:numFmt w:val="decimal"/>
      <w:lvlText w:val="%2)"/>
      <w:lvlJc w:val="start"/>
      <w:pPr>
        <w:tabs>
          <w:tab w:val="num" w:pos="0"/>
        </w:tabs>
        <w:ind w:start="1080" w:hanging="360"/>
      </w:pPr>
      <w:rPr>
        <w:rFonts w:cs="Times New Roman"/>
      </w:rPr>
    </w:lvl>
    <w:lvl w:ilvl="2">
      <w:start w:val="1"/>
      <w:numFmt w:val="lowerLetter"/>
      <w:lvlText w:val="%3."/>
      <w:lvlJc w:val="end"/>
      <w:pPr>
        <w:tabs>
          <w:tab w:val="num" w:pos="0"/>
        </w:tabs>
        <w:ind w:start="1800" w:hanging="180"/>
      </w:pPr>
      <w:rPr>
        <w:rFonts w:cs="Times New Roman"/>
      </w:rPr>
    </w:lvl>
    <w:lvl w:ilvl="3">
      <w:start w:val="1"/>
      <w:numFmt w:val="lowerRoman"/>
      <w:lvlText w:val="%4."/>
      <w:lvlJc w:val="start"/>
      <w:pPr>
        <w:tabs>
          <w:tab w:val="num" w:pos="0"/>
        </w:tabs>
        <w:ind w:start="2520" w:hanging="360"/>
      </w:pPr>
      <w:rPr/>
    </w:lvl>
    <w:lvl w:ilvl="4">
      <w:start w:val="1"/>
      <w:numFmt w:val="bullet"/>
      <w:lvlText w:val=""/>
      <w:lvlJc w:val="start"/>
      <w:pPr>
        <w:tabs>
          <w:tab w:val="num" w:pos="0"/>
        </w:tabs>
        <w:ind w:start="3240" w:hanging="360"/>
      </w:pPr>
      <w:rPr>
        <w:rFonts w:ascii="Symbol" w:hAnsi="Symbol" w:cs="Symbol" w:hint="default"/>
        <w:color w:val="auto"/>
      </w:rPr>
    </w:lvl>
    <w:lvl w:ilvl="5">
      <w:start w:val="1"/>
      <w:numFmt w:val="bullet"/>
      <w:lvlText w:val=""/>
      <w:lvlJc w:val="start"/>
      <w:pPr>
        <w:tabs>
          <w:tab w:val="num" w:pos="0"/>
        </w:tabs>
        <w:ind w:start="3960" w:hanging="180"/>
      </w:pPr>
      <w:rPr>
        <w:rFonts w:ascii="Symbol" w:hAnsi="Symbol" w:cs="Symbol" w:hint="default"/>
        <w:color w:val="auto"/>
      </w:rPr>
    </w:lvl>
    <w:lvl w:ilvl="6">
      <w:start w:val="1"/>
      <w:numFmt w:val="bullet"/>
      <w:lvlText w:val=""/>
      <w:lvlJc w:val="start"/>
      <w:pPr>
        <w:tabs>
          <w:tab w:val="num" w:pos="0"/>
        </w:tabs>
        <w:ind w:start="4680" w:hanging="360"/>
      </w:pPr>
      <w:rPr>
        <w:rFonts w:ascii="Symbol" w:hAnsi="Symbol" w:cs="Symbol" w:hint="default"/>
        <w:color w:val="auto"/>
      </w:rPr>
    </w:lvl>
    <w:lvl w:ilvl="7">
      <w:start w:val="1"/>
      <w:numFmt w:val="bullet"/>
      <w:lvlText w:val=""/>
      <w:lvlJc w:val="start"/>
      <w:pPr>
        <w:tabs>
          <w:tab w:val="num" w:pos="0"/>
        </w:tabs>
        <w:ind w:start="5400" w:hanging="360"/>
      </w:pPr>
      <w:rPr>
        <w:rFonts w:ascii="Symbol" w:hAnsi="Symbol" w:cs="Symbol" w:hint="default"/>
        <w:color w:val="auto"/>
      </w:rPr>
    </w:lvl>
    <w:lvl w:ilvl="8">
      <w:start w:val="1"/>
      <w:numFmt w:val="bullet"/>
      <w:lvlText w:val=""/>
      <w:lvlJc w:val="start"/>
      <w:pPr>
        <w:tabs>
          <w:tab w:val="num" w:pos="0"/>
        </w:tabs>
        <w:ind w:start="6120" w:hanging="180"/>
      </w:pPr>
      <w:rPr>
        <w:rFonts w:ascii="Symbol" w:hAnsi="Symbol" w:cs="Symbol" w:hint="default"/>
        <w:color w:val="auto"/>
      </w:rPr>
    </w:lvl>
  </w:abstractNum>
  <w:abstractNum w:abstractNumId="11">
    <w:lvl w:ilvl="0">
      <w:start w:val="1"/>
      <w:numFmt w:val="decimal"/>
      <w:lvlText w:val="%1)"/>
      <w:lvlJc w:val="start"/>
      <w:pPr>
        <w:tabs>
          <w:tab w:val="num" w:pos="0"/>
        </w:tabs>
        <w:ind w:start="720" w:hanging="360"/>
      </w:pPr>
      <w:rPr/>
    </w:lvl>
    <w:lvl w:ilvl="1">
      <w:start w:val="1"/>
      <w:numFmt w:val="decimal"/>
      <w:lvlText w:val="%2)"/>
      <w:lvlJc w:val="start"/>
      <w:pPr>
        <w:tabs>
          <w:tab w:val="num" w:pos="0"/>
        </w:tabs>
        <w:ind w:start="1068"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0"/>
        </w:tabs>
        <w:ind w:start="720" w:hanging="360"/>
      </w:pPr>
      <w:rPr>
        <w:b/>
        <w:bCs/>
        <w:color w:themeColor="text1" w:val="000000"/>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l-P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570"/>
    <w:pPr>
      <w:widowControl/>
      <w:suppressAutoHyphens w:val="true"/>
      <w:bidi w:val="0"/>
      <w:spacing w:lineRule="auto" w:line="278" w:before="0" w:after="160"/>
      <w:contextualSpacing/>
      <w:jc w:val="start"/>
    </w:pPr>
    <w:rPr>
      <w:rFonts w:ascii="Aptos" w:hAnsi="Aptos" w:eastAsia="Aptos" w:cs="" w:asciiTheme="minorHAnsi" w:cstheme="minorBidi" w:eastAsiaTheme="minorHAnsi" w:hAnsiTheme="minorHAnsi"/>
      <w:color w:val="auto"/>
      <w:kern w:val="2"/>
      <w:sz w:val="24"/>
      <w:szCs w:val="24"/>
      <w:lang w:val="pl-PL" w:eastAsia="en-US" w:bidi="ar-SA"/>
      <w14:ligatures w14:val="standardContextual"/>
    </w:rPr>
  </w:style>
  <w:style w:type="paragraph" w:styleId="Heading1">
    <w:name w:val="heading 1"/>
    <w:basedOn w:val="Normal"/>
    <w:next w:val="Normal"/>
    <w:link w:val="Nagwek1Znak"/>
    <w:uiPriority w:val="9"/>
    <w:qFormat/>
    <w:rsid w:val="00975570"/>
    <w:pPr>
      <w:keepNext w:val="true"/>
      <w:keepLines/>
      <w:spacing w:before="320" w:after="160"/>
      <w:contextualSpacing/>
      <w:jc w:val="center"/>
      <w:outlineLvl w:val="0"/>
    </w:pPr>
    <w:rPr>
      <w:rFonts w:eastAsia="" w:cs="" w:cstheme="majorBidi" w:eastAsiaTheme="majorEastAsia"/>
      <w:b/>
      <w:bCs/>
      <w:color w:themeColor="accent1" w:themeShade="bf" w:val="0F4761"/>
      <w:sz w:val="28"/>
      <w:szCs w:val="40"/>
    </w:rPr>
  </w:style>
  <w:style w:type="paragraph" w:styleId="Heading2">
    <w:name w:val="heading 2"/>
    <w:basedOn w:val="Normal"/>
    <w:next w:val="Normal"/>
    <w:link w:val="Nagwek2Znak"/>
    <w:uiPriority w:val="9"/>
    <w:unhideWhenUsed/>
    <w:qFormat/>
    <w:rsid w:val="00403eb2"/>
    <w:pPr>
      <w:keepNext w:val="true"/>
      <w:keepLines/>
      <w:spacing w:before="240" w:after="160"/>
      <w:contextualSpacing/>
      <w:outlineLvl w:val="1"/>
    </w:pPr>
    <w:rPr>
      <w:rFonts w:ascii="Aptos Display" w:hAnsi="Aptos Display" w:eastAsia="" w:cs="" w:asciiTheme="majorHAnsi" w:cstheme="majorBidi" w:eastAsiaTheme="majorEastAsia" w:hAnsiTheme="majorHAnsi"/>
      <w:color w:themeColor="accent1" w:themeShade="bf" w:val="0F4761"/>
      <w:sz w:val="26"/>
      <w:szCs w:val="32"/>
    </w:rPr>
  </w:style>
  <w:style w:type="paragraph" w:styleId="Heading3">
    <w:name w:val="heading 3"/>
    <w:basedOn w:val="Normal"/>
    <w:next w:val="Normal"/>
    <w:link w:val="Nagwek3Znak"/>
    <w:uiPriority w:val="9"/>
    <w:semiHidden/>
    <w:unhideWhenUsed/>
    <w:qFormat/>
    <w:rsid w:val="009a1fc6"/>
    <w:pPr>
      <w:keepNext w:val="true"/>
      <w:keepLines/>
      <w:spacing w:before="160" w:after="80"/>
      <w:contextualSpacing/>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Nagwek4Znak"/>
    <w:uiPriority w:val="9"/>
    <w:semiHidden/>
    <w:unhideWhenUsed/>
    <w:qFormat/>
    <w:rsid w:val="009a1fc6"/>
    <w:pPr>
      <w:keepNext w:val="true"/>
      <w:keepLines/>
      <w:spacing w:before="80" w:after="40"/>
      <w:contextualSpacing/>
      <w:outlineLvl w:val="3"/>
    </w:pPr>
    <w:rPr>
      <w:rFonts w:eastAsia="" w:cs="" w:cstheme="majorBidi" w:eastAsiaTheme="majorEastAsia"/>
      <w:i/>
      <w:iCs/>
      <w:color w:themeColor="accent1" w:themeShade="bf" w:val="0F4761"/>
    </w:rPr>
  </w:style>
  <w:style w:type="paragraph" w:styleId="Heading5">
    <w:name w:val="heading 5"/>
    <w:basedOn w:val="Normal"/>
    <w:next w:val="Normal"/>
    <w:link w:val="Nagwek5Znak"/>
    <w:uiPriority w:val="9"/>
    <w:semiHidden/>
    <w:unhideWhenUsed/>
    <w:qFormat/>
    <w:rsid w:val="009a1fc6"/>
    <w:pPr>
      <w:keepNext w:val="true"/>
      <w:keepLines/>
      <w:spacing w:before="80" w:after="40"/>
      <w:contextualSpacing/>
      <w:outlineLvl w:val="4"/>
    </w:pPr>
    <w:rPr>
      <w:rFonts w:eastAsia="" w:cs="" w:cstheme="majorBidi" w:eastAsiaTheme="majorEastAsia"/>
      <w:color w:themeColor="accent1" w:themeShade="bf" w:val="0F4761"/>
    </w:rPr>
  </w:style>
  <w:style w:type="paragraph" w:styleId="Heading6">
    <w:name w:val="heading 6"/>
    <w:basedOn w:val="Normal"/>
    <w:next w:val="Normal"/>
    <w:link w:val="Nagwek6Znak"/>
    <w:uiPriority w:val="9"/>
    <w:semiHidden/>
    <w:unhideWhenUsed/>
    <w:qFormat/>
    <w:rsid w:val="009a1fc6"/>
    <w:pPr>
      <w:keepNext w:val="true"/>
      <w:keepLines/>
      <w:spacing w:before="40" w:after="0"/>
      <w:contextualSpacing/>
      <w:outlineLvl w:val="5"/>
    </w:pPr>
    <w:rPr>
      <w:rFonts w:eastAsia="" w:cs="" w:cstheme="majorBidi" w:eastAsiaTheme="majorEastAsia"/>
      <w:i/>
      <w:iCs/>
      <w:color w:themeColor="text1" w:themeTint="a6" w:val="595959"/>
    </w:rPr>
  </w:style>
  <w:style w:type="paragraph" w:styleId="Heading7">
    <w:name w:val="heading 7"/>
    <w:basedOn w:val="Normal"/>
    <w:next w:val="Normal"/>
    <w:link w:val="Nagwek7Znak"/>
    <w:uiPriority w:val="9"/>
    <w:semiHidden/>
    <w:unhideWhenUsed/>
    <w:qFormat/>
    <w:rsid w:val="009a1fc6"/>
    <w:pPr>
      <w:keepNext w:val="true"/>
      <w:keepLines/>
      <w:spacing w:before="40" w:after="0"/>
      <w:contextualSpacing/>
      <w:outlineLvl w:val="6"/>
    </w:pPr>
    <w:rPr>
      <w:rFonts w:eastAsia="" w:cs="" w:cstheme="majorBidi" w:eastAsiaTheme="majorEastAsia"/>
      <w:color w:themeColor="text1" w:themeTint="a6" w:val="595959"/>
    </w:rPr>
  </w:style>
  <w:style w:type="paragraph" w:styleId="Heading8">
    <w:name w:val="heading 8"/>
    <w:basedOn w:val="Normal"/>
    <w:next w:val="Normal"/>
    <w:link w:val="Nagwek8Znak"/>
    <w:uiPriority w:val="9"/>
    <w:semiHidden/>
    <w:unhideWhenUsed/>
    <w:qFormat/>
    <w:rsid w:val="009a1fc6"/>
    <w:pPr>
      <w:keepNext w:val="true"/>
      <w:keepLines/>
      <w:spacing w:before="0" w:after="0"/>
      <w:contextualSpacing/>
      <w:outlineLvl w:val="7"/>
    </w:pPr>
    <w:rPr>
      <w:rFonts w:eastAsia="" w:cs="" w:cstheme="majorBidi" w:eastAsiaTheme="majorEastAsia"/>
      <w:i/>
      <w:iCs/>
      <w:color w:themeColor="text1" w:themeTint="d8" w:val="272727"/>
    </w:rPr>
  </w:style>
  <w:style w:type="paragraph" w:styleId="Heading9">
    <w:name w:val="heading 9"/>
    <w:basedOn w:val="Normal"/>
    <w:next w:val="Normal"/>
    <w:link w:val="Nagwek9Znak"/>
    <w:uiPriority w:val="9"/>
    <w:semiHidden/>
    <w:unhideWhenUsed/>
    <w:qFormat/>
    <w:rsid w:val="009a1fc6"/>
    <w:pPr>
      <w:keepNext w:val="true"/>
      <w:keepLines/>
      <w:spacing w:before="0" w:after="0"/>
      <w:contextualSpacing/>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975570"/>
    <w:rPr>
      <w:rFonts w:eastAsia="" w:cs="" w:cstheme="majorBidi" w:eastAsiaTheme="majorEastAsia"/>
      <w:b/>
      <w:bCs/>
      <w:color w:themeColor="accent1" w:themeShade="bf" w:val="0F4761"/>
      <w:sz w:val="28"/>
      <w:szCs w:val="40"/>
    </w:rPr>
  </w:style>
  <w:style w:type="character" w:styleId="Nagwek2Znak" w:customStyle="1">
    <w:name w:val="Nagłówek 2 Znak"/>
    <w:basedOn w:val="DefaultParagraphFont"/>
    <w:uiPriority w:val="9"/>
    <w:qFormat/>
    <w:rsid w:val="00403eb2"/>
    <w:rPr>
      <w:rFonts w:ascii="Aptos Display" w:hAnsi="Aptos Display" w:eastAsia="" w:cs="" w:asciiTheme="majorHAnsi" w:cstheme="majorBidi" w:eastAsiaTheme="majorEastAsia" w:hAnsiTheme="majorHAnsi"/>
      <w:color w:themeColor="accent1" w:themeShade="bf" w:val="0F4761"/>
      <w:sz w:val="26"/>
      <w:szCs w:val="32"/>
    </w:rPr>
  </w:style>
  <w:style w:type="character" w:styleId="Nagwek3Znak" w:customStyle="1">
    <w:name w:val="Nagłówek 3 Znak"/>
    <w:basedOn w:val="DefaultParagraphFont"/>
    <w:uiPriority w:val="9"/>
    <w:semiHidden/>
    <w:qFormat/>
    <w:rsid w:val="009a1fc6"/>
    <w:rPr>
      <w:rFonts w:eastAsia="" w:cs="" w:cstheme="majorBidi" w:eastAsiaTheme="majorEastAsia"/>
      <w:color w:themeColor="accent1" w:themeShade="bf" w:val="0F4761"/>
      <w:sz w:val="28"/>
      <w:szCs w:val="28"/>
    </w:rPr>
  </w:style>
  <w:style w:type="character" w:styleId="Nagwek4Znak" w:customStyle="1">
    <w:name w:val="Nagłówek 4 Znak"/>
    <w:basedOn w:val="DefaultParagraphFont"/>
    <w:uiPriority w:val="9"/>
    <w:semiHidden/>
    <w:qFormat/>
    <w:rsid w:val="009a1fc6"/>
    <w:rPr>
      <w:rFonts w:eastAsia="" w:cs="" w:cstheme="majorBidi" w:eastAsiaTheme="majorEastAsia"/>
      <w:i/>
      <w:iCs/>
      <w:color w:themeColor="accent1" w:themeShade="bf" w:val="0F4761"/>
    </w:rPr>
  </w:style>
  <w:style w:type="character" w:styleId="Nagwek5Znak" w:customStyle="1">
    <w:name w:val="Nagłówek 5 Znak"/>
    <w:basedOn w:val="DefaultParagraphFont"/>
    <w:uiPriority w:val="9"/>
    <w:semiHidden/>
    <w:qFormat/>
    <w:rsid w:val="009a1fc6"/>
    <w:rPr>
      <w:rFonts w:eastAsia="" w:cs="" w:cstheme="majorBidi" w:eastAsiaTheme="majorEastAsia"/>
      <w:color w:themeColor="accent1" w:themeShade="bf" w:val="0F4761"/>
    </w:rPr>
  </w:style>
  <w:style w:type="character" w:styleId="Nagwek6Znak" w:customStyle="1">
    <w:name w:val="Nagłówek 6 Znak"/>
    <w:basedOn w:val="DefaultParagraphFont"/>
    <w:uiPriority w:val="9"/>
    <w:semiHidden/>
    <w:qFormat/>
    <w:rsid w:val="009a1fc6"/>
    <w:rPr>
      <w:rFonts w:eastAsia="" w:cs="" w:cstheme="majorBidi" w:eastAsiaTheme="majorEastAsia"/>
      <w:i/>
      <w:iCs/>
      <w:color w:themeColor="text1" w:themeTint="a6" w:val="595959"/>
    </w:rPr>
  </w:style>
  <w:style w:type="character" w:styleId="Nagwek7Znak" w:customStyle="1">
    <w:name w:val="Nagłówek 7 Znak"/>
    <w:basedOn w:val="DefaultParagraphFont"/>
    <w:uiPriority w:val="9"/>
    <w:semiHidden/>
    <w:qFormat/>
    <w:rsid w:val="009a1fc6"/>
    <w:rPr>
      <w:rFonts w:eastAsia="" w:cs="" w:cstheme="majorBidi" w:eastAsiaTheme="majorEastAsia"/>
      <w:color w:themeColor="text1" w:themeTint="a6" w:val="595959"/>
    </w:rPr>
  </w:style>
  <w:style w:type="character" w:styleId="Nagwek8Znak" w:customStyle="1">
    <w:name w:val="Nagłówek 8 Znak"/>
    <w:basedOn w:val="DefaultParagraphFont"/>
    <w:uiPriority w:val="9"/>
    <w:semiHidden/>
    <w:qFormat/>
    <w:rsid w:val="009a1fc6"/>
    <w:rPr>
      <w:rFonts w:eastAsia="" w:cs="" w:cstheme="majorBidi" w:eastAsiaTheme="majorEastAsia"/>
      <w:i/>
      <w:iCs/>
      <w:color w:themeColor="text1" w:themeTint="d8" w:val="272727"/>
    </w:rPr>
  </w:style>
  <w:style w:type="character" w:styleId="Nagwek9Znak" w:customStyle="1">
    <w:name w:val="Nagłówek 9 Znak"/>
    <w:basedOn w:val="DefaultParagraphFont"/>
    <w:uiPriority w:val="9"/>
    <w:semiHidden/>
    <w:qFormat/>
    <w:rsid w:val="009a1fc6"/>
    <w:rPr>
      <w:rFonts w:eastAsia="" w:cs="" w:cstheme="majorBidi" w:eastAsiaTheme="majorEastAsia"/>
      <w:color w:themeColor="text1" w:themeTint="d8" w:val="272727"/>
    </w:rPr>
  </w:style>
  <w:style w:type="character" w:styleId="TytuZnak" w:customStyle="1">
    <w:name w:val="Tytuł Znak"/>
    <w:basedOn w:val="DefaultParagraphFont"/>
    <w:uiPriority w:val="10"/>
    <w:qFormat/>
    <w:rsid w:val="00975570"/>
    <w:rPr>
      <w:rFonts w:ascii="Aptos Display" w:hAnsi="Aptos Display" w:eastAsia="" w:cs="" w:asciiTheme="majorHAnsi" w:cstheme="majorBidi" w:eastAsiaTheme="majorEastAsia" w:hAnsiTheme="majorHAnsi"/>
      <w:spacing w:val="-10"/>
      <w:kern w:val="2"/>
      <w:sz w:val="32"/>
      <w:szCs w:val="32"/>
    </w:rPr>
  </w:style>
  <w:style w:type="character" w:styleId="PodtytuZnak" w:customStyle="1">
    <w:name w:val="Podtytuł Znak"/>
    <w:basedOn w:val="DefaultParagraphFont"/>
    <w:uiPriority w:val="11"/>
    <w:qFormat/>
    <w:rsid w:val="009a1fc6"/>
    <w:rPr>
      <w:rFonts w:eastAsia="" w:cs="" w:cstheme="majorBidi" w:eastAsiaTheme="majorEastAsia"/>
      <w:color w:themeColor="text1" w:themeTint="a6" w:val="595959"/>
      <w:spacing w:val="15"/>
      <w:sz w:val="28"/>
      <w:szCs w:val="28"/>
    </w:rPr>
  </w:style>
  <w:style w:type="character" w:styleId="CytatZnak" w:customStyle="1">
    <w:name w:val="Cytat Znak"/>
    <w:basedOn w:val="DefaultParagraphFont"/>
    <w:link w:val="Quote"/>
    <w:uiPriority w:val="29"/>
    <w:qFormat/>
    <w:rsid w:val="009a1fc6"/>
    <w:rPr>
      <w:i/>
      <w:iCs/>
      <w:color w:themeColor="text1" w:themeTint="bf" w:val="404040"/>
    </w:rPr>
  </w:style>
  <w:style w:type="character" w:styleId="IntenseEmphasis">
    <w:name w:val="Intense Emphasis"/>
    <w:basedOn w:val="DefaultParagraphFont"/>
    <w:uiPriority w:val="21"/>
    <w:qFormat/>
    <w:rsid w:val="009a1fc6"/>
    <w:rPr>
      <w:i/>
      <w:iCs/>
      <w:color w:themeColor="accent1" w:themeShade="bf" w:val="0F4761"/>
    </w:rPr>
  </w:style>
  <w:style w:type="character" w:styleId="CytatintensywnyZnak" w:customStyle="1">
    <w:name w:val="Cytat intensywny Znak"/>
    <w:basedOn w:val="DefaultParagraphFont"/>
    <w:link w:val="IntenseQuote"/>
    <w:uiPriority w:val="30"/>
    <w:qFormat/>
    <w:rsid w:val="009a1fc6"/>
    <w:rPr>
      <w:i/>
      <w:iCs/>
      <w:color w:themeColor="accent1" w:themeShade="bf" w:val="0F4761"/>
    </w:rPr>
  </w:style>
  <w:style w:type="character" w:styleId="IntenseReference">
    <w:name w:val="Intense Reference"/>
    <w:basedOn w:val="DefaultParagraphFont"/>
    <w:uiPriority w:val="32"/>
    <w:qFormat/>
    <w:rsid w:val="009a1fc6"/>
    <w:rPr>
      <w:b/>
      <w:bCs/>
      <w:smallCaps/>
      <w:color w:themeColor="accent1" w:themeShade="bf" w:val="0F4761"/>
      <w:spacing w:val="5"/>
    </w:rPr>
  </w:style>
  <w:style w:type="character" w:styleId="NagwekZnak" w:customStyle="1">
    <w:name w:val="Nagłówek Znak"/>
    <w:basedOn w:val="DefaultParagraphFont"/>
    <w:uiPriority w:val="99"/>
    <w:qFormat/>
    <w:rsid w:val="009a1fc6"/>
    <w:rPr/>
  </w:style>
  <w:style w:type="character" w:styleId="StopkaZnak" w:customStyle="1">
    <w:name w:val="Stopka Znak"/>
    <w:basedOn w:val="DefaultParagraphFont"/>
    <w:uiPriority w:val="99"/>
    <w:qFormat/>
    <w:rsid w:val="009a1fc6"/>
    <w:rPr/>
  </w:style>
  <w:style w:type="character" w:styleId="CommentReference">
    <w:name w:val="annotation reference"/>
    <w:basedOn w:val="DefaultParagraphFont"/>
    <w:uiPriority w:val="99"/>
    <w:semiHidden/>
    <w:unhideWhenUsed/>
    <w:qFormat/>
    <w:rsid w:val="00065ff1"/>
    <w:rPr>
      <w:sz w:val="16"/>
      <w:szCs w:val="16"/>
    </w:rPr>
  </w:style>
  <w:style w:type="character" w:styleId="TekstkomentarzaZnak" w:customStyle="1">
    <w:name w:val="Tekst komentarza Znak"/>
    <w:basedOn w:val="DefaultParagraphFont"/>
    <w:link w:val="CommentText"/>
    <w:uiPriority w:val="99"/>
    <w:qFormat/>
    <w:rsid w:val="00065ff1"/>
    <w:rPr>
      <w:sz w:val="20"/>
      <w:szCs w:val="20"/>
    </w:rPr>
  </w:style>
  <w:style w:type="character" w:styleId="TematkomentarzaZnak" w:customStyle="1">
    <w:name w:val="Temat komentarza Znak"/>
    <w:basedOn w:val="TekstkomentarzaZnak"/>
    <w:link w:val="annotationsubject"/>
    <w:uiPriority w:val="99"/>
    <w:semiHidden/>
    <w:qFormat/>
    <w:rsid w:val="00065ff1"/>
    <w:rPr>
      <w:b/>
      <w:bCs/>
      <w:sz w:val="20"/>
      <w:szCs w:val="20"/>
    </w:rPr>
  </w:style>
  <w:style w:type="character" w:styleId="TekstpodstawowyZnak" w:customStyle="1">
    <w:name w:val="Tekst podstawowy Znak"/>
    <w:basedOn w:val="DefaultParagraphFont"/>
    <w:semiHidden/>
    <w:qFormat/>
    <w:rsid w:val="0062702f"/>
    <w:rPr>
      <w:rFonts w:ascii="Times New Roman" w:hAnsi="Times New Roman" w:eastAsia="Times New Roman" w:cs="Times New Roman"/>
      <w:kern w:val="0"/>
      <w:sz w:val="20"/>
      <w:szCs w:val="20"/>
      <w:lang w:val="x-none" w:eastAsia="ar-SA"/>
    </w:rPr>
  </w:style>
  <w:style w:type="character" w:styleId="TekstprzypisudolnegoZnak" w:customStyle="1">
    <w:name w:val="Tekst przypisu dolnego Znak"/>
    <w:basedOn w:val="DefaultParagraphFont"/>
    <w:qFormat/>
    <w:rsid w:val="0062702f"/>
    <w:rPr>
      <w:rFonts w:ascii="Times New Roman" w:hAnsi="Times New Roman" w:eastAsia="Calibri" w:cs="Times New Roman"/>
      <w:kern w:val="0"/>
      <w:sz w:val="20"/>
      <w:szCs w:val="20"/>
      <w:u w:val="none" w:color="000000"/>
      <w:lang w:val="x-none" w:eastAsia="en-GB"/>
    </w:rPr>
  </w:style>
  <w:style w:type="character" w:styleId="Znakiprzypiswdolnychuser" w:customStyle="1">
    <w:name w:val="Znaki przypisów dolnych (user)"/>
    <w:qFormat/>
    <w:rsid w:val="0062702f"/>
    <w:rPr>
      <w:vertAlign w:val="superscript"/>
    </w:rPr>
  </w:style>
  <w:style w:type="character" w:styleId="AkapitzlistZnak" w:customStyle="1">
    <w:name w:val="Akapit z listą Znak"/>
    <w:link w:val="ListParagraph"/>
    <w:uiPriority w:val="34"/>
    <w:qFormat/>
    <w:locked/>
    <w:rsid w:val="0084628d"/>
    <w:rPr/>
  </w:style>
  <w:style w:type="character" w:styleId="Znakiprzypiswdolnych">
    <w:name w:val="Znaki przypisów dolnych"/>
    <w:qFormat/>
    <w:rPr>
      <w:vertAlign w:val="superscript"/>
    </w:rPr>
  </w:style>
  <w:style w:type="character" w:styleId="FootnoteReference">
    <w:name w:val="footnote reference"/>
    <w:rPr>
      <w:vertAlign w:val="superscript"/>
    </w:rPr>
  </w:style>
  <w:style w:type="character" w:styleId="Znakiprzypiswkocowychuser">
    <w:name w:val="Znaki przypisów końcowych (user)"/>
    <w:qFormat/>
    <w:rPr>
      <w:vertAlign w:val="superscript"/>
    </w:rPr>
  </w:style>
  <w:style w:type="character" w:styleId="Znakiprzypiswkocowych">
    <w:name w:val="Znaki przypisów końcowych"/>
    <w:qFormat/>
    <w:rPr/>
  </w:style>
  <w:style w:type="character" w:styleId="EndnoteReference">
    <w:name w:val="endnote reference"/>
    <w:rPr>
      <w:vertAlign w:val="superscript"/>
    </w:rPr>
  </w:style>
  <w:style w:type="paragraph" w:styleId="Nagwek">
    <w:name w:val="Nagłówek"/>
    <w:basedOn w:val="Normal"/>
    <w:next w:val="BodyText"/>
    <w:qFormat/>
    <w:pPr>
      <w:keepNext w:val="true"/>
      <w:spacing w:before="240" w:after="120"/>
      <w:contextualSpacing w:val="false"/>
    </w:pPr>
    <w:rPr>
      <w:rFonts w:ascii="Liberation Sans" w:hAnsi="Liberation Sans" w:eastAsia="Microsoft YaHei" w:cs="Arial"/>
      <w:sz w:val="28"/>
      <w:szCs w:val="28"/>
    </w:rPr>
  </w:style>
  <w:style w:type="paragraph" w:styleId="BodyText">
    <w:name w:val="Body Text"/>
    <w:basedOn w:val="Normal"/>
    <w:link w:val="TekstpodstawowyZnak"/>
    <w:semiHidden/>
    <w:rsid w:val="0062702f"/>
    <w:pPr>
      <w:widowControl w:val="false"/>
      <w:suppressAutoHyphens w:val="true"/>
      <w:spacing w:lineRule="auto" w:line="276" w:before="0" w:after="120"/>
      <w:contextualSpacing w:val="false"/>
      <w:jc w:val="both"/>
      <w:textAlignment w:val="baseline"/>
    </w:pPr>
    <w:rPr>
      <w:rFonts w:ascii="Times New Roman" w:hAnsi="Times New Roman" w:eastAsia="Times New Roman" w:cs="Times New Roman"/>
      <w:kern w:val="0"/>
      <w:sz w:val="20"/>
      <w:szCs w:val="20"/>
      <w:lang w:val="x-none" w:eastAsia="ar-SA"/>
    </w:rPr>
  </w:style>
  <w:style w:type="paragraph" w:styleId="List">
    <w:name w:val="List"/>
    <w:basedOn w:val="BodyText"/>
    <w:pPr/>
    <w:rPr>
      <w:rFonts w:cs="Arial"/>
    </w:rPr>
  </w:style>
  <w:style w:type="paragraph" w:styleId="Caption">
    <w:name w:val="caption"/>
    <w:basedOn w:val="Normal"/>
    <w:qFormat/>
    <w:pPr>
      <w:suppressLineNumbers/>
      <w:spacing w:before="120" w:after="120"/>
      <w:contextualSpacing w:val="false"/>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contextualSpacing w:val="false"/>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Title">
    <w:name w:val="Title"/>
    <w:basedOn w:val="Normal"/>
    <w:next w:val="Normal"/>
    <w:link w:val="TytuZnak"/>
    <w:uiPriority w:val="10"/>
    <w:qFormat/>
    <w:rsid w:val="00975570"/>
    <w:pPr>
      <w:spacing w:lineRule="auto" w:line="240" w:before="0" w:after="80"/>
      <w:contextualSpacing/>
      <w:jc w:val="center"/>
    </w:pPr>
    <w:rPr>
      <w:rFonts w:ascii="Aptos Display" w:hAnsi="Aptos Display" w:eastAsia="" w:cs="" w:asciiTheme="majorHAnsi" w:cstheme="majorBidi" w:eastAsiaTheme="majorEastAsia" w:hAnsiTheme="majorHAnsi"/>
      <w:spacing w:val="-10"/>
      <w:kern w:val="2"/>
      <w:sz w:val="32"/>
      <w:szCs w:val="32"/>
    </w:rPr>
  </w:style>
  <w:style w:type="paragraph" w:styleId="Subtitle">
    <w:name w:val="Subtitle"/>
    <w:basedOn w:val="Normal"/>
    <w:next w:val="Normal"/>
    <w:link w:val="PodtytuZnak"/>
    <w:uiPriority w:val="11"/>
    <w:qFormat/>
    <w:rsid w:val="009a1fc6"/>
    <w:pPr/>
    <w:rPr>
      <w:rFonts w:eastAsia="" w:cs="" w:cstheme="majorBidi" w:eastAsiaTheme="majorEastAsia"/>
      <w:color w:themeColor="text1" w:themeTint="a6" w:val="595959"/>
      <w:spacing w:val="15"/>
      <w:sz w:val="28"/>
      <w:szCs w:val="28"/>
    </w:rPr>
  </w:style>
  <w:style w:type="paragraph" w:styleId="Quote">
    <w:name w:val="Quote"/>
    <w:basedOn w:val="Normal"/>
    <w:next w:val="Normal"/>
    <w:link w:val="CytatZnak"/>
    <w:uiPriority w:val="29"/>
    <w:qFormat/>
    <w:rsid w:val="009a1fc6"/>
    <w:pPr>
      <w:spacing w:before="160" w:after="160"/>
      <w:contextualSpacing/>
      <w:jc w:val="center"/>
    </w:pPr>
    <w:rPr>
      <w:i/>
      <w:iCs/>
      <w:color w:themeColor="text1" w:themeTint="bf" w:val="404040"/>
    </w:rPr>
  </w:style>
  <w:style w:type="paragraph" w:styleId="ListParagraph">
    <w:name w:val="List Paragraph"/>
    <w:basedOn w:val="Normal"/>
    <w:link w:val="AkapitzlistZnak"/>
    <w:uiPriority w:val="34"/>
    <w:qFormat/>
    <w:rsid w:val="009a1fc6"/>
    <w:pPr>
      <w:ind w:start="720"/>
    </w:pPr>
    <w:rPr/>
  </w:style>
  <w:style w:type="paragraph" w:styleId="IntenseQuote">
    <w:name w:val="Intense Quote"/>
    <w:basedOn w:val="Normal"/>
    <w:next w:val="Normal"/>
    <w:link w:val="CytatintensywnyZnak"/>
    <w:uiPriority w:val="30"/>
    <w:qFormat/>
    <w:rsid w:val="009a1fc6"/>
    <w:pPr>
      <w:pBdr>
        <w:top w:val="single" w:sz="4" w:space="10" w:color="0F4761" w:themeColor="accent1" w:themeShade="bf"/>
        <w:bottom w:val="single" w:sz="4" w:space="10" w:color="0F4761" w:themeColor="accent1" w:themeShade="bf"/>
      </w:pBdr>
      <w:spacing w:before="360" w:after="360"/>
      <w:ind w:start="864" w:end="864"/>
      <w:contextualSpacing/>
      <w:jc w:val="center"/>
    </w:pPr>
    <w:rPr>
      <w:i/>
      <w:iCs/>
      <w:color w:themeColor="accent1" w:themeShade="bf" w:val="0F4761"/>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Header">
    <w:name w:val="header"/>
    <w:basedOn w:val="Normal"/>
    <w:link w:val="NagwekZnak"/>
    <w:uiPriority w:val="99"/>
    <w:unhideWhenUsed/>
    <w:rsid w:val="009a1fc6"/>
    <w:pPr>
      <w:tabs>
        <w:tab w:val="clear" w:pos="708"/>
        <w:tab w:val="center" w:pos="4536" w:leader="none"/>
        <w:tab w:val="right" w:pos="9072" w:leader="none"/>
      </w:tabs>
      <w:spacing w:lineRule="auto" w:line="240" w:before="0" w:after="0"/>
      <w:contextualSpacing/>
    </w:pPr>
    <w:rPr/>
  </w:style>
  <w:style w:type="paragraph" w:styleId="Footer">
    <w:name w:val="footer"/>
    <w:basedOn w:val="Normal"/>
    <w:link w:val="StopkaZnak"/>
    <w:uiPriority w:val="99"/>
    <w:unhideWhenUsed/>
    <w:rsid w:val="009a1fc6"/>
    <w:pPr>
      <w:tabs>
        <w:tab w:val="clear" w:pos="708"/>
        <w:tab w:val="center" w:pos="4536" w:leader="none"/>
        <w:tab w:val="right" w:pos="9072" w:leader="none"/>
      </w:tabs>
      <w:spacing w:lineRule="auto" w:line="240" w:before="0" w:after="0"/>
      <w:contextualSpacing/>
    </w:pPr>
    <w:rPr/>
  </w:style>
  <w:style w:type="paragraph" w:styleId="CommentText">
    <w:name w:val="annotation text"/>
    <w:basedOn w:val="Normal"/>
    <w:link w:val="TekstkomentarzaZnak"/>
    <w:uiPriority w:val="99"/>
    <w:unhideWhenUsed/>
    <w:rsid w:val="00065ff1"/>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065ff1"/>
    <w:pPr/>
    <w:rPr>
      <w:b/>
      <w:bCs/>
    </w:rPr>
  </w:style>
  <w:style w:type="paragraph" w:styleId="Default" w:customStyle="1">
    <w:name w:val="Default"/>
    <w:qFormat/>
    <w:rsid w:val="0062702f"/>
    <w:pPr>
      <w:widowControl/>
      <w:suppressAutoHyphens w:val="true"/>
      <w:bidi w:val="0"/>
      <w:spacing w:lineRule="auto" w:line="240" w:before="0" w:after="0"/>
      <w:jc w:val="start"/>
    </w:pPr>
    <w:rPr>
      <w:rFonts w:ascii="Arial" w:hAnsi="Arial" w:eastAsia="Calibri" w:cs="Arial"/>
      <w:color w:val="000000"/>
      <w:kern w:val="0"/>
      <w:sz w:val="24"/>
      <w:szCs w:val="24"/>
      <w:lang w:val="pl-PL" w:eastAsia="en-US" w:bidi="ar-SA"/>
    </w:rPr>
  </w:style>
  <w:style w:type="paragraph" w:styleId="FootnoteText">
    <w:name w:val="footnote text"/>
    <w:basedOn w:val="Normal"/>
    <w:link w:val="TekstprzypisudolnegoZnak"/>
    <w:unhideWhenUsed/>
    <w:rsid w:val="0062702f"/>
    <w:pPr>
      <w:spacing w:lineRule="auto" w:line="240" w:before="0" w:after="0"/>
      <w:ind w:hanging="720" w:start="720"/>
      <w:contextualSpacing w:val="false"/>
      <w:jc w:val="both"/>
    </w:pPr>
    <w:rPr>
      <w:rFonts w:ascii="Times New Roman" w:hAnsi="Times New Roman" w:eastAsia="Calibri" w:cs="Times New Roman"/>
      <w:kern w:val="0"/>
      <w:sz w:val="20"/>
      <w:szCs w:val="20"/>
      <w:u w:val="none" w:color="000000"/>
      <w:lang w:val="x-none" w:eastAsia="en-GB"/>
    </w:rPr>
  </w:style>
  <w:style w:type="paragraph" w:styleId="Textbody" w:customStyle="1">
    <w:name w:val="Text body"/>
    <w:basedOn w:val="Normal"/>
    <w:qFormat/>
    <w:rsid w:val="0062702f"/>
    <w:pPr>
      <w:widowControl w:val="false"/>
      <w:suppressAutoHyphens w:val="true"/>
      <w:spacing w:lineRule="auto" w:line="240" w:before="0" w:after="120"/>
      <w:contextualSpacing w:val="false"/>
      <w:textAlignment w:val="baseline"/>
    </w:pPr>
    <w:rPr>
      <w:rFonts w:ascii="Times New Roman" w:hAnsi="Times New Roman" w:eastAsia="SimSun" w:cs="Mangal"/>
      <w:kern w:val="2"/>
      <w:lang w:eastAsia="zh-CN" w:bidi="hi-IN"/>
    </w:rPr>
  </w:style>
  <w:style w:type="paragraph" w:styleId="Revision">
    <w:name w:val="Revision"/>
    <w:uiPriority w:val="99"/>
    <w:semiHidden/>
    <w:qFormat/>
    <w:rsid w:val="00b12ef8"/>
    <w:pPr>
      <w:widowControl/>
      <w:suppressAutoHyphens w:val="true"/>
      <w:bidi w:val="0"/>
      <w:spacing w:lineRule="auto" w:line="240" w:before="0" w:after="0"/>
      <w:jc w:val="start"/>
    </w:pPr>
    <w:rPr>
      <w:rFonts w:ascii="Aptos" w:hAnsi="Aptos" w:eastAsia="Aptos" w:cs="" w:asciiTheme="minorHAnsi" w:cstheme="minorBidi" w:eastAsiaTheme="minorHAnsi" w:hAnsiTheme="minorHAnsi"/>
      <w:color w:val="auto"/>
      <w:kern w:val="2"/>
      <w:sz w:val="24"/>
      <w:szCs w:val="24"/>
      <w:lang w:val="pl-PL" w:eastAsia="en-US" w:bidi="ar-SA"/>
      <w14:ligatures w14:val="standardContextual"/>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39"/>
    <w:rsid w:val="00d879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LibreOffice/26.2.5.2$Windows_X86_64 LibreOffice_project/cd7284b4cbbfeb507e630c1aac019f4157393acb</Application>
  <AppVersion>15.0000</AppVersion>
  <Pages>9</Pages>
  <Words>2643</Words>
  <Characters>16994</Characters>
  <CharactersWithSpaces>19570</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2024-12-04T12:10:00Z</dcterms:created>
  <dc:creator>RS</dc:creator>
  <dc:description/>
  <dc:language>pl-PL</dc:language>
  <cp:lastModifiedBy>Magdalena Weremczuk</cp:lastModifiedBy>
  <dcterms:modified xsi:type="dcterms:W3CDTF">2026-08-18T14:21:16Z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