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rPr>
          <w:sz w:val="20"/>
          <w:szCs w:val="20"/>
        </w:rPr>
      </w:pPr>
      <w:r>
        <w:drawing>
          <wp:anchor distT="0" distB="0" distL="0" distR="0" simplePos="0" relativeHeight="30" behindDoc="0" locked="0" layoutInCell="0" allowOverlap="1">
            <wp:simplePos x="0" y="0"/>
            <wp:positionH relativeFrom="margin">
              <wp:posOffset>355600</wp:posOffset>
            </wp:positionH>
            <wp:positionV relativeFrom="page">
              <wp:posOffset>833755</wp:posOffset>
            </wp:positionV>
            <wp:extent cx="1676400" cy="45085"/>
            <wp:effectExtent l="0" t="0" r="0" b="0"/>
            <wp:wrapSquare wrapText="bothSides"/>
            <wp:docPr id="1"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pic:cNvPicPr>
                      <a:picLocks noChangeAspect="1" noChangeArrowheads="1"/>
                    </pic:cNvPicPr>
                  </pic:nvPicPr>
                  <pic:blipFill>
                    <a:blip r:embed="rId2"/>
                    <a:stretch>
                      <a:fillRect/>
                    </a:stretch>
                  </pic:blipFill>
                  <pic:spPr bwMode="auto">
                    <a:xfrm>
                      <a:off x="0" y="0"/>
                      <a:ext cx="1676400" cy="45085"/>
                    </a:xfrm>
                    <a:prstGeom prst="rect">
                      <a:avLst/>
                    </a:prstGeom>
                    <a:noFill/>
                  </pic:spPr>
                </pic:pic>
              </a:graphicData>
            </a:graphic>
          </wp:anchor>
        </w:drawing>
        <w:drawing>
          <wp:anchor distT="0" distB="0" distL="0" distR="0" simplePos="0" relativeHeight="115" behindDoc="0" locked="0" layoutInCell="0" allowOverlap="1">
            <wp:simplePos x="0" y="0"/>
            <wp:positionH relativeFrom="margin">
              <wp:posOffset>4384040</wp:posOffset>
            </wp:positionH>
            <wp:positionV relativeFrom="page">
              <wp:posOffset>818515</wp:posOffset>
            </wp:positionV>
            <wp:extent cx="1676400" cy="45085"/>
            <wp:effectExtent l="0" t="0" r="0" b="0"/>
            <wp:wrapSquare wrapText="bothSides"/>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3"/>
                    <a:stretch>
                      <a:fillRect/>
                    </a:stretch>
                  </pic:blipFill>
                  <pic:spPr bwMode="auto">
                    <a:xfrm>
                      <a:off x="0" y="0"/>
                      <a:ext cx="1676400" cy="45085"/>
                    </a:xfrm>
                    <a:prstGeom prst="rect">
                      <a:avLst/>
                    </a:prstGeom>
                    <a:noFill/>
                  </pic:spPr>
                </pic:pic>
              </a:graphicData>
            </a:graphic>
          </wp:anchor>
        </w:drawing>
        <w:drawing>
          <wp:anchor distT="0" distB="0" distL="0" distR="0" simplePos="0" relativeHeight="116" behindDoc="0" locked="0" layoutInCell="0" allowOverlap="1">
            <wp:simplePos x="0" y="0"/>
            <wp:positionH relativeFrom="margin">
              <wp:align>center</wp:align>
            </wp:positionH>
            <wp:positionV relativeFrom="page">
              <wp:posOffset>211455</wp:posOffset>
            </wp:positionV>
            <wp:extent cx="1773555" cy="962025"/>
            <wp:effectExtent l="0" t="0" r="0" b="0"/>
            <wp:wrapSquare wrapText="bothSides"/>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noChangeArrowheads="1"/>
                    </pic:cNvPicPr>
                  </pic:nvPicPr>
                  <pic:blipFill>
                    <a:blip r:embed="rId4"/>
                    <a:stretch>
                      <a:fillRect/>
                    </a:stretch>
                  </pic:blipFill>
                  <pic:spPr bwMode="auto">
                    <a:xfrm>
                      <a:off x="0" y="0"/>
                      <a:ext cx="1773555" cy="962025"/>
                    </a:xfrm>
                    <a:prstGeom prst="rect">
                      <a:avLst/>
                    </a:prstGeom>
                    <a:noFill/>
                  </pic:spPr>
                </pic:pic>
              </a:graphicData>
            </a:graphic>
          </wp:anchor>
        </w:drawing>
      </w:r>
      <w:r>
        <w:rPr>
          <w:rFonts w:eastAsia="Arial" w:cs="Arial" w:ascii="Arial" w:hAnsi="Arial"/>
          <w:b/>
          <w:color w:val="000000"/>
          <w:sz w:val="20"/>
          <w:szCs w:val="20"/>
        </w:rPr>
        <w:t xml:space="preserve"> </w:t>
      </w:r>
    </w:p>
    <w:p>
      <w:pPr>
        <w:pStyle w:val="normal1"/>
        <w:rPr>
          <w:rFonts w:ascii="Calibri" w:hAnsi="Calibri" w:eastAsia="Arial" w:cs="Calibri" w:asciiTheme="majorHAnsi" w:cstheme="majorHAnsi" w:hAnsiTheme="majorHAnsi"/>
          <w:b/>
          <w:sz w:val="22"/>
          <w:szCs w:val="22"/>
        </w:rPr>
      </w:pPr>
      <w:r>
        <w:rPr>
          <w:rFonts w:eastAsia="Arial" w:cs="Calibri" w:cstheme="majorHAnsi" w:ascii="Calibri" w:hAnsi="Calibri"/>
          <w:b/>
          <w:sz w:val="22"/>
          <w:szCs w:val="22"/>
        </w:rPr>
      </w:r>
    </w:p>
    <w:p>
      <w:pPr>
        <w:pStyle w:val="normal1"/>
        <w:jc w:val="end"/>
        <w:rPr>
          <w:rFonts w:ascii="Calibri" w:hAnsi="Calibri" w:eastAsia="Arial" w:cs="Calibri" w:asciiTheme="majorHAnsi" w:cstheme="majorHAnsi" w:hAnsiTheme="majorHAnsi"/>
          <w:b/>
          <w:sz w:val="22"/>
          <w:szCs w:val="22"/>
        </w:rPr>
      </w:pPr>
      <w:r>
        <w:rPr>
          <w:rFonts w:eastAsia="Arial" w:cs="Calibri" w:ascii="Calibri" w:hAnsi="Calibri" w:asciiTheme="majorHAnsi" w:cstheme="majorHAnsi" w:hAnsiTheme="majorHAnsi"/>
          <w:b/>
          <w:sz w:val="22"/>
          <w:szCs w:val="22"/>
        </w:rPr>
        <w:t>Załącznik nr 1 do SWZ</w:t>
      </w:r>
    </w:p>
    <w:p>
      <w:pPr>
        <w:pStyle w:val="normal1"/>
        <w:rPr>
          <w:rFonts w:ascii="Calibri" w:hAnsi="Calibri" w:eastAsia="Arial" w:cs="Calibri" w:asciiTheme="majorHAnsi" w:cstheme="majorHAnsi" w:hAnsiTheme="majorHAnsi"/>
          <w:b/>
          <w:sz w:val="22"/>
          <w:szCs w:val="22"/>
        </w:rPr>
      </w:pPr>
      <w:r>
        <w:rPr>
          <w:rFonts w:eastAsia="Arial" w:cs="Calibri" w:cstheme="majorHAnsi" w:ascii="Calibri" w:hAnsi="Calibri"/>
          <w:b/>
          <w:sz w:val="22"/>
          <w:szCs w:val="22"/>
        </w:rPr>
      </w:r>
    </w:p>
    <w:p>
      <w:pPr>
        <w:pStyle w:val="normal1"/>
        <w:jc w:val="center"/>
        <w:rPr>
          <w:rFonts w:ascii="Calibri" w:hAnsi="Calibri" w:eastAsia="Arial" w:cs="Calibri" w:asciiTheme="majorHAnsi" w:cstheme="majorHAnsi" w:hAnsiTheme="majorHAnsi"/>
          <w:b/>
          <w:sz w:val="30"/>
          <w:szCs w:val="30"/>
        </w:rPr>
      </w:pPr>
      <w:r>
        <w:rPr>
          <w:rFonts w:eastAsia="Arial" w:cs="Calibri" w:cstheme="majorHAnsi" w:ascii="Calibri" w:hAnsi="Calibri"/>
          <w:b/>
          <w:sz w:val="30"/>
          <w:szCs w:val="30"/>
        </w:rPr>
      </w:r>
    </w:p>
    <w:p>
      <w:pPr>
        <w:pStyle w:val="normal1"/>
        <w:jc w:val="center"/>
        <w:rPr>
          <w:rFonts w:ascii="Calibri" w:hAnsi="Calibri" w:eastAsia="Arial" w:cs="Calibri" w:asciiTheme="majorHAnsi" w:cstheme="majorHAnsi" w:hAnsiTheme="majorHAnsi"/>
          <w:b/>
          <w:sz w:val="30"/>
          <w:szCs w:val="30"/>
        </w:rPr>
      </w:pPr>
      <w:r>
        <w:rPr>
          <w:rFonts w:eastAsia="Arial" w:cs="Calibri" w:cstheme="majorHAnsi" w:ascii="Calibri" w:hAnsi="Calibri"/>
          <w:b/>
          <w:sz w:val="30"/>
          <w:szCs w:val="30"/>
        </w:rPr>
      </w:r>
    </w:p>
    <w:p>
      <w:pPr>
        <w:pStyle w:val="normal1"/>
        <w:jc w:val="center"/>
        <w:rPr>
          <w:rFonts w:ascii="Calibri" w:hAnsi="Calibri" w:eastAsia="Arial" w:cs="Calibri" w:asciiTheme="majorHAnsi" w:cstheme="majorHAnsi" w:hAnsiTheme="majorHAnsi"/>
          <w:b/>
          <w:sz w:val="30"/>
          <w:szCs w:val="30"/>
        </w:rPr>
      </w:pPr>
      <w:r>
        <w:rPr>
          <w:rFonts w:eastAsia="Arial" w:cs="Calibri" w:ascii="Calibri" w:hAnsi="Calibri" w:asciiTheme="majorHAnsi" w:cstheme="majorHAnsi" w:hAnsiTheme="majorHAnsi"/>
          <w:b/>
          <w:sz w:val="30"/>
          <w:szCs w:val="30"/>
        </w:rPr>
        <w:t>Szczegółowy o</w:t>
      </w:r>
      <w:r>
        <w:rPr>
          <w:rFonts w:eastAsia="Arial" w:cs="Calibri" w:ascii="Calibri" w:hAnsi="Calibri" w:asciiTheme="majorHAnsi" w:cstheme="majorHAnsi" w:hAnsiTheme="majorHAnsi"/>
          <w:b/>
          <w:sz w:val="30"/>
          <w:szCs w:val="30"/>
        </w:rPr>
        <w:t xml:space="preserve">pis przedmiotu zamówienia </w:t>
      </w:r>
    </w:p>
    <w:p>
      <w:pPr>
        <w:pStyle w:val="normal1"/>
        <w:jc w:val="center"/>
        <w:rPr>
          <w:rFonts w:ascii="Calibri" w:hAnsi="Calibri" w:eastAsia="Arial" w:cs="Calibri" w:asciiTheme="majorHAnsi" w:cstheme="majorHAnsi" w:hAnsiTheme="majorHAnsi"/>
          <w:b/>
          <w:sz w:val="30"/>
          <w:szCs w:val="30"/>
        </w:rPr>
      </w:pPr>
      <w:r>
        <w:rPr>
          <w:rFonts w:eastAsia="Arial" w:cs="Calibri" w:cstheme="majorHAnsi" w:ascii="Calibri" w:hAnsi="Calibri"/>
          <w:b/>
          <w:sz w:val="30"/>
          <w:szCs w:val="30"/>
        </w:rPr>
      </w:r>
    </w:p>
    <w:p>
      <w:pPr>
        <w:pStyle w:val="normal1"/>
        <w:jc w:val="center"/>
        <w:rPr>
          <w:rFonts w:ascii="Calibri" w:hAnsi="Calibri" w:eastAsia="Arial" w:cs="Calibri" w:asciiTheme="majorHAnsi" w:cstheme="majorHAnsi" w:hAnsiTheme="majorHAnsi"/>
          <w:b/>
          <w:sz w:val="30"/>
          <w:szCs w:val="30"/>
        </w:rPr>
      </w:pPr>
      <w:r>
        <w:rPr>
          <w:rFonts w:eastAsia="Arial" w:cs="Calibri" w:cstheme="majorHAnsi" w:ascii="Calibri" w:hAnsi="Calibri"/>
          <w:b/>
          <w:sz w:val="30"/>
          <w:szCs w:val="30"/>
        </w:rPr>
      </w:r>
    </w:p>
    <w:p>
      <w:pPr>
        <w:pStyle w:val="normal1"/>
        <w:jc w:val="center"/>
        <w:rPr>
          <w:rFonts w:ascii="Calibri" w:hAnsi="Calibri" w:eastAsia="Arial" w:cs="Calibri" w:asciiTheme="majorHAnsi" w:cstheme="majorHAnsi" w:hAnsiTheme="majorHAnsi"/>
          <w:b/>
          <w:sz w:val="30"/>
          <w:szCs w:val="30"/>
        </w:rPr>
      </w:pPr>
      <w:r>
        <w:rPr>
          <w:rFonts w:eastAsia="Arial" w:cs="Calibri" w:cstheme="majorHAnsi" w:ascii="Calibri" w:hAnsi="Calibri"/>
          <w:b/>
          <w:sz w:val="30"/>
          <w:szCs w:val="30"/>
        </w:rPr>
      </w:r>
    </w:p>
    <w:p>
      <w:pPr>
        <w:pStyle w:val="normal1"/>
        <w:rPr>
          <w:rFonts w:ascii="Calibri" w:hAnsi="Calibri" w:eastAsia="Arial" w:cs="Calibri" w:asciiTheme="majorHAnsi" w:cstheme="majorHAnsi" w:hAnsiTheme="majorHAnsi"/>
          <w:b/>
          <w:bCs/>
        </w:rPr>
      </w:pPr>
      <w:r>
        <w:rPr>
          <w:rFonts w:eastAsia="Arial" w:cs="Calibri" w:ascii="Calibri" w:hAnsi="Calibri" w:asciiTheme="majorHAnsi" w:cstheme="majorHAnsi" w:hAnsiTheme="majorHAnsi"/>
          <w:b/>
          <w:bCs/>
        </w:rPr>
        <w:t xml:space="preserve">Nazwa zamówienia: </w:t>
      </w:r>
    </w:p>
    <w:p>
      <w:pPr>
        <w:pStyle w:val="normal1"/>
        <w:rPr>
          <w:rFonts w:ascii="Calibri" w:hAnsi="Calibri" w:eastAsia="Arial" w:cs="Calibri" w:asciiTheme="majorHAnsi" w:cstheme="majorHAnsi" w:hAnsiTheme="majorHAnsi"/>
          <w:b/>
          <w:bCs/>
        </w:rPr>
      </w:pPr>
      <w:r>
        <w:rPr>
          <w:rFonts w:eastAsia="Arial" w:cs="Calibri" w:cstheme="majorHAnsi" w:ascii="Calibri" w:hAnsi="Calibri"/>
          <w:b/>
          <w:bCs/>
        </w:rPr>
      </w:r>
    </w:p>
    <w:p>
      <w:pPr>
        <w:pStyle w:val="normal1"/>
        <w:jc w:val="center"/>
        <w:rPr>
          <w:rFonts w:ascii="Calibri" w:hAnsi="Calibri" w:eastAsia="Arial" w:cs="Calibri" w:asciiTheme="majorHAnsi" w:cstheme="majorHAnsi" w:hAnsiTheme="majorHAnsi"/>
          <w:b/>
          <w:bCs/>
        </w:rPr>
      </w:pPr>
      <w:r>
        <w:rPr>
          <w:rFonts w:eastAsia="Arial" w:cs="Calibri" w:ascii="Calibri" w:hAnsi="Calibri" w:asciiTheme="majorHAnsi" w:cstheme="majorHAnsi" w:hAnsiTheme="majorHAnsi"/>
          <w:b/>
          <w:bCs/>
        </w:rPr>
        <w:t xml:space="preserve">Dostawa urządzeń i oprogramowania </w:t>
      </w:r>
    </w:p>
    <w:p>
      <w:pPr>
        <w:pStyle w:val="normal1"/>
        <w:jc w:val="center"/>
        <w:rPr>
          <w:rFonts w:ascii="Calibri" w:hAnsi="Calibri" w:eastAsia="Arial" w:cs="Calibri" w:asciiTheme="majorHAnsi" w:cstheme="majorHAnsi" w:hAnsiTheme="majorHAnsi"/>
          <w:b/>
          <w:bCs/>
        </w:rPr>
      </w:pPr>
      <w:r>
        <w:rPr>
          <w:rFonts w:eastAsia="Arial" w:cs="Calibri" w:ascii="Calibri" w:hAnsi="Calibri" w:asciiTheme="majorHAnsi" w:cstheme="majorHAnsi" w:hAnsiTheme="majorHAnsi"/>
          <w:b/>
          <w:bCs/>
        </w:rPr>
        <w:t xml:space="preserve">wraz z wdrożeniem w ramach </w:t>
      </w:r>
      <w:r>
        <w:rPr>
          <w:rFonts w:eastAsia="Arial" w:cs="Calibri" w:ascii="Calibri" w:hAnsi="Calibri" w:asciiTheme="majorHAnsi" w:cstheme="majorHAnsi" w:hAnsiTheme="majorHAnsi"/>
          <w:b/>
          <w:bCs/>
        </w:rPr>
        <w:t>p</w:t>
      </w:r>
      <w:r>
        <w:rPr>
          <w:rFonts w:eastAsia="Arial" w:cs="Calibri" w:ascii="Calibri" w:hAnsi="Calibri" w:asciiTheme="majorHAnsi" w:cstheme="majorHAnsi" w:hAnsiTheme="majorHAnsi"/>
          <w:b/>
          <w:bCs/>
        </w:rPr>
        <w:t>rojektu Cyberbezpieczny Samorząd</w:t>
      </w:r>
    </w:p>
    <w:p>
      <w:pPr>
        <w:pStyle w:val="normal1"/>
        <w:rPr>
          <w:rFonts w:ascii="Calibri" w:hAnsi="Calibri" w:eastAsia="Arial" w:cs="Calibri" w:asciiTheme="majorHAnsi" w:cstheme="majorHAnsi" w:hAnsiTheme="majorHAnsi"/>
          <w:b/>
          <w:bCs/>
        </w:rPr>
      </w:pPr>
      <w:r>
        <w:rPr>
          <w:rFonts w:eastAsia="Arial" w:cs="Calibri" w:cstheme="majorHAnsi" w:ascii="Calibri" w:hAnsi="Calibri"/>
          <w:b/>
          <w:bCs/>
        </w:rPr>
      </w:r>
    </w:p>
    <w:p>
      <w:pPr>
        <w:pStyle w:val="normal1"/>
        <w:rPr>
          <w:rFonts w:ascii="Calibri" w:hAnsi="Calibri" w:eastAsia="Arial" w:cs="Calibri" w:asciiTheme="majorHAnsi" w:cstheme="majorHAnsi" w:hAnsiTheme="majorHAnsi"/>
          <w:b/>
          <w:bCs/>
        </w:rPr>
      </w:pPr>
      <w:r>
        <w:rPr>
          <w:rFonts w:eastAsia="Arial" w:cs="Calibri" w:cstheme="majorHAnsi" w:ascii="Calibri" w:hAnsi="Calibri"/>
          <w:b/>
          <w:bCs/>
        </w:rPr>
      </w:r>
    </w:p>
    <w:p>
      <w:pPr>
        <w:pStyle w:val="normal1"/>
        <w:rPr>
          <w:rFonts w:ascii="Calibri" w:hAnsi="Calibri" w:eastAsia="Arial" w:cs="Calibri" w:asciiTheme="majorHAnsi" w:cstheme="majorHAnsi" w:hAnsiTheme="majorHAnsi"/>
          <w:b/>
          <w:bCs/>
        </w:rPr>
      </w:pPr>
      <w:r>
        <w:rPr>
          <w:rFonts w:eastAsia="Arial" w:cs="Calibri" w:cstheme="majorHAnsi" w:ascii="Calibri" w:hAnsi="Calibri"/>
          <w:b/>
          <w:bCs/>
        </w:rPr>
      </w:r>
    </w:p>
    <w:p>
      <w:pPr>
        <w:pStyle w:val="normal1"/>
        <w:rPr>
          <w:rFonts w:ascii="Calibri" w:hAnsi="Calibri" w:eastAsia="Arial" w:cs="Calibri" w:asciiTheme="majorHAnsi" w:cstheme="majorHAnsi" w:hAnsiTheme="majorHAnsi"/>
          <w:b/>
          <w:bCs/>
        </w:rPr>
      </w:pPr>
      <w:r>
        <w:rPr>
          <w:rFonts w:eastAsia="Arial" w:cs="Calibri" w:cstheme="majorHAnsi" w:ascii="Calibri" w:hAnsi="Calibri"/>
          <w:b/>
          <w:bCs/>
        </w:rPr>
      </w:r>
    </w:p>
    <w:p>
      <w:pPr>
        <w:pStyle w:val="normal1"/>
        <w:rPr>
          <w:rFonts w:ascii="Calibri" w:hAnsi="Calibri" w:eastAsia="Arial" w:cs="Calibri" w:asciiTheme="majorHAnsi" w:cstheme="majorHAnsi" w:hAnsiTheme="majorHAnsi"/>
          <w:b/>
          <w:bCs/>
        </w:rPr>
      </w:pPr>
      <w:r>
        <w:rPr>
          <w:rFonts w:eastAsia="Arial" w:cs="Calibri" w:cstheme="majorHAnsi" w:ascii="Calibri" w:hAnsi="Calibri"/>
          <w:b/>
          <w:bCs/>
        </w:rPr>
      </w:r>
    </w:p>
    <w:p>
      <w:pPr>
        <w:pStyle w:val="normal1"/>
        <w:rPr>
          <w:rFonts w:ascii="Calibri" w:hAnsi="Calibri" w:eastAsia="Arial" w:cs="Calibri" w:asciiTheme="majorHAnsi" w:cstheme="majorHAnsi" w:hAnsiTheme="majorHAnsi"/>
          <w:b/>
          <w:bCs/>
        </w:rPr>
      </w:pPr>
      <w:r>
        <w:rPr>
          <w:rFonts w:eastAsia="Arial" w:cs="Calibri" w:ascii="Calibri" w:hAnsi="Calibri" w:asciiTheme="majorHAnsi" w:cstheme="majorHAnsi" w:hAnsiTheme="majorHAnsi"/>
          <w:b/>
          <w:bCs/>
        </w:rPr>
        <w:t>Znak sprawy: ZP.271.9.2026</w:t>
      </w:r>
    </w:p>
    <w:p>
      <w:pPr>
        <w:pStyle w:val="normal1"/>
        <w:rPr>
          <w:rFonts w:ascii="Calibri" w:hAnsi="Calibri" w:eastAsia="Arial" w:cs="Calibri" w:asciiTheme="majorHAnsi" w:cstheme="majorHAnsi" w:hAnsiTheme="majorHAnsi"/>
          <w:b/>
          <w:bCs/>
          <w:sz w:val="22"/>
          <w:szCs w:val="22"/>
        </w:rPr>
      </w:pPr>
      <w:r>
        <w:rPr>
          <w:rFonts w:eastAsia="Arial" w:cs="Calibri" w:cstheme="majorHAnsi" w:ascii="Calibri" w:hAnsi="Calibri"/>
          <w:b/>
          <w:bCs/>
          <w:sz w:val="22"/>
          <w:szCs w:val="22"/>
        </w:rPr>
      </w:r>
    </w:p>
    <w:p>
      <w:pPr>
        <w:pStyle w:val="normal1"/>
        <w:rPr>
          <w:rFonts w:ascii="Calibri" w:hAnsi="Calibri" w:eastAsia="Arial" w:cs="Calibri" w:asciiTheme="majorHAnsi" w:cstheme="majorHAnsi" w:hAnsiTheme="majorHAnsi"/>
          <w:b/>
          <w:bCs/>
          <w:sz w:val="22"/>
          <w:szCs w:val="22"/>
        </w:rPr>
      </w:pPr>
      <w:r>
        <w:rPr>
          <w:rFonts w:eastAsia="Arial" w:cs="Calibri" w:cstheme="majorHAnsi" w:ascii="Calibri" w:hAnsi="Calibri"/>
          <w:b/>
          <w:bCs/>
          <w:sz w:val="22"/>
          <w:szCs w:val="22"/>
        </w:rPr>
      </w:r>
    </w:p>
    <w:p>
      <w:pPr>
        <w:pStyle w:val="normal1"/>
        <w:rPr>
          <w:rFonts w:ascii="Calibri" w:hAnsi="Calibri" w:eastAsia="Arial" w:cs="Calibri" w:asciiTheme="majorHAnsi" w:cstheme="majorHAnsi" w:hAnsiTheme="majorHAnsi"/>
          <w:b/>
          <w:bCs/>
          <w:color w:val="729FCF"/>
          <w:sz w:val="22"/>
          <w:szCs w:val="22"/>
        </w:rPr>
      </w:pPr>
      <w:r>
        <w:rPr>
          <w:rFonts w:eastAsia="Arial" w:cs="Calibri" w:cstheme="majorHAnsi" w:ascii="Calibri" w:hAnsi="Calibri"/>
          <w:b/>
          <w:bCs/>
          <w:color w:val="729FCF"/>
          <w:sz w:val="22"/>
          <w:szCs w:val="22"/>
        </w:rPr>
      </w:r>
    </w:p>
    <w:p>
      <w:pPr>
        <w:pStyle w:val="normal1"/>
        <w:rPr>
          <w:rFonts w:ascii="Calibri" w:hAnsi="Calibri" w:eastAsia="Arial" w:cs="Calibri" w:asciiTheme="majorHAnsi" w:cstheme="majorHAnsi" w:hAnsiTheme="majorHAnsi"/>
          <w:b/>
          <w:bCs/>
          <w:color w:val="729FCF"/>
        </w:rPr>
      </w:pPr>
      <w:r>
        <w:rPr>
          <w:rFonts w:eastAsia="Arial" w:cs="Calibri" w:ascii="Calibri" w:hAnsi="Calibri" w:cstheme="majorHAnsi"/>
          <w:b/>
          <w:bCs/>
          <w:color w:val="729FCF"/>
        </w:rPr>
        <w:t>Zakres przedmiotu nieniejszego zamówienia obejmuje:</w:t>
      </w:r>
    </w:p>
    <w:p>
      <w:pPr>
        <w:pStyle w:val="normal1"/>
        <w:rPr>
          <w:rFonts w:ascii="Calibri" w:hAnsi="Calibri" w:eastAsia="Arial" w:cs="Calibri" w:asciiTheme="majorHAnsi" w:cstheme="majorHAnsi" w:hAnsiTheme="majorHAnsi"/>
          <w:b/>
          <w:bCs/>
          <w:color w:val="729FCF"/>
        </w:rPr>
      </w:pPr>
      <w:r>
        <w:rPr>
          <w:rFonts w:eastAsia="Arial" w:cs="Calibri" w:cstheme="majorHAnsi" w:ascii="Calibri" w:hAnsi="Calibri"/>
          <w:b/>
          <w:bCs/>
          <w:color w:val="729FCF"/>
        </w:rPr>
      </w:r>
    </w:p>
    <w:p>
      <w:pPr>
        <w:pStyle w:val="normal1"/>
        <w:rPr>
          <w:rFonts w:ascii="Calibri" w:hAnsi="Calibri" w:eastAsia="Arial" w:cs="Calibri" w:asciiTheme="majorHAnsi" w:cstheme="majorHAnsi" w:hAnsiTheme="majorHAnsi"/>
          <w:color w:val="729FCF"/>
        </w:rPr>
      </w:pPr>
      <w:r>
        <w:rPr>
          <w:rFonts w:eastAsia="Arial" w:cs="Calibri" w:ascii="Calibri" w:hAnsi="Calibri" w:cstheme="majorHAnsi"/>
          <w:color w:val="729FCF"/>
        </w:rPr>
        <w:t>A. W zakresie kosztów kwalifikowalnych:</w:t>
      </w:r>
    </w:p>
    <w:p>
      <w:pPr>
        <w:pStyle w:val="normal1"/>
        <w:numPr>
          <w:ilvl w:val="0"/>
          <w:numId w:val="1"/>
        </w:numPr>
        <w:spacing w:lineRule="auto" w:line="360"/>
        <w:rPr>
          <w:color w:val="729FCF"/>
        </w:rPr>
      </w:pPr>
      <w:r>
        <w:rPr>
          <w:rFonts w:eastAsia="Arial" w:cs="Calibri" w:ascii="Calibri" w:hAnsi="Calibri" w:asciiTheme="majorHAnsi" w:cstheme="majorHAnsi" w:hAnsiTheme="majorHAnsi"/>
          <w:color w:val="729FCF"/>
        </w:rPr>
        <w:t>Urządzenie do ochrony sieci – UTM – 1 szt</w:t>
      </w:r>
    </w:p>
    <w:p>
      <w:pPr>
        <w:pStyle w:val="normal1"/>
        <w:numPr>
          <w:ilvl w:val="0"/>
          <w:numId w:val="1"/>
        </w:numPr>
        <w:spacing w:lineRule="auto" w:line="360"/>
        <w:rPr>
          <w:color w:val="729FCF"/>
        </w:rPr>
      </w:pPr>
      <w:r>
        <w:rPr>
          <w:rFonts w:eastAsia="Arial" w:cs="Calibri" w:ascii="Calibri" w:hAnsi="Calibri" w:asciiTheme="majorHAnsi" w:cstheme="majorHAnsi" w:hAnsiTheme="majorHAnsi"/>
          <w:color w:val="729FCF"/>
        </w:rPr>
        <w:t>Serwer – 2 szt</w:t>
      </w:r>
    </w:p>
    <w:p>
      <w:pPr>
        <w:pStyle w:val="normal1"/>
        <w:numPr>
          <w:ilvl w:val="0"/>
          <w:numId w:val="1"/>
        </w:numPr>
        <w:spacing w:lineRule="auto" w:line="360"/>
        <w:rPr>
          <w:rFonts w:ascii="Calibri" w:hAnsi="Calibri" w:eastAsia="Arial" w:cs="Calibri" w:asciiTheme="majorHAnsi" w:cstheme="majorHAnsi" w:hAnsiTheme="majorHAnsi"/>
          <w:color w:val="729FCF"/>
        </w:rPr>
      </w:pPr>
      <w:r>
        <w:rPr>
          <w:rFonts w:eastAsia="Arial" w:cs="Calibri" w:ascii="Calibri" w:hAnsi="Calibri" w:cstheme="majorHAnsi"/>
          <w:color w:val="729FCF"/>
        </w:rPr>
        <w:t>Urządzenie NAS – 2 szt</w:t>
      </w:r>
    </w:p>
    <w:p>
      <w:pPr>
        <w:pStyle w:val="normal1"/>
        <w:spacing w:lineRule="auto" w:line="360"/>
        <w:rPr>
          <w:rFonts w:ascii="Calibri" w:hAnsi="Calibri" w:eastAsia="Arial" w:cs="Calibri" w:asciiTheme="majorHAnsi" w:cstheme="majorHAnsi" w:hAnsiTheme="majorHAnsi"/>
          <w:color w:val="729FCF"/>
        </w:rPr>
      </w:pPr>
      <w:r>
        <w:rPr>
          <w:rFonts w:eastAsia="Arial" w:cs="Calibri" w:ascii="Calibri" w:hAnsi="Calibri" w:cstheme="majorHAnsi"/>
          <w:color w:val="729FCF"/>
        </w:rPr>
        <w:t>B. W zakresie kosztów niekwalifikowalnych:</w:t>
      </w:r>
    </w:p>
    <w:p>
      <w:pPr>
        <w:pStyle w:val="normal1"/>
        <w:numPr>
          <w:ilvl w:val="0"/>
          <w:numId w:val="60"/>
        </w:numPr>
        <w:spacing w:lineRule="auto" w:line="360"/>
        <w:rPr>
          <w:color w:val="729FCF"/>
        </w:rPr>
      </w:pPr>
      <w:r>
        <w:rPr>
          <w:rFonts w:eastAsia="Arial" w:cs="Calibri" w:ascii="Calibri" w:hAnsi="Calibri" w:asciiTheme="majorHAnsi" w:cstheme="majorHAnsi" w:hAnsiTheme="majorHAnsi"/>
          <w:color w:val="729FCF"/>
        </w:rPr>
        <w:t>Zasilacze awaryjne – UPS-y 1szt.</w:t>
      </w:r>
    </w:p>
    <w:p>
      <w:pPr>
        <w:pStyle w:val="normal1"/>
        <w:numPr>
          <w:ilvl w:val="0"/>
          <w:numId w:val="60"/>
        </w:numPr>
        <w:spacing w:lineRule="auto" w:line="360"/>
        <w:rPr>
          <w:rFonts w:ascii="Calibri" w:hAnsi="Calibri" w:eastAsia="Arial" w:cs="Calibri" w:asciiTheme="majorHAnsi" w:cstheme="majorHAnsi" w:hAnsiTheme="majorHAnsi"/>
          <w:color w:val="729FCF"/>
        </w:rPr>
      </w:pPr>
      <w:bookmarkStart w:id="0" w:name="_Hlk169779521"/>
      <w:r>
        <w:rPr>
          <w:rFonts w:eastAsia="Arial" w:cs="Calibri" w:ascii="Calibri" w:hAnsi="Calibri" w:cstheme="majorHAnsi"/>
          <w:color w:val="729FCF"/>
        </w:rPr>
        <w:t xml:space="preserve">Oprogramowanie antywirusowe – 20 licencji dla stacji roboczych i 3 licencje dla serwerów </w:t>
        <w:br/>
        <w:t>z subskrypcją do 24 miesięcy od dnia podpisania protokołu odbioru.</w:t>
      </w:r>
      <w:bookmarkEnd w:id="0"/>
    </w:p>
    <w:p>
      <w:pPr>
        <w:pStyle w:val="normal1"/>
        <w:numPr>
          <w:ilvl w:val="0"/>
          <w:numId w:val="0"/>
        </w:numPr>
        <w:spacing w:lineRule="auto" w:line="360"/>
        <w:ind w:hanging="0" w:start="720"/>
        <w:rPr>
          <w:rFonts w:ascii="Calibri" w:hAnsi="Calibri" w:eastAsia="Arial" w:cs="Calibri" w:asciiTheme="majorHAnsi" w:cstheme="majorHAnsi" w:hAnsiTheme="majorHAnsi"/>
          <w:color w:val="729FCF"/>
        </w:rPr>
      </w:pPr>
      <w:r>
        <w:rPr>
          <w:rFonts w:eastAsia="Arial" w:cs="Calibri" w:cstheme="majorHAnsi" w:ascii="Calibri" w:hAnsi="Calibri"/>
          <w:color w:val="729FCF"/>
        </w:rPr>
      </w:r>
    </w:p>
    <w:p>
      <w:pPr>
        <w:pStyle w:val="normal1"/>
        <w:spacing w:lineRule="auto" w:line="360"/>
        <w:ind w:start="142"/>
        <w:rPr>
          <w:rFonts w:ascii="Calibri" w:hAnsi="Calibri" w:eastAsia="Arial" w:cs="Calibri" w:asciiTheme="majorHAnsi" w:cstheme="majorHAnsi" w:hAnsiTheme="majorHAnsi"/>
          <w:color w:val="002060"/>
          <w:sz w:val="28"/>
          <w:szCs w:val="28"/>
        </w:rPr>
      </w:pPr>
      <w:r>
        <w:rPr>
          <w:rFonts w:eastAsia="Arial" w:cs="Calibri" w:ascii="Calibri" w:hAnsi="Calibri" w:asciiTheme="majorHAnsi" w:cstheme="majorHAnsi" w:hAnsiTheme="majorHAnsi"/>
          <w:color w:val="002060"/>
          <w:sz w:val="28"/>
          <w:szCs w:val="28"/>
        </w:rPr>
        <w:t>1 . Urządzenie do ochrony sieci – UTM:</w:t>
      </w:r>
    </w:p>
    <w:p>
      <w:pPr>
        <w:pStyle w:val="normal1"/>
        <w:spacing w:lineRule="auto" w:line="360"/>
        <w:rPr>
          <w:rFonts w:ascii="Calibri" w:hAnsi="Calibri" w:eastAsia="Arial" w:cs="Calibri"/>
          <w:color w:val="002060"/>
        </w:rPr>
      </w:pPr>
      <w:r>
        <w:rPr>
          <w:rFonts w:eastAsia="Times New Roman" w:cs="Calibri" w:ascii="Calibri" w:hAnsi="Calibri"/>
          <w:b/>
          <w:bCs/>
          <w:color w:val="000000"/>
          <w:sz w:val="22"/>
          <w:szCs w:val="22"/>
          <w:lang w:eastAsia="en-US" w:bidi="ar-SA"/>
        </w:rPr>
        <w:t>Wymagania Ogólne</w:t>
      </w:r>
    </w:p>
    <w:p>
      <w:pPr>
        <w:pStyle w:val="Normal"/>
        <w:suppressAutoHyphens w:val="false"/>
        <w:spacing w:lineRule="auto" w:line="276" w:before="0" w:after="200"/>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bezpieczeństwa realizuje wszystkie wymienione poniżej funkcje sieciowe i bezpieczeństwa </w:t>
        <w:br/>
        <w:t xml:space="preserve">niezależnie od dostawcy łącza. Poszczególne elementy wchodzące w skład systemu bezpieczeństwa mogą być zrealizowane w postaci osobnych, komercyjnych platform sprzętowych lub komercyjnych aplikacji </w:t>
        <w:br/>
        <w:t xml:space="preserve">instalowanych na platformach ogólnego przeznaczenia. W przypadku implementacji programowej muszą być zapewnione niezbędne platformy sprzętowe wraz z odpowiednio zabezpieczonym systemem </w:t>
        <w:br/>
        <w:t xml:space="preserve">operacyjnym. Dla wszystkich funkcji systemu musi być dostarczony dokument potwierdzony przez </w:t>
        <w:br/>
        <w:t>producenta lub autoryzowanego dystrybutora o gotowości świadczenia usług wsparcia w języku polskim oraz bezpłatnej obsługi procesu wymiany uszkodzonego urządzenia.</w:t>
      </w:r>
    </w:p>
    <w:p>
      <w:pPr>
        <w:pStyle w:val="Normal"/>
        <w:suppressAutoHyphens w:val="false"/>
        <w:spacing w:lineRule="auto" w:line="276" w:before="0" w:after="200"/>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realizujący funkcję Firewall zapewnia pracę w jednym z trzech trybów: Routera z funkcją NAT, transparentnym oraz monitorowania na porcie SPAN.</w:t>
      </w:r>
    </w:p>
    <w:p>
      <w:pPr>
        <w:pStyle w:val="Normal"/>
        <w:suppressAutoHyphens w:val="false"/>
        <w:spacing w:lineRule="auto" w:line="276" w:before="0" w:after="200"/>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umożliwia budowę minimum 2 oddzielnych (fizycznych lub logicznych) instancji systemów </w:t>
        <w:br/>
        <w:t>w zakresie: Routingu, Firewall’a, IPSec VPN, Antywirus, IPS, Kontroli Aplikacji. Powinna istnieć możliwość dedykowania co najmniej 4 administratorów do poszczególnych instancji systemu.</w:t>
      </w:r>
    </w:p>
    <w:p>
      <w:pPr>
        <w:pStyle w:val="Normal"/>
        <w:suppressAutoHyphens w:val="false"/>
        <w:spacing w:lineRule="auto" w:line="276" w:before="0" w:after="200"/>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wspiera protokoły IPv4 oraz IPv6 w zakresie:</w:t>
      </w:r>
    </w:p>
    <w:p>
      <w:pPr>
        <w:pStyle w:val="Normal"/>
        <w:numPr>
          <w:ilvl w:val="0"/>
          <w:numId w:val="2"/>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Firewall.</w:t>
      </w:r>
    </w:p>
    <w:p>
      <w:pPr>
        <w:pStyle w:val="Normal"/>
        <w:numPr>
          <w:ilvl w:val="0"/>
          <w:numId w:val="3"/>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Ochrony w warstwie aplikacji.</w:t>
      </w:r>
    </w:p>
    <w:p>
      <w:pPr>
        <w:pStyle w:val="Normal"/>
        <w:numPr>
          <w:ilvl w:val="0"/>
          <w:numId w:val="4"/>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Protokołów routingu dynamicznego.</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Redundancja, monitoring i wykrywanie awarii</w:t>
      </w:r>
    </w:p>
    <w:p>
      <w:pPr>
        <w:pStyle w:val="Normal"/>
        <w:numPr>
          <w:ilvl w:val="0"/>
          <w:numId w:val="5"/>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W przypadku systemu pełniącego funkcje: Firewall, IPSec, Kontrola Aplikacji oraz IPS – istnieje </w:t>
        <w:br/>
        <w:t xml:space="preserve">możliwość łączenia w klaster Active-Active lub Active-Passive. W obu trybach system firewall </w:t>
        <w:br/>
        <w:t>zapewnia funkcję synchronizacji sesji.</w:t>
      </w:r>
    </w:p>
    <w:p>
      <w:pPr>
        <w:pStyle w:val="Normal"/>
        <w:numPr>
          <w:ilvl w:val="0"/>
          <w:numId w:val="5"/>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Monitoring i wykrywanie uszkodzenia elementów sprzętowych i programowych systemów </w:t>
        <w:br/>
        <w:t>zabezpieczeń oraz łączy sieciowych.</w:t>
      </w:r>
    </w:p>
    <w:p>
      <w:pPr>
        <w:pStyle w:val="Normal"/>
        <w:numPr>
          <w:ilvl w:val="0"/>
          <w:numId w:val="5"/>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Monitoring stanu realizowanych połączeń VPN.</w:t>
      </w:r>
    </w:p>
    <w:p>
      <w:pPr>
        <w:pStyle w:val="Normal"/>
        <w:numPr>
          <w:ilvl w:val="0"/>
          <w:numId w:val="5"/>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umożliwia agregację linków statyczną oraz w oparciu o protokół LACP. Ponadto daje </w:t>
        <w:br/>
        <w:t>możliwość tworzenia interfejsów redundantnych.</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Interfejsy, Dysk, Zasilanie:</w:t>
      </w:r>
    </w:p>
    <w:p>
      <w:pPr>
        <w:pStyle w:val="Normal"/>
        <w:numPr>
          <w:ilvl w:val="0"/>
          <w:numId w:val="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realizujący funkcję Firewall dysponuje co najmniej poniższą liczbą i rodzajem interfejsów: </w:t>
      </w:r>
    </w:p>
    <w:p>
      <w:pPr>
        <w:pStyle w:val="Normal"/>
        <w:numPr>
          <w:ilvl w:val="0"/>
          <w:numId w:val="7"/>
        </w:numPr>
        <w:suppressAutoHyphens w:val="false"/>
        <w:spacing w:lineRule="auto" w:line="276" w:before="0" w:after="200"/>
        <w:ind w:hanging="360" w:start="1134"/>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5 portami Gigabit Ethernet RJ-45.</w:t>
      </w:r>
    </w:p>
    <w:p>
      <w:pPr>
        <w:pStyle w:val="Normal"/>
        <w:numPr>
          <w:ilvl w:val="0"/>
          <w:numId w:val="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Firewall posiada wbudowany port konsoli szeregowej oraz gniazdo USB umożliwiające </w:t>
        <w:br/>
        <w:t>podłączenie modemu 3G/4G oraz instalacji oprogramowania z klucza USB.</w:t>
      </w:r>
    </w:p>
    <w:p>
      <w:pPr>
        <w:pStyle w:val="Normal"/>
        <w:numPr>
          <w:ilvl w:val="0"/>
          <w:numId w:val="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Firewall pozwala skonfigurować co najmniej 200 interfejsów wirtualnych, definiowanych </w:t>
        <w:br/>
        <w:t>jako VLAN’y w oparciu o standard 802.1Q.</w:t>
      </w:r>
    </w:p>
    <w:p>
      <w:pPr>
        <w:pStyle w:val="Normal"/>
        <w:numPr>
          <w:ilvl w:val="0"/>
          <w:numId w:val="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jest wyposażony w zasilanie AC.</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Parametry wydajnościowe:</w:t>
      </w:r>
    </w:p>
    <w:p>
      <w:pPr>
        <w:pStyle w:val="Normal"/>
        <w:numPr>
          <w:ilvl w:val="0"/>
          <w:numId w:val="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W zakresie Firewall’a obsługa nie mniej niż 700 tys. jednoczesnych połączeń oraz 32 tys. nowych połączeń na sekundę.</w:t>
      </w:r>
    </w:p>
    <w:p>
      <w:pPr>
        <w:pStyle w:val="Normal"/>
        <w:numPr>
          <w:ilvl w:val="0"/>
          <w:numId w:val="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Przepustowość Stateful Firewall: nie mniej niż 5 Gbps dla pakietów 512 B.</w:t>
      </w:r>
    </w:p>
    <w:p>
      <w:pPr>
        <w:pStyle w:val="Normal"/>
        <w:numPr>
          <w:ilvl w:val="0"/>
          <w:numId w:val="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Przepustowość Firewall z włączoną funkcją Kontroli Aplikacji: nie mniej niż 950 Mbps.</w:t>
      </w:r>
    </w:p>
    <w:p>
      <w:pPr>
        <w:pStyle w:val="Normal"/>
        <w:numPr>
          <w:ilvl w:val="0"/>
          <w:numId w:val="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Wydajność szyfrowania IPSec VPN protokołem AES z kluczem 128 nie mniej niż 4 Gbps.</w:t>
      </w:r>
    </w:p>
    <w:p>
      <w:pPr>
        <w:pStyle w:val="Normal"/>
        <w:numPr>
          <w:ilvl w:val="0"/>
          <w:numId w:val="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Wydajność skanowania ruchu w celu ochrony przed atakami (zarówno client side jak i server side </w:t>
        <w:br/>
        <w:t>w ramach modułu IPS) dla ruchu Enterprise Traffic Mix - minimum 1 Gbps.</w:t>
      </w:r>
    </w:p>
    <w:p>
      <w:pPr>
        <w:pStyle w:val="Normal"/>
        <w:numPr>
          <w:ilvl w:val="0"/>
          <w:numId w:val="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Wydajność skanowania ruchu typu Enterprise Mix z włączonymi funkcjami: IPS, Application Control, Antywirus - minimum 500 Mbps.</w:t>
      </w:r>
    </w:p>
    <w:p>
      <w:pPr>
        <w:pStyle w:val="Normal"/>
        <w:numPr>
          <w:ilvl w:val="0"/>
          <w:numId w:val="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Wydajność systemu w zakresie inspekcji komunikacji szyfrowanej SSL dla ruchu http – minimum 300 Mbps.</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Funkcje Systemu Bezpieczeństwa:</w:t>
      </w:r>
    </w:p>
    <w:p>
      <w:pPr>
        <w:pStyle w:val="Normal"/>
        <w:suppressAutoHyphens w:val="false"/>
        <w:spacing w:lineRule="auto" w:line="276" w:before="0" w:after="200"/>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W ramach systemu ochrony są realizowane wszystkie poniższe funkcje. Mogą one być zrealizowane </w:t>
        <w:br/>
        <w:t>w postaci osobnych, komercyjnych platform sprzętowych lub programowych:</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Kontrola dostępu - zapora ogniowa klasy Stateful Inspection.</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Kontrola Aplikacji.</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Poufność transmisji danych - połączenia szyfrowane IPSec VPN oraz SSL VPN.</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Ochrona przed malware.</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Ochrona przed atakami - Intrusion Prevention System.</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Kontrola stron WWW.</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Kontrola zawartości poczty – Antyspam dla protokołów SMTP, POP3.</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Zarządzanie pasmem (QoS, Traffic shaping).</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Mechanizmy ochrony przed wyciekiem poufnej informacji (DLP).</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Dwuskładnikowe uwierzytelnianie z wykorzystaniem tokenów sprzętowych lub programowych. </w:t>
        <w:br/>
        <w:t xml:space="preserve">Konieczne są co najmniej 2 tokeny sprzętowe lub programowe, które będą zastosowane </w:t>
        <w:br/>
        <w:t xml:space="preserve">do dwu-składnikowego uwierzytelnienia administratorów lub w ramach połączeń VPN </w:t>
        <w:br/>
        <w:t>typu client-to-site.</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Inspekcja (minimum: IPS) ruchu szyfrowanego protokołem SSL/TLS, minimum dla następujących typów ruchu: HTTP (w tym HTTP/2), SMTP, FTP, POP3.</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Funkcja lokalnego serwera DNS  z możliwością filtrowania zapytań DNS na lokalnym serwerze DNS jak i w ruchu przechodzącym przez system.</w:t>
      </w:r>
    </w:p>
    <w:p>
      <w:pPr>
        <w:pStyle w:val="Normal"/>
        <w:numPr>
          <w:ilvl w:val="0"/>
          <w:numId w:val="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Rozwiązanie posiada wbudowane mechanizmy automatyzacji polegające na wykonaniu określonej sekwencji akcji (takich jak zmiana konfiguracji, wysłanie powiadomień do administratora) po wystąpieniu wybranego zdarzenia (np. naruszenie polityki bezpieczeństwa).</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Polityki, Firewall</w:t>
      </w:r>
    </w:p>
    <w:p>
      <w:pPr>
        <w:pStyle w:val="Normal"/>
        <w:numPr>
          <w:ilvl w:val="0"/>
          <w:numId w:val="1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Polityka Firewall uwzględnia: adresy IP, użytkowników, protokoły, usługi sieciowe, aplikacje </w:t>
        <w:br/>
        <w:t>lub zbiory aplikacji, reakcje zabezpieczeń, rejestrowanie zdarzeń.</w:t>
      </w:r>
    </w:p>
    <w:p>
      <w:pPr>
        <w:pStyle w:val="Normal"/>
        <w:numPr>
          <w:ilvl w:val="0"/>
          <w:numId w:val="1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realizuje translację adresów NAT: źródłowego i docelowego, translację PAT oraz:</w:t>
      </w:r>
    </w:p>
    <w:p>
      <w:pPr>
        <w:pStyle w:val="Normal"/>
        <w:numPr>
          <w:ilvl w:val="0"/>
          <w:numId w:val="11"/>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Translację jeden do jeden oraz jeden do wielu.</w:t>
      </w:r>
    </w:p>
    <w:p>
      <w:pPr>
        <w:pStyle w:val="Normal"/>
        <w:numPr>
          <w:ilvl w:val="0"/>
          <w:numId w:val="12"/>
        </w:numPr>
        <w:suppressAutoHyphens w:val="false"/>
        <w:spacing w:lineRule="auto" w:line="276" w:before="0" w:after="200"/>
        <w:ind w:hanging="360" w:start="1068"/>
        <w:contextualSpacing/>
        <w:jc w:val="both"/>
        <w:rPr>
          <w:rFonts w:ascii="Calibri" w:hAnsi="Calibri" w:eastAsia="Calibri" w:cs="Times New Roman"/>
          <w:sz w:val="22"/>
          <w:szCs w:val="22"/>
          <w:lang w:val="en-US" w:eastAsia="en-US" w:bidi="ar-SA"/>
        </w:rPr>
      </w:pPr>
      <w:r>
        <w:rPr>
          <w:rFonts w:eastAsia="Calibri" w:cs="Times New Roman" w:ascii="Calibri" w:hAnsi="Calibri"/>
          <w:sz w:val="22"/>
          <w:szCs w:val="22"/>
          <w:lang w:val="en-US" w:eastAsia="en-US" w:bidi="ar-SA"/>
        </w:rPr>
        <w:t xml:space="preserve">Dedykowany ALG (Application Level Gateway) dla protokołu SIP. </w:t>
      </w:r>
    </w:p>
    <w:p>
      <w:pPr>
        <w:pStyle w:val="Normal"/>
        <w:numPr>
          <w:ilvl w:val="0"/>
          <w:numId w:val="1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W ramach systemu istnieje możliwość tworzenia wydzielonych stref bezpieczeństwa np. DMZ, LAN, WAN.</w:t>
      </w:r>
    </w:p>
    <w:p>
      <w:pPr>
        <w:pStyle w:val="Normal"/>
        <w:numPr>
          <w:ilvl w:val="0"/>
          <w:numId w:val="1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Możliwość wykorzystania w polityce bezpieczeństwa zewnętrznych repozytoriów zawierających: kategorie URL, adresy IP.</w:t>
      </w:r>
    </w:p>
    <w:p>
      <w:pPr>
        <w:pStyle w:val="Normal"/>
        <w:numPr>
          <w:ilvl w:val="0"/>
          <w:numId w:val="1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Polityka firewall umożliwia filtrowanie ruchu w zależności od kraju, do którego przypisane są adresy IP źródłowe lub docelowe.</w:t>
      </w:r>
    </w:p>
    <w:p>
      <w:pPr>
        <w:pStyle w:val="Normal"/>
        <w:numPr>
          <w:ilvl w:val="0"/>
          <w:numId w:val="1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Możliwość ustawienia przedziału czasu, w którym dana reguła w politykach firewall jest aktywna.</w:t>
      </w:r>
    </w:p>
    <w:p>
      <w:pPr>
        <w:pStyle w:val="Normal"/>
        <w:numPr>
          <w:ilvl w:val="0"/>
          <w:numId w:val="1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Element systemu realizujący funkcję Firewall integruje się z następującymi rozwiązaniami SDN </w:t>
        <w:br/>
        <w:t xml:space="preserve">w celu dynamicznego pobierania informacji o zainstalowanych maszynach wirtualnych po to, </w:t>
        <w:br/>
        <w:t>aby użyć ich przy budowaniu polityk kontroli dostępu.</w:t>
      </w:r>
    </w:p>
    <w:p>
      <w:pPr>
        <w:pStyle w:val="Normal"/>
        <w:numPr>
          <w:ilvl w:val="0"/>
          <w:numId w:val="13"/>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Amazon Web Services (AWS).</w:t>
      </w:r>
    </w:p>
    <w:p>
      <w:pPr>
        <w:pStyle w:val="Normal"/>
        <w:numPr>
          <w:ilvl w:val="0"/>
          <w:numId w:val="14"/>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Microsoft Azure.</w:t>
      </w:r>
    </w:p>
    <w:p>
      <w:pPr>
        <w:pStyle w:val="Normal"/>
        <w:numPr>
          <w:ilvl w:val="0"/>
          <w:numId w:val="15"/>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Cisco ACI.</w:t>
      </w:r>
    </w:p>
    <w:p>
      <w:pPr>
        <w:pStyle w:val="Normal"/>
        <w:numPr>
          <w:ilvl w:val="0"/>
          <w:numId w:val="16"/>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Google Cloud Platform (GCP).</w:t>
      </w:r>
    </w:p>
    <w:p>
      <w:pPr>
        <w:pStyle w:val="Normal"/>
        <w:numPr>
          <w:ilvl w:val="0"/>
          <w:numId w:val="17"/>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OpenStack.</w:t>
      </w:r>
    </w:p>
    <w:p>
      <w:pPr>
        <w:pStyle w:val="Normal"/>
        <w:numPr>
          <w:ilvl w:val="0"/>
          <w:numId w:val="18"/>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VMware NSX.</w:t>
      </w:r>
    </w:p>
    <w:p>
      <w:pPr>
        <w:pStyle w:val="Normal"/>
        <w:numPr>
          <w:ilvl w:val="0"/>
          <w:numId w:val="19"/>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Kubernetes.</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Połączenia VPN</w:t>
      </w:r>
    </w:p>
    <w:p>
      <w:pPr>
        <w:pStyle w:val="Normal"/>
        <w:numPr>
          <w:ilvl w:val="0"/>
          <w:numId w:val="2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umożliwia konfigurację połączeń typu IPSec VPN. W zakresie tej funkcji zapewnia:</w:t>
      </w:r>
    </w:p>
    <w:p>
      <w:pPr>
        <w:pStyle w:val="Normal"/>
        <w:numPr>
          <w:ilvl w:val="0"/>
          <w:numId w:val="21"/>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Wsparcie dla IKE v1 oraz v2.</w:t>
      </w:r>
    </w:p>
    <w:p>
      <w:pPr>
        <w:pStyle w:val="Normal"/>
        <w:numPr>
          <w:ilvl w:val="0"/>
          <w:numId w:val="22"/>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Obsługę szyfrowania protokołem minimum AES z kluczem  128 oraz 256 bitów w trybie pracy Galois/Counter Mode(GCM).</w:t>
      </w:r>
    </w:p>
    <w:p>
      <w:pPr>
        <w:pStyle w:val="Normal"/>
        <w:numPr>
          <w:ilvl w:val="0"/>
          <w:numId w:val="23"/>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Obsługa protokołu Diffie-Hellman  grup 19, 20.</w:t>
      </w:r>
    </w:p>
    <w:p>
      <w:pPr>
        <w:pStyle w:val="Normal"/>
        <w:numPr>
          <w:ilvl w:val="0"/>
          <w:numId w:val="24"/>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Tworzenie połączeń typu Site-to-Site oraz Client-to-Site.</w:t>
      </w:r>
    </w:p>
    <w:p>
      <w:pPr>
        <w:pStyle w:val="Normal"/>
        <w:numPr>
          <w:ilvl w:val="0"/>
          <w:numId w:val="25"/>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Monitorowanie stanu tuneli VPN i stałego utrzymywania ich aktywności.</w:t>
      </w:r>
    </w:p>
    <w:p>
      <w:pPr>
        <w:pStyle w:val="Normal"/>
        <w:numPr>
          <w:ilvl w:val="0"/>
          <w:numId w:val="26"/>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Możliwość wyboru tunelu przez protokoły: dynamicznego routingu (np. OSPF) oraz routingu statycznego.</w:t>
      </w:r>
    </w:p>
    <w:p>
      <w:pPr>
        <w:pStyle w:val="Normal"/>
        <w:numPr>
          <w:ilvl w:val="0"/>
          <w:numId w:val="27"/>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Wsparcie dla następujących typów uwierzytelniania: pre-shared key, certyfikat.</w:t>
      </w:r>
    </w:p>
    <w:p>
      <w:pPr>
        <w:pStyle w:val="Normal"/>
        <w:numPr>
          <w:ilvl w:val="0"/>
          <w:numId w:val="28"/>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Możliwość ustawienia maksymalnej liczby tuneli IPSec negocjowanych (nawiązywanych) </w:t>
        <w:br/>
        <w:t>jednocześnie w celu ochrony zasobów systemu.</w:t>
      </w:r>
    </w:p>
    <w:p>
      <w:pPr>
        <w:pStyle w:val="Normal"/>
        <w:numPr>
          <w:ilvl w:val="0"/>
          <w:numId w:val="29"/>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Możliwość monitorowania wybranego tunelu IPSec site-to-site i w przypadku jego </w:t>
        <w:br/>
        <w:t>niedostępności automatycznego aktywowania zapasowego tunelu.</w:t>
      </w:r>
    </w:p>
    <w:p>
      <w:pPr>
        <w:pStyle w:val="Normal"/>
        <w:numPr>
          <w:ilvl w:val="0"/>
          <w:numId w:val="30"/>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Obsługę mechanizmów: IPSec NAT Traversal, DPD, Xauth.</w:t>
      </w:r>
    </w:p>
    <w:p>
      <w:pPr>
        <w:pStyle w:val="Normal"/>
        <w:numPr>
          <w:ilvl w:val="0"/>
          <w:numId w:val="31"/>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Mechanizm „Split tunneling” dla połączeń Client-to-Site.</w:t>
      </w:r>
    </w:p>
    <w:p>
      <w:pPr>
        <w:pStyle w:val="Normal"/>
        <w:numPr>
          <w:ilvl w:val="0"/>
          <w:numId w:val="2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umożliwia konfigurację połączeń typu SSL VPN. W zakresie tej funkcji zapewnia:</w:t>
      </w:r>
    </w:p>
    <w:p>
      <w:pPr>
        <w:pStyle w:val="Normal"/>
        <w:numPr>
          <w:ilvl w:val="0"/>
          <w:numId w:val="32"/>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Pracę w trybie Portal  - gdzie dostęp do chronionych zasobów realizowany jest </w:t>
        <w:br/>
        <w:t xml:space="preserve">za pośrednictwem przeglądarki. W tym zakresie system zapewnia stronę komunikacyjną </w:t>
        <w:br/>
        <w:t>działającą w oparciu o HTML 5.0.</w:t>
      </w:r>
    </w:p>
    <w:p>
      <w:pPr>
        <w:pStyle w:val="Normal"/>
        <w:numPr>
          <w:ilvl w:val="0"/>
          <w:numId w:val="33"/>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Pracę w trybie Tunnel z możliwością włączenia funkcji „Split tunneling” przy zastosowaniu </w:t>
        <w:br/>
        <w:t>dedykowanego klienta.</w:t>
      </w:r>
    </w:p>
    <w:p>
      <w:pPr>
        <w:pStyle w:val="Normal"/>
        <w:numPr>
          <w:ilvl w:val="0"/>
          <w:numId w:val="34"/>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Producent rozwiązania posiada w ofercie oprogramowanie klienckie VPN, które umożliwia </w:t>
        <w:br/>
        <w:t>realizację połączeń IPSec VPN lub SSL VPN. Oprogramowanie klienckie vpn jest dostępne jako opcja i nie jest wymagane w implementacji.</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Routing i obsługa łączy WAN</w:t>
      </w:r>
    </w:p>
    <w:p>
      <w:pPr>
        <w:pStyle w:val="Normal"/>
        <w:suppressAutoHyphens w:val="false"/>
        <w:spacing w:lineRule="auto" w:line="276" w:before="0" w:after="200"/>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W zakresie routingu rozwiązanie zapewnia obsługę:</w:t>
      </w:r>
    </w:p>
    <w:p>
      <w:pPr>
        <w:pStyle w:val="Normal"/>
        <w:numPr>
          <w:ilvl w:val="0"/>
          <w:numId w:val="35"/>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Routingu statycznego.</w:t>
      </w:r>
    </w:p>
    <w:p>
      <w:pPr>
        <w:pStyle w:val="Normal"/>
        <w:numPr>
          <w:ilvl w:val="0"/>
          <w:numId w:val="35"/>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Policy Based Routingu (w tym: wybór trasy w zależności od adresu źródłowego, protokołu </w:t>
        <w:br/>
        <w:t>sieciowego, oznaczeń Type of Service w nagłówkach IP).</w:t>
      </w:r>
    </w:p>
    <w:p>
      <w:pPr>
        <w:pStyle w:val="Normal"/>
        <w:numPr>
          <w:ilvl w:val="0"/>
          <w:numId w:val="35"/>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Protokołów dynamicznego routingu w oparciu o protokoły: RIPv2 (w tym RIPng), OSPF (w tym OSPFv3), BGP oraz PIM.</w:t>
      </w:r>
    </w:p>
    <w:p>
      <w:pPr>
        <w:pStyle w:val="Normal"/>
        <w:numPr>
          <w:ilvl w:val="0"/>
          <w:numId w:val="35"/>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Możliwość filtrowania tras rozgłaszanych w protokołach dynamicznego routingu.</w:t>
      </w:r>
    </w:p>
    <w:p>
      <w:pPr>
        <w:pStyle w:val="Normal"/>
        <w:numPr>
          <w:ilvl w:val="0"/>
          <w:numId w:val="35"/>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ECMP (Equal cost multi-path) – wybór wielu równoważnych tras w tablicy routingu.</w:t>
      </w:r>
    </w:p>
    <w:p>
      <w:pPr>
        <w:pStyle w:val="Normal"/>
        <w:numPr>
          <w:ilvl w:val="0"/>
          <w:numId w:val="35"/>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BFD (Bidirectional Forwarding Detection).</w:t>
      </w:r>
    </w:p>
    <w:p>
      <w:pPr>
        <w:pStyle w:val="Normal"/>
        <w:numPr>
          <w:ilvl w:val="0"/>
          <w:numId w:val="35"/>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Monitoringu dostępności wybranego adresu IP z danego interfejsu urządzenia i w przypadku jego niedostępności automatyczne usunięcie wybranych tras z tablicy routingu.</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Funkcje SD-WAN</w:t>
      </w:r>
    </w:p>
    <w:p>
      <w:pPr>
        <w:pStyle w:val="Normal"/>
        <w:numPr>
          <w:ilvl w:val="0"/>
          <w:numId w:val="3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umożliwia wykorzystanie protokołów dynamicznego routingu przy konfiguracji równoważenia obciążenia do łączy WAN.</w:t>
      </w:r>
    </w:p>
    <w:p>
      <w:pPr>
        <w:pStyle w:val="Normal"/>
        <w:numPr>
          <w:ilvl w:val="0"/>
          <w:numId w:val="3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SD-WAN wspiera zarówno interfejsy fizyczne jak i wirtualne (w tym VLAN, IPSec).</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Zarządzanie pasmem</w:t>
      </w:r>
    </w:p>
    <w:p>
      <w:pPr>
        <w:pStyle w:val="Normal"/>
        <w:numPr>
          <w:ilvl w:val="0"/>
          <w:numId w:val="37"/>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Firewall umożliwia zarządzanie pasmem poprzez określenie: maksymalnej i gwarantowanej ilości pasma, oznaczanie DSCP oraz wskazanie priorytetu ruchu.</w:t>
      </w:r>
    </w:p>
    <w:p>
      <w:pPr>
        <w:pStyle w:val="Normal"/>
        <w:numPr>
          <w:ilvl w:val="0"/>
          <w:numId w:val="37"/>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daje możliwość określania pasma dla poszczególnych aplikacji.</w:t>
      </w:r>
    </w:p>
    <w:p>
      <w:pPr>
        <w:pStyle w:val="Normal"/>
        <w:numPr>
          <w:ilvl w:val="0"/>
          <w:numId w:val="37"/>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pozwala zdefiniować pasmo dla wybranych użytkowników niezależnie od ich adresu IP.</w:t>
      </w:r>
    </w:p>
    <w:p>
      <w:pPr>
        <w:pStyle w:val="Normal"/>
        <w:numPr>
          <w:ilvl w:val="0"/>
          <w:numId w:val="37"/>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zapewnia możliwość zarządzania pasmem dla wybranych kategorii URL.</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Ochrona przed malware</w:t>
      </w:r>
    </w:p>
    <w:p>
      <w:pPr>
        <w:pStyle w:val="Normal"/>
        <w:numPr>
          <w:ilvl w:val="0"/>
          <w:numId w:val="3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Silnik antywirusowy umożliwia skanowanie ruchu w obu kierunkach komunikacji dla protokołów działających na niestandardowych portach (np. FTP na porcie 2021).</w:t>
      </w:r>
    </w:p>
    <w:p>
      <w:pPr>
        <w:pStyle w:val="Normal"/>
        <w:numPr>
          <w:ilvl w:val="0"/>
          <w:numId w:val="3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Silnik antywirusowy zapewnia skanowanie następujących protokołów: HTTP, HTTPS, FTP, POP3, IMAP, SMTP, CIFS.</w:t>
      </w:r>
    </w:p>
    <w:p>
      <w:pPr>
        <w:pStyle w:val="Normal"/>
        <w:numPr>
          <w:ilvl w:val="0"/>
          <w:numId w:val="3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umożliwia skanowanie archiwów, w tym co najmniej: Zip, RAR. W przypadku archiwów </w:t>
        <w:br/>
        <w:t>zagnieżdżonych istnieje możliwość określenia, ile zagnieżdżeń kompresji system będzie próbował zdekompresować w celu przeskanowania zawartości.</w:t>
      </w:r>
    </w:p>
    <w:p>
      <w:pPr>
        <w:pStyle w:val="Normal"/>
        <w:numPr>
          <w:ilvl w:val="0"/>
          <w:numId w:val="3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umożliwia blokowanie i logowanie archiwów, które nie mogą zostać przeskanowane, </w:t>
        <w:br/>
        <w:t>ponieważ są zaszyfrowane, uszkodzone lub system nie wspiera inspekcji tego typu archiwów.</w:t>
      </w:r>
    </w:p>
    <w:p>
      <w:pPr>
        <w:pStyle w:val="Normal"/>
        <w:numPr>
          <w:ilvl w:val="0"/>
          <w:numId w:val="3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dysponuje sygnaturami do ochrony urządzeń mobilnych (co najmniej dla systemu operacyjnego Android).</w:t>
      </w:r>
    </w:p>
    <w:p>
      <w:pPr>
        <w:pStyle w:val="Normal"/>
        <w:numPr>
          <w:ilvl w:val="0"/>
          <w:numId w:val="3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Baza sygnatur musi być aktualizowana automatycznie, zgodnie z harmonogramem definiowanym przez administratora.</w:t>
      </w:r>
    </w:p>
    <w:p>
      <w:pPr>
        <w:pStyle w:val="Normal"/>
        <w:numPr>
          <w:ilvl w:val="0"/>
          <w:numId w:val="3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współpracuje z dedykowaną platformą typu Sandbox lub usługą typu Sandbox realizowaną w chmurze. Konieczne jest zastosowanie platformy typu Sandbox wraz z niezbędnymi serwisami </w:t>
        <w:br/>
        <w:t>lub licencjami upoważniającymi do korzystania z usługi typu Sandbox w chmurze.</w:t>
      </w:r>
    </w:p>
    <w:p>
      <w:pPr>
        <w:pStyle w:val="Normal"/>
        <w:numPr>
          <w:ilvl w:val="0"/>
          <w:numId w:val="3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zapewnia usuwanie aktywnej zawartości plików PDF oraz Microsoft Office bez konieczności blokowania transferu całych plików.</w:t>
      </w:r>
    </w:p>
    <w:p>
      <w:pPr>
        <w:pStyle w:val="Normal"/>
        <w:numPr>
          <w:ilvl w:val="0"/>
          <w:numId w:val="3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Możliwość wykorzystania silnika sztucznej inteligencji AI wytrenowanego przez laboratoria </w:t>
        <w:br/>
        <w:t>producenta.</w:t>
      </w:r>
    </w:p>
    <w:p>
      <w:pPr>
        <w:pStyle w:val="Normal"/>
        <w:numPr>
          <w:ilvl w:val="0"/>
          <w:numId w:val="3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Możliwość uruchomienia ochrony przed malware dla wybranego zakresu ruchu.</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Ochrona przed atakami</w:t>
      </w:r>
    </w:p>
    <w:p>
      <w:pPr>
        <w:pStyle w:val="Normal"/>
        <w:numPr>
          <w:ilvl w:val="0"/>
          <w:numId w:val="3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Ochrona IPS opiera się co najmniej na analizie sygnaturowej oraz na analizie anomalii </w:t>
        <w:br/>
        <w:t>w protokołach sieciowych.</w:t>
      </w:r>
    </w:p>
    <w:p>
      <w:pPr>
        <w:pStyle w:val="Normal"/>
        <w:numPr>
          <w:ilvl w:val="0"/>
          <w:numId w:val="3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chroni przed atakami na aplikacje pracujące na niestandardowych portach.</w:t>
      </w:r>
    </w:p>
    <w:p>
      <w:pPr>
        <w:pStyle w:val="Normal"/>
        <w:numPr>
          <w:ilvl w:val="0"/>
          <w:numId w:val="3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Baza sygnatur ataków zawiera minimum 5000 wpisów i jest aktualizowana automatycznie, zgodnie z harmonogramem definiowanym przez administratora.</w:t>
      </w:r>
    </w:p>
    <w:p>
      <w:pPr>
        <w:pStyle w:val="Normal"/>
        <w:numPr>
          <w:ilvl w:val="0"/>
          <w:numId w:val="3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Administrator systemu ma możliwość definiowania własnych wyjątków oraz własnych sygnatur.</w:t>
      </w:r>
    </w:p>
    <w:p>
      <w:pPr>
        <w:pStyle w:val="Normal"/>
        <w:numPr>
          <w:ilvl w:val="0"/>
          <w:numId w:val="3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zapewnia wykrywanie anomalii protokołów i ruchu sieciowego, realizując tym samym </w:t>
        <w:br/>
        <w:t>podstawową ochronę przed atakami typu DoS oraz DDoS.</w:t>
      </w:r>
    </w:p>
    <w:p>
      <w:pPr>
        <w:pStyle w:val="Normal"/>
        <w:numPr>
          <w:ilvl w:val="0"/>
          <w:numId w:val="3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Mechanizmy ochrony dla aplikacji Web’owych na poziomie sygnaturowym (co najmniej ochrona przed: CSS, SQL Injecton, Trojany, Exploity, Roboty).</w:t>
      </w:r>
    </w:p>
    <w:p>
      <w:pPr>
        <w:pStyle w:val="Normal"/>
        <w:numPr>
          <w:ilvl w:val="0"/>
          <w:numId w:val="3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Możliwość kontrolowania długości nagłówka, ilości parametrów URL  oraz Cookies dla protokołu http.</w:t>
      </w:r>
    </w:p>
    <w:p>
      <w:pPr>
        <w:pStyle w:val="Normal"/>
        <w:numPr>
          <w:ilvl w:val="0"/>
          <w:numId w:val="3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Wykrywanie i blokowanie komunikacji C&amp;C do sieci botnet.</w:t>
      </w:r>
    </w:p>
    <w:p>
      <w:pPr>
        <w:pStyle w:val="Normal"/>
        <w:numPr>
          <w:ilvl w:val="0"/>
          <w:numId w:val="3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Możliwość uruchomienia ochrony przed atakami dla wybranych zakresów komunikacji sieciowej. Mechanizmy ochrony IPS nie mogą działać globalnie.</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Kontrola aplikacji</w:t>
      </w:r>
    </w:p>
    <w:p>
      <w:pPr>
        <w:pStyle w:val="Normal"/>
        <w:numPr>
          <w:ilvl w:val="0"/>
          <w:numId w:val="4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Funkcja Kontroli Aplikacji umożliwia kontrolę ruchu na podstawie głębokiej analizy pakietów, </w:t>
        <w:br/>
        <w:t>nie bazując jedynie na wartościach portów TCP/UDP.</w:t>
      </w:r>
    </w:p>
    <w:p>
      <w:pPr>
        <w:pStyle w:val="Normal"/>
        <w:numPr>
          <w:ilvl w:val="0"/>
          <w:numId w:val="4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Baza Kontroli Aplikacji zawiera minimum 2000 sygnatur i jest aktualizowana automatycznie, </w:t>
        <w:br/>
        <w:t>zgodnie z harmonogramem definiowanym przez administratora.</w:t>
      </w:r>
    </w:p>
    <w:p>
      <w:pPr>
        <w:pStyle w:val="Normal"/>
        <w:numPr>
          <w:ilvl w:val="0"/>
          <w:numId w:val="4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Aplikacje chmurowe (co najmniej: Facebook, Google Docs, Dropbox) są kontrolowane </w:t>
        <w:br/>
        <w:t xml:space="preserve">pod względem wykonywanych czynności, np.: pobieranie, wysyłanie plików. </w:t>
      </w:r>
    </w:p>
    <w:p>
      <w:pPr>
        <w:pStyle w:val="Normal"/>
        <w:numPr>
          <w:ilvl w:val="0"/>
          <w:numId w:val="4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Baza sygnatur zawiera kategorie aplikacji szczególnie istotne z punktu widzenia bezpieczeństwa: proxy, P2P.</w:t>
      </w:r>
    </w:p>
    <w:p>
      <w:pPr>
        <w:pStyle w:val="Normal"/>
        <w:numPr>
          <w:ilvl w:val="0"/>
          <w:numId w:val="4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Administrator systemu ma możliwość definiowania wyjątków oraz własnych sygnatur.</w:t>
      </w:r>
    </w:p>
    <w:p>
      <w:pPr>
        <w:pStyle w:val="Normal"/>
        <w:numPr>
          <w:ilvl w:val="0"/>
          <w:numId w:val="4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Istnieje możliwość blokowania aplikacji działających na niestandardowych portach (np. FTP </w:t>
        <w:br/>
        <w:t>na porcie 2021).</w:t>
      </w:r>
    </w:p>
    <w:p>
      <w:pPr>
        <w:pStyle w:val="Normal"/>
        <w:numPr>
          <w:ilvl w:val="0"/>
          <w:numId w:val="40"/>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daje możliwość określenia dopuszczalnych protokołów na danym porcie TCP/UDP </w:t>
        <w:br/>
        <w:t xml:space="preserve">i blokowania pozostałych protokołów korzystających z tego portu (np. dopuszczenie tylko HTTP </w:t>
        <w:br/>
        <w:t>na porcie 80).</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Kontrola WWW</w:t>
      </w:r>
    </w:p>
    <w:p>
      <w:pPr>
        <w:pStyle w:val="Normal"/>
        <w:numPr>
          <w:ilvl w:val="0"/>
          <w:numId w:val="41"/>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Moduł kontroli WWW korzysta z bazy zawierającej co najmniej 40 milionów adresów URL </w:t>
        <w:br/>
        <w:t>pogrupowanych w kategorie tematyczne.</w:t>
      </w:r>
    </w:p>
    <w:p>
      <w:pPr>
        <w:pStyle w:val="Normal"/>
        <w:numPr>
          <w:ilvl w:val="0"/>
          <w:numId w:val="41"/>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W ramach filtra WWW są dostępne kategorie istotne z punktu widzenia bezpieczeństwa, jak: </w:t>
        <w:br/>
        <w:t>malware (lub inne będące źródłem złośliwego oprogramowania), phishing, spam, Dynamic DNS, proxy.</w:t>
      </w:r>
    </w:p>
    <w:p>
      <w:pPr>
        <w:pStyle w:val="Normal"/>
        <w:numPr>
          <w:ilvl w:val="0"/>
          <w:numId w:val="41"/>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Filtr WWW dostarcza kategorii stron zabronionych prawem np.: Hazard.</w:t>
      </w:r>
    </w:p>
    <w:p>
      <w:pPr>
        <w:pStyle w:val="Normal"/>
        <w:numPr>
          <w:ilvl w:val="0"/>
          <w:numId w:val="41"/>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Administrator ma możliwość nadpisywania kategorii oraz tworzenia wyjątków – białe/czarne listy dla adresów URL.</w:t>
      </w:r>
    </w:p>
    <w:p>
      <w:pPr>
        <w:pStyle w:val="Normal"/>
        <w:numPr>
          <w:ilvl w:val="0"/>
          <w:numId w:val="41"/>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Filtr WWW umożliwia statyczne dopuszczanie lub blokowanie ruchu do wybranych stron WWW, </w:t>
        <w:br/>
        <w:t>w tym pozwala definiować strony z zastosowaniem wyrażeń regularnych (Regex).</w:t>
      </w:r>
    </w:p>
    <w:p>
      <w:pPr>
        <w:pStyle w:val="Normal"/>
        <w:numPr>
          <w:ilvl w:val="0"/>
          <w:numId w:val="41"/>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Filtr WWW daje możliwość wykonania akcji typu „Warning” – ostrzeżenie użytkownika wymagające od niego potwierdzenia przed otwarciem żądanej strony.</w:t>
      </w:r>
    </w:p>
    <w:p>
      <w:pPr>
        <w:pStyle w:val="Normal"/>
        <w:numPr>
          <w:ilvl w:val="0"/>
          <w:numId w:val="41"/>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Funkcja Safe Search – przeciwdziałająca pojawieniu się niechcianych treści w wynikach </w:t>
        <w:br/>
        <w:t>wyszukiwarek takich jak: Google oraz Yahoo.</w:t>
      </w:r>
    </w:p>
    <w:p>
      <w:pPr>
        <w:pStyle w:val="Normal"/>
        <w:numPr>
          <w:ilvl w:val="0"/>
          <w:numId w:val="41"/>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Administrator ma możliwość definiowania komunikatów zwracanych użytkownikowi dla różnych akcji podejmowanych przez moduł filtrowania WWW.</w:t>
      </w:r>
    </w:p>
    <w:p>
      <w:pPr>
        <w:pStyle w:val="Normal"/>
        <w:numPr>
          <w:ilvl w:val="0"/>
          <w:numId w:val="41"/>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pozwala określić, dla których kategorii URL lub wskazanych URL nie będzie realizowana </w:t>
        <w:br/>
        <w:t>inspekcja szyfrowanej komunikacji.</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Uwierzytelnianie użytkowników w ramach sesji</w:t>
      </w:r>
    </w:p>
    <w:p>
      <w:pPr>
        <w:pStyle w:val="Normal"/>
        <w:numPr>
          <w:ilvl w:val="0"/>
          <w:numId w:val="42"/>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Firewall umożliwia weryfikację tożsamości użytkowników za pomocą:</w:t>
      </w:r>
    </w:p>
    <w:p>
      <w:pPr>
        <w:pStyle w:val="Normal"/>
        <w:numPr>
          <w:ilvl w:val="0"/>
          <w:numId w:val="43"/>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Haseł statycznych i definicji użytkowników przechowywanych w lokalnej bazie systemu.</w:t>
      </w:r>
    </w:p>
    <w:p>
      <w:pPr>
        <w:pStyle w:val="Normal"/>
        <w:numPr>
          <w:ilvl w:val="0"/>
          <w:numId w:val="44"/>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Haseł statycznych i definicji użytkowników przechowywanych w bazach zgodnych z LDAP.</w:t>
      </w:r>
    </w:p>
    <w:p>
      <w:pPr>
        <w:pStyle w:val="Normal"/>
        <w:numPr>
          <w:ilvl w:val="0"/>
          <w:numId w:val="45"/>
        </w:numPr>
        <w:suppressAutoHyphens w:val="false"/>
        <w:spacing w:lineRule="auto" w:line="276" w:before="0" w:after="200"/>
        <w:ind w:hanging="360" w:start="1068"/>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Haseł dynamicznych (RADIUS, RSA SecurID) w oparciu o zewnętrzne bazy danych. </w:t>
      </w:r>
    </w:p>
    <w:p>
      <w:pPr>
        <w:pStyle w:val="Normal"/>
        <w:numPr>
          <w:ilvl w:val="0"/>
          <w:numId w:val="42"/>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daje możliwość zastosowania w tym procesie uwierzytelniania dwuskładnikowego.</w:t>
      </w:r>
    </w:p>
    <w:p>
      <w:pPr>
        <w:pStyle w:val="Normal"/>
        <w:numPr>
          <w:ilvl w:val="0"/>
          <w:numId w:val="42"/>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umożliwia budowę architektury uwierzytelniania typu Single Sign On przy integracji </w:t>
        <w:br/>
        <w:t>ze środowiskiem Active Directory oraz zastosowanie innych mechanizmów: RADIUS, API lub SYSLOG w tym procesie.</w:t>
      </w:r>
    </w:p>
    <w:p>
      <w:pPr>
        <w:pStyle w:val="Normal"/>
        <w:numPr>
          <w:ilvl w:val="0"/>
          <w:numId w:val="42"/>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Uwierzytelnianie w oparciu o protokół SAML w politykach bezpieczeństwa systemu dotyczących </w:t>
        <w:br/>
        <w:t>ruchu HTTP.</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Zarządzanie</w:t>
      </w:r>
    </w:p>
    <w:p>
      <w:pPr>
        <w:pStyle w:val="Normal"/>
        <w:numPr>
          <w:ilvl w:val="0"/>
          <w:numId w:val="4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Elementy systemu bezpieczeństwa muszą mieć możliwość zarządzania lokalnego z wykorzystaniem protokołów: HTTPS oraz SSH, jak i mogą współpracować z dedykowanymi platformami centralnego zarządzania i monitorowania.</w:t>
      </w:r>
    </w:p>
    <w:p>
      <w:pPr>
        <w:pStyle w:val="Normal"/>
        <w:numPr>
          <w:ilvl w:val="0"/>
          <w:numId w:val="4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Komunikacja elementów systemu zabezpieczeń z platformami centralnego zarządzania jest </w:t>
        <w:br/>
        <w:t>realizowana z wykorzystaniem szyfrowanych protokołów.</w:t>
      </w:r>
    </w:p>
    <w:p>
      <w:pPr>
        <w:pStyle w:val="Normal"/>
        <w:numPr>
          <w:ilvl w:val="0"/>
          <w:numId w:val="4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Istnieje możliwość włączenia mechanizmów uwierzytelniania dwu-składnikowego dla dostępu </w:t>
        <w:br/>
        <w:t>administracyjnego.</w:t>
      </w:r>
    </w:p>
    <w:p>
      <w:pPr>
        <w:pStyle w:val="Normal"/>
        <w:numPr>
          <w:ilvl w:val="0"/>
          <w:numId w:val="4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współpracuje z rozwiązaniami monitorowania poprzez protokoły SNMP w wersjach 2c, </w:t>
        <w:br/>
        <w:t>3 oraz umożliwia przekazywanie statystyk ruchu za pomocą protokołów Netflow lub sFlow.</w:t>
      </w:r>
    </w:p>
    <w:p>
      <w:pPr>
        <w:pStyle w:val="Normal"/>
        <w:numPr>
          <w:ilvl w:val="0"/>
          <w:numId w:val="4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daje możliwość zarządzania przez systemy firm trzecich poprzez API, do którego producent udostępnia dokumentację.</w:t>
      </w:r>
    </w:p>
    <w:p>
      <w:pPr>
        <w:pStyle w:val="Normal"/>
        <w:numPr>
          <w:ilvl w:val="0"/>
          <w:numId w:val="4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Element systemu pełniący funkcję Firewall posiada wbudowane narzędzia diagnostyczne, </w:t>
        <w:br/>
        <w:t>przynajmniej: ping, traceroute, podglądu pakietów, monitorowanie procesowania sesji oraz stanu sesji firewall.</w:t>
      </w:r>
    </w:p>
    <w:p>
      <w:pPr>
        <w:pStyle w:val="Normal"/>
        <w:numPr>
          <w:ilvl w:val="0"/>
          <w:numId w:val="4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Element systemu realizujący funkcję Firewall umożliwia wykonanie szeregu zmian przez administratora w CLI lub GUI, które nie zostaną zaimplementowane zanim nie zostaną zatwierdzone.</w:t>
      </w:r>
    </w:p>
    <w:p>
      <w:pPr>
        <w:pStyle w:val="Normal"/>
        <w:numPr>
          <w:ilvl w:val="0"/>
          <w:numId w:val="4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Możliwość przypisywania administratorom praw do zarządzania określonymi częściami systemu (RBM).</w:t>
      </w:r>
    </w:p>
    <w:p>
      <w:pPr>
        <w:pStyle w:val="Normal"/>
        <w:numPr>
          <w:ilvl w:val="0"/>
          <w:numId w:val="46"/>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Możliwość zarządzania systemem tylko z określonych adresów źródłowych IP.</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Logowanie</w:t>
      </w:r>
    </w:p>
    <w:p>
      <w:pPr>
        <w:pStyle w:val="Normal"/>
        <w:numPr>
          <w:ilvl w:val="0"/>
          <w:numId w:val="47"/>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Elementy systemu bezpieczeństwa realizują logowanie do aplikacji (logowania i raportowania) </w:t>
        <w:br/>
        <w:t xml:space="preserve">udostępnianej w chmurze, lub konieczne jest zastosowanie komercyjnego systemu logowania </w:t>
        <w:br/>
        <w:t xml:space="preserve">i raportowania w postaci odpowiednio zabezpieczonej, komercyjnej platformy sprzętowej lub </w:t>
        <w:br/>
        <w:t>programowej.</w:t>
      </w:r>
    </w:p>
    <w:p>
      <w:pPr>
        <w:pStyle w:val="Normal"/>
        <w:numPr>
          <w:ilvl w:val="0"/>
          <w:numId w:val="47"/>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W ramach logowania element systemu pełniący funkcję Firewall zapewnia przekazywanie danych o: zaakceptowanym ruchu, blokowanym ruchu, aktywności administratorów, zużyciu zasobów oraz stanie pracy systemu. Ponadto zapewnia możliwość jednoczesnego wysyłania logów do wielu </w:t>
        <w:br/>
        <w:t>serwerów logowania.</w:t>
      </w:r>
    </w:p>
    <w:p>
      <w:pPr>
        <w:pStyle w:val="Normal"/>
        <w:numPr>
          <w:ilvl w:val="0"/>
          <w:numId w:val="47"/>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Logowanie obejmuje zdarzenia dotyczące wszystkich modułów sieciowych i bezpieczeństwa.</w:t>
      </w:r>
    </w:p>
    <w:p>
      <w:pPr>
        <w:pStyle w:val="Normal"/>
        <w:numPr>
          <w:ilvl w:val="0"/>
          <w:numId w:val="47"/>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Możliwość włączenia logowania per reguła w polityce firewall.</w:t>
      </w:r>
    </w:p>
    <w:p>
      <w:pPr>
        <w:pStyle w:val="Normal"/>
        <w:numPr>
          <w:ilvl w:val="0"/>
          <w:numId w:val="47"/>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System zapewnia możliwość logowania do serwera SYSLOG.</w:t>
      </w:r>
    </w:p>
    <w:p>
      <w:pPr>
        <w:pStyle w:val="Normal"/>
        <w:numPr>
          <w:ilvl w:val="0"/>
          <w:numId w:val="47"/>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Przesyłanie SYSLOG do zewnętrznych systemów jest możliwe z wykorzystaniem protokołu </w:t>
        <w:br/>
        <w:t>TCP oraz szyfrowania SSL/TLS.</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Testy wydajnościowe oraz funkcjonalne</w:t>
      </w:r>
    </w:p>
    <w:p>
      <w:pPr>
        <w:pStyle w:val="Normal"/>
        <w:numPr>
          <w:ilvl w:val="0"/>
          <w:numId w:val="48"/>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Wszystkie funkcje i parametry wydajnościowe systemu mogą być zweryfikowane w oparciu </w:t>
        <w:br/>
        <w:t>o oficjalną (publicznie dostępną) dokumentację producenta oraz wykonane testy.</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Serwisy i licencje</w:t>
      </w:r>
    </w:p>
    <w:p>
      <w:pPr>
        <w:pStyle w:val="Normal"/>
        <w:suppressAutoHyphens w:val="false"/>
        <w:spacing w:lineRule="auto" w:line="276" w:before="0" w:after="200"/>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Do korzystania z aktualnych baz funkcji ochronnych producenta i serwisów wymagane są licencje:</w:t>
      </w:r>
    </w:p>
    <w:p>
      <w:pPr>
        <w:pStyle w:val="Normal"/>
        <w:suppressAutoHyphens w:val="false"/>
        <w:spacing w:lineRule="auto" w:line="276" w:before="0" w:after="200"/>
        <w:ind w:start="708"/>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Kontrola Aplikacji, IPS, Antywirus (z uwzględnieniem sygnatur do ochrony urządzeń mobilnych - </w:t>
        <w:br/>
        <w:t xml:space="preserve">co najmniej dla systemu operacyjnego Android), Analiza typu Sandbox cloud, Antyspam, </w:t>
        <w:br/>
        <w:t xml:space="preserve">Web Filtering, bazy reputacyjne adresów IP/domen. </w:t>
      </w:r>
      <w:r>
        <w:rPr>
          <w:rFonts w:eastAsia="Calibri" w:cs="Times New Roman" w:ascii="Calibri" w:hAnsi="Calibri"/>
          <w:b/>
          <w:bCs/>
          <w:sz w:val="22"/>
          <w:szCs w:val="22"/>
          <w:lang w:eastAsia="en-US" w:bidi="ar-SA"/>
        </w:rPr>
        <w:t xml:space="preserve">Licencje z subskrypcją </w:t>
      </w:r>
      <w:r>
        <w:rPr>
          <w:rFonts w:eastAsia="Arial" w:cs="Calibri" w:ascii="Calibri" w:hAnsi="Calibri" w:asciiTheme="majorHAnsi" w:cstheme="majorHAnsi" w:hAnsiTheme="majorHAnsi"/>
          <w:b/>
          <w:bCs/>
          <w:color w:themeColor="accent1" w:val="4F81BD"/>
          <w:sz w:val="22"/>
          <w:szCs w:val="22"/>
          <w:lang w:eastAsia="en-US" w:bidi="ar-SA"/>
        </w:rPr>
        <w:t xml:space="preserve">do 24 miesięcy od dnia podpisania protokołu odbioru. </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Gwarancja oraz wsparcie</w:t>
      </w:r>
    </w:p>
    <w:p>
      <w:pPr>
        <w:pStyle w:val="Normal"/>
        <w:suppressAutoHyphens w:val="false"/>
        <w:spacing w:lineRule="auto" w:line="276" w:before="0" w:after="200"/>
        <w:ind w:start="72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System jest objęty serwisem gwarancyjnym producenta przez okres 24 miesięcy, polegającym </w:t>
        <w:br/>
        <w:t xml:space="preserve">na naprawie lub wymianie urządzenia w przypadku jego wadliwości w trybie AHR (advanced </w:t>
        <w:br/>
        <w:t xml:space="preserve">hardware replacement). W ramach tego serwisu producent zapewnia dostęp do aktualizacji </w:t>
        <w:br/>
        <w:t xml:space="preserve">oprogramowania oraz wsparcie techniczne. </w:t>
      </w:r>
    </w:p>
    <w:p>
      <w:pPr>
        <w:pStyle w:val="Normal"/>
        <w:keepNext w:val="true"/>
        <w:keepLines/>
        <w:numPr>
          <w:ilvl w:val="0"/>
          <w:numId w:val="0"/>
        </w:numPr>
        <w:suppressAutoHyphens w:val="false"/>
        <w:spacing w:lineRule="auto" w:line="276" w:before="480" w:after="0"/>
        <w:ind w:hanging="0" w:start="0"/>
        <w:jc w:val="both"/>
        <w:outlineLvl w:val="0"/>
        <w:rPr>
          <w:rFonts w:ascii="Calibri" w:hAnsi="Calibri" w:eastAsia="Times New Roman" w:cs="Calibri"/>
          <w:b/>
          <w:bCs/>
          <w:color w:val="000000"/>
          <w:sz w:val="22"/>
          <w:szCs w:val="22"/>
          <w:lang w:eastAsia="en-US" w:bidi="ar-SA"/>
        </w:rPr>
      </w:pPr>
      <w:r>
        <w:rPr>
          <w:rFonts w:eastAsia="Times New Roman" w:cs="Calibri" w:ascii="Calibri" w:hAnsi="Calibri"/>
          <w:b/>
          <w:bCs/>
          <w:color w:val="000000"/>
          <w:sz w:val="22"/>
          <w:szCs w:val="22"/>
          <w:lang w:eastAsia="en-US" w:bidi="ar-SA"/>
        </w:rPr>
        <w:t>Opisy do wymagań ogólnych</w:t>
      </w:r>
    </w:p>
    <w:p>
      <w:pPr>
        <w:pStyle w:val="Normal"/>
        <w:numPr>
          <w:ilvl w:val="0"/>
          <w:numId w:val="49"/>
        </w:numPr>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t xml:space="preserve">Wymaga się, aby w przypadku istnienia takiego wymogu w stosunku do technologii objętej przedmiotem niniejszego postępowania (tzw. produkty podwójnego zastosowania), został uzyskany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późn zm.) oraz </w:t>
      </w:r>
      <w:r>
        <w:rPr>
          <w:rFonts w:eastAsia="Calibri" w:cs="Times New Roman" w:ascii="Calibri" w:hAnsi="Calibri"/>
          <w:b/>
          <w:bCs/>
          <w:sz w:val="22"/>
          <w:szCs w:val="22"/>
          <w:lang w:eastAsia="en-US" w:bidi="ar-SA"/>
        </w:rPr>
        <w:t>dokument potwierdzający</w:t>
      </w:r>
      <w:r>
        <w:rPr>
          <w:rFonts w:eastAsia="Calibri" w:cs="Times New Roman" w:ascii="Calibri" w:hAnsi="Calibri"/>
          <w:sz w:val="22"/>
          <w:szCs w:val="22"/>
          <w:lang w:eastAsia="en-US" w:bidi="ar-SA"/>
        </w:rPr>
        <w:t>,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pPr>
        <w:pStyle w:val="Normal"/>
        <w:suppressAutoHyphens w:val="false"/>
        <w:spacing w:lineRule="auto" w:line="276" w:before="0" w:after="200"/>
        <w:contextualSpacing/>
        <w:jc w:val="both"/>
        <w:rPr>
          <w:rFonts w:ascii="Calibri" w:hAnsi="Calibri" w:eastAsia="Calibri" w:cs="Times New Roman"/>
          <w:sz w:val="22"/>
          <w:szCs w:val="22"/>
          <w:lang w:eastAsia="en-US" w:bidi="ar-SA"/>
        </w:rPr>
      </w:pPr>
      <w:r>
        <w:rPr>
          <w:rFonts w:eastAsia="Calibri" w:cs="Times New Roman" w:ascii="Calibri" w:hAnsi="Calibri"/>
          <w:sz w:val="22"/>
          <w:szCs w:val="22"/>
          <w:lang w:eastAsia="en-US" w:bidi="ar-SA"/>
        </w:rPr>
      </w:r>
    </w:p>
    <w:p>
      <w:pPr>
        <w:pStyle w:val="normal1"/>
        <w:numPr>
          <w:ilvl w:val="0"/>
          <w:numId w:val="51"/>
        </w:numPr>
        <w:spacing w:lineRule="auto" w:line="360"/>
        <w:ind w:hanging="360" w:start="567"/>
        <w:rPr>
          <w:rFonts w:ascii="Calibri" w:hAnsi="Calibri" w:eastAsia="Arial" w:cs="Calibri" w:asciiTheme="majorHAnsi" w:cstheme="majorHAnsi" w:hAnsiTheme="majorHAnsi"/>
          <w:color w:val="002060"/>
          <w:sz w:val="28"/>
          <w:szCs w:val="28"/>
        </w:rPr>
      </w:pPr>
      <w:r>
        <w:rPr>
          <w:rFonts w:eastAsia="Arial" w:cs="Calibri" w:ascii="Calibri" w:hAnsi="Calibri" w:asciiTheme="majorHAnsi" w:cstheme="majorHAnsi" w:hAnsiTheme="majorHAnsi"/>
          <w:color w:val="002060"/>
          <w:sz w:val="28"/>
          <w:szCs w:val="28"/>
        </w:rPr>
        <w:t>Serwer – 2 szt</w:t>
      </w:r>
    </w:p>
    <w:tbl>
      <w:tblPr>
        <w:tblW w:w="5000" w:type="pct"/>
        <w:jc w:val="start"/>
        <w:tblInd w:w="0" w:type="dxa"/>
        <w:tblLayout w:type="fixed"/>
        <w:tblCellMar>
          <w:top w:w="0" w:type="dxa"/>
          <w:start w:w="70" w:type="dxa"/>
          <w:bottom w:w="0" w:type="dxa"/>
          <w:end w:w="70" w:type="dxa"/>
        </w:tblCellMar>
        <w:tblLook w:val="04a0" w:firstRow="1" w:noVBand="1" w:lastRow="0" w:firstColumn="1" w:lastColumn="0" w:noHBand="0"/>
      </w:tblPr>
      <w:tblGrid>
        <w:gridCol w:w="1680"/>
        <w:gridCol w:w="7958"/>
      </w:tblGrid>
      <w:tr>
        <w:trPr/>
        <w:tc>
          <w:tcPr>
            <w:tcW w:w="1680" w:type="dxa"/>
            <w:tcBorders>
              <w:top w:val="single" w:sz="4" w:space="0" w:color="000000"/>
              <w:start w:val="single" w:sz="4" w:space="0" w:color="000000"/>
              <w:bottom w:val="single" w:sz="4" w:space="0" w:color="000000"/>
              <w:end w:val="single" w:sz="4" w:space="0" w:color="000000"/>
            </w:tcBorders>
            <w:shd w:color="auto" w:fill="auto" w:val="solid"/>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Parametr</w:t>
            </w:r>
          </w:p>
        </w:tc>
        <w:tc>
          <w:tcPr>
            <w:tcW w:w="7958" w:type="dxa"/>
            <w:tcBorders>
              <w:top w:val="single" w:sz="4" w:space="0" w:color="000000"/>
              <w:start w:val="single" w:sz="4" w:space="0" w:color="000000"/>
              <w:bottom w:val="single" w:sz="4" w:space="0" w:color="000000"/>
              <w:end w:val="single" w:sz="4" w:space="0" w:color="000000"/>
            </w:tcBorders>
            <w:shd w:color="auto" w:fill="auto" w:val="solid"/>
            <w:vAlign w:val="center"/>
          </w:tcPr>
          <w:p>
            <w:pPr>
              <w:pStyle w:val="Normal"/>
              <w:jc w:val="center"/>
              <w:rPr>
                <w:rFonts w:ascii="Calibri" w:hAnsi="Calibri" w:cs="Calibri" w:asciiTheme="majorHAnsi" w:cstheme="majorHAnsi" w:hAnsiTheme="majorHAnsi"/>
                <w:b/>
                <w:i/>
                <w:sz w:val="20"/>
                <w:szCs w:val="20"/>
              </w:rPr>
            </w:pPr>
            <w:r>
              <w:rPr>
                <w:rFonts w:cs="Calibri" w:ascii="Calibri" w:hAnsi="Calibri" w:asciiTheme="majorHAnsi" w:cstheme="majorHAnsi" w:hAnsiTheme="majorHAnsi"/>
                <w:b/>
                <w:sz w:val="20"/>
                <w:szCs w:val="20"/>
              </w:rPr>
              <w:t>Charakterystyka (wymagania minimalne)</w:t>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Obudowa</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color w:val="000000"/>
                <w:sz w:val="20"/>
                <w:szCs w:val="20"/>
              </w:rPr>
            </w:pPr>
            <w:r>
              <w:rPr>
                <w:rFonts w:cs="Calibri" w:ascii="Calibri" w:hAnsi="Calibri" w:asciiTheme="majorHAnsi" w:cstheme="majorHAnsi" w:hAnsiTheme="majorHAnsi"/>
                <w:color w:val="000000"/>
                <w:sz w:val="20"/>
                <w:szCs w:val="20"/>
              </w:rPr>
              <w:t>Obudowa Rack o wysokości max 2U z możliwością instalacji min. 12 dysków 3,5” wraz z kompletem wysuwanych szyn umożliwiających montaż w szafie rack i wysuwanie serwera do celów serwisowych wraz z organizatorem kabli.</w:t>
            </w:r>
          </w:p>
          <w:p>
            <w:pPr>
              <w:pStyle w:val="Normal"/>
              <w:rPr>
                <w:rFonts w:ascii="Calibri" w:hAnsi="Calibri" w:cs="Calibri" w:asciiTheme="majorHAnsi" w:cstheme="majorHAnsi" w:hAnsiTheme="majorHAnsi"/>
                <w:color w:val="000000"/>
                <w:sz w:val="20"/>
                <w:szCs w:val="20"/>
              </w:rPr>
            </w:pPr>
            <w:r>
              <w:rPr>
                <w:rFonts w:cs="Calibri" w:cstheme="majorHAnsi" w:ascii="Calibri" w:hAnsi="Calibri"/>
                <w:color w:val="000000"/>
                <w:sz w:val="20"/>
                <w:szCs w:val="20"/>
              </w:rPr>
            </w:r>
          </w:p>
          <w:p>
            <w:pPr>
              <w:pStyle w:val="Normal"/>
              <w:rPr>
                <w:rFonts w:ascii="Calibri" w:hAnsi="Calibri" w:cs="Calibri" w:asciiTheme="majorHAnsi" w:cstheme="majorHAnsi" w:hAnsiTheme="majorHAnsi"/>
                <w:color w:val="000000"/>
                <w:sz w:val="20"/>
                <w:szCs w:val="20"/>
              </w:rPr>
            </w:pPr>
            <w:r>
              <w:rPr>
                <w:rFonts w:cs="Calibri" w:cstheme="majorHAnsi" w:ascii="Calibri" w:hAnsi="Calibri"/>
                <w:color w:val="000000"/>
                <w:sz w:val="20"/>
                <w:szCs w:val="20"/>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Płyta główna</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color w:val="000000"/>
                <w:sz w:val="20"/>
                <w:szCs w:val="20"/>
              </w:rPr>
            </w:pPr>
            <w:r>
              <w:rPr>
                <w:rFonts w:cs="Calibri" w:ascii="Calibri" w:hAnsi="Calibri" w:asciiTheme="majorHAnsi" w:cstheme="majorHAnsi" w:hAnsiTheme="majorHAnsi"/>
                <w:color w:val="000000"/>
                <w:sz w:val="20"/>
                <w:szCs w:val="20"/>
              </w:rPr>
              <w:t>Płyta główna z możliwością zainstalowania do dwóch procesorów. Płyta główna musi być zaprojektowana przez producenta serwera i oznaczona jego znakiem firmowym.</w:t>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tc>
      </w:tr>
      <w:tr>
        <w:trPr>
          <w:trHeight w:val="746" w:hRule="atLeast"/>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Chipset</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bCs/>
                <w:sz w:val="20"/>
                <w:szCs w:val="20"/>
              </w:rPr>
            </w:pPr>
            <w:r>
              <w:rPr>
                <w:rFonts w:cs="Calibri" w:ascii="Calibri" w:hAnsi="Calibri" w:asciiTheme="majorHAnsi" w:cstheme="majorHAnsi" w:hAnsiTheme="majorHAnsi"/>
                <w:bCs/>
                <w:sz w:val="20"/>
                <w:szCs w:val="20"/>
              </w:rPr>
              <w:t>Dedykowany przez producenta procesora do pracy w serwerach dwuprocesorowych.</w:t>
            </w:r>
          </w:p>
        </w:tc>
      </w:tr>
      <w:tr>
        <w:trPr>
          <w:trHeight w:val="710" w:hRule="atLeast"/>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Procesor</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Zainstalowany jeden procesor min. 8-rdzeniowy, min. 2.6GHz, klasy x86 dedykowany do pracy z zaoferowanym serwerem umożliwiający osiągnięcie wyniku min. 41,450 w teście passmark cpu dla konfiguracji dwuprocesorowej.</w:t>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RAM</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Minimum 128GB DDR4 RDIMM 5600MT/s w minimum 4 kościach w celu zwiększenia wydajności oferowanego rozwiązania., na płycie głównej powinno znajdować się minimum 16 slotów przeznaczone do instalacji pamięci. Płyta główna powinna obsługiwać do 1TB pamięci RAM. Wielkość jednego modułu min 32GB.</w:t>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Gniazda PCI</w:t>
            </w:r>
          </w:p>
        </w:tc>
        <w:tc>
          <w:tcPr>
            <w:tcW w:w="7958"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eastAsia="Times New Roman" w:cs="Calibri" w:asciiTheme="majorHAnsi" w:cstheme="majorHAnsi" w:hAnsiTheme="majorHAnsi"/>
                <w:color w:val="000000"/>
                <w:sz w:val="20"/>
                <w:szCs w:val="20"/>
              </w:rPr>
            </w:pPr>
            <w:r>
              <w:rPr>
                <w:rFonts w:eastAsia="Times New Roman" w:cs="Calibri" w:ascii="Calibri" w:hAnsi="Calibri" w:asciiTheme="majorHAnsi" w:cstheme="majorHAnsi" w:hAnsiTheme="majorHAnsi"/>
                <w:color w:val="000000"/>
                <w:sz w:val="20"/>
                <w:szCs w:val="20"/>
              </w:rPr>
              <w:t>- minimum jeden slot PCIe x16 generacji 4 oraz jeden slot PCIe x8 generacji 4.</w:t>
            </w:r>
          </w:p>
          <w:p>
            <w:pPr>
              <w:pStyle w:val="Normal"/>
              <w:rPr>
                <w:rFonts w:ascii="Calibri" w:hAnsi="Calibri" w:eastAsia="Times New Roman" w:cs="Calibri" w:asciiTheme="majorHAnsi" w:cstheme="majorHAnsi" w:hAnsiTheme="majorHAnsi"/>
                <w:color w:val="000000"/>
                <w:sz w:val="20"/>
                <w:szCs w:val="20"/>
              </w:rPr>
            </w:pPr>
            <w:r>
              <w:rPr>
                <w:rFonts w:eastAsia="Times New Roman" w:cs="Calibri" w:cstheme="majorHAnsi" w:ascii="Calibri" w:hAnsi="Calibri"/>
                <w:color w:val="000000"/>
                <w:sz w:val="20"/>
                <w:szCs w:val="20"/>
              </w:rPr>
            </w:r>
          </w:p>
          <w:p>
            <w:pPr>
              <w:pStyle w:val="Normal"/>
              <w:rPr>
                <w:rFonts w:ascii="Calibri" w:hAnsi="Calibri" w:eastAsia="Times New Roman" w:cs="Calibri" w:asciiTheme="majorHAnsi" w:cstheme="majorHAnsi" w:hAnsiTheme="majorHAnsi"/>
                <w:color w:val="000000"/>
                <w:sz w:val="20"/>
                <w:szCs w:val="20"/>
              </w:rPr>
            </w:pPr>
            <w:r>
              <w:rPr>
                <w:rFonts w:eastAsia="Times New Roman" w:cs="Calibri" w:cstheme="majorHAnsi" w:ascii="Calibri" w:hAnsi="Calibri"/>
                <w:color w:val="000000"/>
                <w:sz w:val="20"/>
                <w:szCs w:val="20"/>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Interfejsy sieciowe/FC/SAS</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eastAsia="Times New Roman" w:cs="Calibri" w:asciiTheme="majorHAnsi" w:cstheme="majorHAnsi" w:hAnsiTheme="majorHAnsi"/>
                <w:color w:val="000000"/>
                <w:sz w:val="20"/>
                <w:szCs w:val="20"/>
              </w:rPr>
            </w:pPr>
            <w:r>
              <w:rPr>
                <w:rFonts w:cs="Calibri" w:ascii="Calibri" w:hAnsi="Calibri" w:asciiTheme="majorHAnsi" w:cstheme="majorHAnsi" w:hAnsiTheme="majorHAnsi"/>
                <w:sz w:val="20"/>
                <w:szCs w:val="20"/>
              </w:rPr>
              <w:t xml:space="preserve">Wbudowane min. </w:t>
            </w:r>
            <w:r>
              <w:rPr>
                <w:rFonts w:eastAsia="Times New Roman" w:cs="Calibri" w:ascii="Calibri" w:hAnsi="Calibri" w:asciiTheme="majorHAnsi" w:cstheme="majorHAnsi" w:hAnsiTheme="majorHAnsi"/>
                <w:color w:val="000000"/>
                <w:sz w:val="20"/>
                <w:szCs w:val="20"/>
              </w:rPr>
              <w:t>2 interfejsy sieciowe 1Gb Ethernet w standardzie BaseT.</w:t>
            </w:r>
          </w:p>
          <w:p>
            <w:pPr>
              <w:pStyle w:val="Normal"/>
              <w:rPr>
                <w:rFonts w:ascii="Calibri" w:hAnsi="Calibri" w:cs="Calibri" w:asciiTheme="majorHAnsi" w:cstheme="majorHAnsi" w:hAnsiTheme="majorHAnsi"/>
                <w:color w:val="000000"/>
                <w:sz w:val="20"/>
                <w:szCs w:val="20"/>
              </w:rPr>
            </w:pPr>
            <w:r>
              <w:rPr>
                <w:rFonts w:cs="Calibri" w:cstheme="majorHAnsi" w:ascii="Calibri" w:hAnsi="Calibri"/>
                <w:color w:val="000000"/>
                <w:sz w:val="20"/>
                <w:szCs w:val="20"/>
              </w:rPr>
            </w:r>
          </w:p>
          <w:p>
            <w:pPr>
              <w:pStyle w:val="Normal"/>
              <w:rPr>
                <w:rFonts w:ascii="Calibri" w:hAnsi="Calibri" w:cs="Calibri" w:asciiTheme="majorHAnsi" w:cstheme="majorHAnsi" w:hAnsiTheme="majorHAnsi"/>
                <w:color w:val="000000"/>
                <w:sz w:val="20"/>
                <w:szCs w:val="20"/>
              </w:rPr>
            </w:pPr>
            <w:r>
              <w:rPr>
                <w:rFonts w:cs="Calibri" w:ascii="Calibri" w:hAnsi="Calibri" w:asciiTheme="majorHAnsi" w:cstheme="majorHAnsi" w:hAnsiTheme="majorHAnsi"/>
                <w:color w:val="000000"/>
                <w:sz w:val="20"/>
                <w:szCs w:val="20"/>
              </w:rPr>
              <w:t xml:space="preserve">Dodatkowa karta Pcie wyposażona w min. 2 interfejsy sieciowe 10Gb Ethernet 10/25Gb </w:t>
              <w:br/>
              <w:t>w standardzie SFP28</w:t>
            </w:r>
          </w:p>
          <w:p>
            <w:pPr>
              <w:pStyle w:val="Normal"/>
              <w:rPr>
                <w:rFonts w:ascii="Calibri" w:hAnsi="Calibri" w:cs="Calibri" w:asciiTheme="majorHAnsi" w:cstheme="majorHAnsi" w:hAnsiTheme="majorHAnsi"/>
                <w:color w:val="000000"/>
                <w:sz w:val="20"/>
                <w:szCs w:val="20"/>
              </w:rPr>
            </w:pPr>
            <w:r>
              <w:rPr>
                <w:rFonts w:cs="Calibri" w:cstheme="majorHAnsi" w:ascii="Calibri" w:hAnsi="Calibri"/>
                <w:color w:val="000000"/>
                <w:sz w:val="20"/>
                <w:szCs w:val="20"/>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lang w:val="de-DE"/>
              </w:rPr>
            </w:pPr>
            <w:r>
              <w:rPr>
                <w:rFonts w:cs="Calibri" w:ascii="Calibri" w:hAnsi="Calibri" w:asciiTheme="majorHAnsi" w:cstheme="majorHAnsi" w:hAnsiTheme="majorHAnsi"/>
                <w:b/>
                <w:sz w:val="20"/>
                <w:szCs w:val="20"/>
              </w:rPr>
              <w:t>Dyski twarde</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sz w:val="20"/>
                <w:szCs w:val="20"/>
                <w:lang w:val="de-DE"/>
              </w:rPr>
            </w:pPr>
            <w:r>
              <w:rPr>
                <w:rFonts w:cs="Calibri" w:ascii="Calibri" w:hAnsi="Calibri" w:asciiTheme="majorHAnsi" w:cstheme="majorHAnsi" w:hAnsiTheme="majorHAnsi"/>
                <w:sz w:val="20"/>
                <w:szCs w:val="20"/>
                <w:lang w:val="de-DE"/>
              </w:rPr>
              <w:t>Możliwość instalacji dysków SAS, SATA, NLSAS</w:t>
            </w:r>
          </w:p>
          <w:p>
            <w:pPr>
              <w:pStyle w:val="Normal"/>
              <w:rPr>
                <w:rFonts w:ascii="Calibri" w:hAnsi="Calibri" w:cs="Calibri" w:asciiTheme="majorHAnsi" w:cstheme="majorHAnsi" w:hAnsiTheme="majorHAnsi"/>
                <w:sz w:val="20"/>
                <w:szCs w:val="20"/>
                <w:lang w:val="de-DE"/>
              </w:rPr>
            </w:pPr>
            <w:r>
              <w:rPr>
                <w:rFonts w:cs="Calibri" w:cstheme="majorHAnsi" w:ascii="Calibri" w:hAnsi="Calibri"/>
                <w:sz w:val="20"/>
                <w:szCs w:val="20"/>
                <w:lang w:val="de-DE"/>
              </w:rPr>
            </w:r>
          </w:p>
          <w:p>
            <w:pPr>
              <w:pStyle w:val="Normal"/>
              <w:rPr>
                <w:rFonts w:ascii="Calibri" w:hAnsi="Calibri" w:cs="Calibri" w:asciiTheme="majorHAnsi" w:cstheme="majorHAnsi" w:hAnsiTheme="majorHAnsi"/>
                <w:sz w:val="20"/>
                <w:szCs w:val="20"/>
                <w:lang w:val="de-DE"/>
              </w:rPr>
            </w:pPr>
            <w:r>
              <w:rPr>
                <w:rFonts w:cs="Calibri" w:ascii="Calibri" w:hAnsi="Calibri" w:asciiTheme="majorHAnsi" w:cstheme="majorHAnsi" w:hAnsiTheme="majorHAnsi"/>
                <w:sz w:val="20"/>
                <w:szCs w:val="20"/>
                <w:lang w:val="de-DE"/>
              </w:rPr>
              <w:t xml:space="preserve">Zainstalowane 2 dyski SSD SATA o pojemności min. 960GB, 6Gbps, 2,5“ Hot-Plug. </w:t>
              <w:br/>
              <w:br/>
              <w:t xml:space="preserve">Zainstalowane 4 dyski HDD SAS o pojemności min. 8TB, 12Gbps, 3,5“ Hot-Plug. </w:t>
            </w:r>
          </w:p>
          <w:p>
            <w:pPr>
              <w:pStyle w:val="Normal"/>
              <w:rPr>
                <w:rFonts w:ascii="Calibri" w:hAnsi="Calibri" w:cs="Calibri" w:asciiTheme="majorHAnsi" w:cstheme="majorHAnsi" w:hAnsiTheme="majorHAnsi"/>
                <w:sz w:val="20"/>
                <w:szCs w:val="20"/>
                <w:lang w:val="de-DE"/>
              </w:rPr>
            </w:pPr>
            <w:r>
              <w:rPr>
                <w:rFonts w:cs="Calibri" w:cstheme="majorHAnsi" w:ascii="Calibri" w:hAnsi="Calibri"/>
                <w:sz w:val="20"/>
                <w:szCs w:val="20"/>
                <w:lang w:val="de-DE"/>
              </w:rPr>
            </w:r>
          </w:p>
          <w:p>
            <w:pPr>
              <w:pStyle w:val="Normal"/>
              <w:rPr>
                <w:rFonts w:ascii="Calibri" w:hAnsi="Calibri" w:cs="Calibri" w:asciiTheme="majorHAnsi" w:cstheme="majorHAnsi" w:hAnsiTheme="majorHAnsi"/>
                <w:sz w:val="20"/>
                <w:szCs w:val="20"/>
                <w:lang w:val="de-DE"/>
              </w:rPr>
            </w:pPr>
            <w:r>
              <w:rPr>
                <w:rFonts w:cs="Calibri" w:cstheme="majorHAnsi" w:ascii="Calibri" w:hAnsi="Calibri"/>
                <w:sz w:val="20"/>
                <w:szCs w:val="20"/>
                <w:lang w:val="de-DE"/>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Kontroler RAID</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color w:val="000000"/>
                <w:sz w:val="20"/>
                <w:szCs w:val="20"/>
              </w:rPr>
            </w:pPr>
            <w:r>
              <w:rPr>
                <w:rFonts w:cs="Calibri" w:ascii="Calibri" w:hAnsi="Calibri" w:asciiTheme="majorHAnsi" w:cstheme="majorHAnsi" w:hAnsiTheme="majorHAnsi"/>
                <w:color w:val="000000"/>
                <w:sz w:val="20"/>
                <w:szCs w:val="20"/>
              </w:rPr>
              <w:t>Sprzętowy kontroler dyskowy, posiadający min. 8GB nieulotnej pamięci cache, możliwe konfiguracje poziomów RAID: 0, 1, 5, 6, 10, 50, 60. Wsparcie dla dysków samoszyfrujących.</w:t>
            </w:r>
          </w:p>
          <w:p>
            <w:pPr>
              <w:pStyle w:val="Normal"/>
              <w:rPr>
                <w:rFonts w:ascii="Calibri" w:hAnsi="Calibri" w:cs="Calibri" w:asciiTheme="majorHAnsi" w:cstheme="majorHAnsi" w:hAnsiTheme="majorHAnsi"/>
                <w:color w:val="000000"/>
                <w:sz w:val="20"/>
                <w:szCs w:val="20"/>
              </w:rPr>
            </w:pPr>
            <w:r>
              <w:rPr>
                <w:rFonts w:cs="Calibri" w:cstheme="majorHAnsi" w:ascii="Calibri" w:hAnsi="Calibri"/>
                <w:color w:val="000000"/>
                <w:sz w:val="20"/>
                <w:szCs w:val="20"/>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lang w:val="de-DE"/>
              </w:rPr>
            </w:pPr>
            <w:r>
              <w:rPr>
                <w:rFonts w:cs="Calibri" w:ascii="Calibri" w:hAnsi="Calibri" w:asciiTheme="majorHAnsi" w:cstheme="majorHAnsi" w:hAnsiTheme="majorHAnsi"/>
                <w:b/>
                <w:sz w:val="20"/>
                <w:szCs w:val="20"/>
                <w:lang w:val="de-DE"/>
              </w:rPr>
              <w:t>Wbudowane porty</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4 x USB z czego nie mniej niż 1x USB 3.0, 2xVGA z czego jeden na panelu przednim.</w:t>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lang w:val="de-DE"/>
              </w:rPr>
            </w:pPr>
            <w:r>
              <w:rPr>
                <w:rFonts w:cs="Calibri" w:ascii="Calibri" w:hAnsi="Calibri" w:asciiTheme="majorHAnsi" w:cstheme="majorHAnsi" w:hAnsiTheme="majorHAnsi"/>
                <w:b/>
                <w:sz w:val="20"/>
                <w:szCs w:val="20"/>
                <w:lang w:val="de-DE"/>
              </w:rPr>
              <w:t>Video</w:t>
            </w:r>
          </w:p>
        </w:tc>
        <w:tc>
          <w:tcPr>
            <w:tcW w:w="7958"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asciiTheme="majorHAnsi" w:cstheme="majorHAnsi" w:hAnsiTheme="majorHAnsi"/>
                <w:color w:val="000000"/>
                <w:sz w:val="20"/>
                <w:szCs w:val="20"/>
              </w:rPr>
            </w:pPr>
            <w:r>
              <w:rPr>
                <w:rFonts w:cs="Calibri" w:ascii="Calibri" w:hAnsi="Calibri" w:asciiTheme="majorHAnsi" w:cstheme="majorHAnsi" w:hAnsiTheme="majorHAnsi"/>
                <w:color w:val="000000"/>
                <w:sz w:val="20"/>
                <w:szCs w:val="20"/>
              </w:rPr>
              <w:t>Zintegrowana karta graficzna umożliwiająca wyświetlenie rozdzielczości min. 1920x1200</w:t>
            </w:r>
          </w:p>
          <w:p>
            <w:pPr>
              <w:pStyle w:val="Normal"/>
              <w:rPr>
                <w:rFonts w:ascii="Calibri" w:hAnsi="Calibri" w:cs="Calibri" w:asciiTheme="majorHAnsi" w:cstheme="majorHAnsi" w:hAnsiTheme="majorHAnsi"/>
                <w:color w:val="000000"/>
                <w:sz w:val="20"/>
                <w:szCs w:val="20"/>
              </w:rPr>
            </w:pPr>
            <w:r>
              <w:rPr>
                <w:rFonts w:cs="Calibri" w:cstheme="majorHAnsi" w:ascii="Calibri" w:hAnsi="Calibri"/>
                <w:color w:val="000000"/>
                <w:sz w:val="20"/>
                <w:szCs w:val="20"/>
              </w:rPr>
            </w:r>
          </w:p>
          <w:p>
            <w:pPr>
              <w:pStyle w:val="Normal"/>
              <w:rPr>
                <w:rFonts w:ascii="Calibri" w:hAnsi="Calibri" w:cs="Calibri" w:asciiTheme="majorHAnsi" w:cstheme="majorHAnsi" w:hAnsiTheme="majorHAnsi"/>
                <w:color w:val="000000"/>
                <w:sz w:val="20"/>
                <w:szCs w:val="20"/>
              </w:rPr>
            </w:pPr>
            <w:r>
              <w:rPr>
                <w:rFonts w:cs="Calibri" w:cstheme="majorHAnsi" w:ascii="Calibri" w:hAnsi="Calibri"/>
                <w:color w:val="000000"/>
                <w:sz w:val="20"/>
                <w:szCs w:val="20"/>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Zasilacze</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Redundantne, Hot-Plug min. 700W każdy.</w:t>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bCs/>
                <w:sz w:val="20"/>
                <w:szCs w:val="20"/>
              </w:rPr>
            </w:pPr>
            <w:r>
              <w:rPr>
                <w:rFonts w:cs="Calibri" w:ascii="Calibri" w:hAnsi="Calibri" w:asciiTheme="majorHAnsi" w:cstheme="majorHAnsi" w:hAnsiTheme="majorHAnsi"/>
                <w:b/>
                <w:bCs/>
                <w:sz w:val="20"/>
                <w:szCs w:val="20"/>
              </w:rPr>
              <w:t>Bezpieczeństwo</w:t>
            </w:r>
          </w:p>
          <w:p>
            <w:pPr>
              <w:pStyle w:val="Normal"/>
              <w:jc w:val="center"/>
              <w:rPr>
                <w:rFonts w:ascii="Calibri" w:hAnsi="Calibri" w:cs="Calibri" w:asciiTheme="majorHAnsi" w:cstheme="majorHAnsi" w:hAnsiTheme="majorHAnsi"/>
                <w:b/>
                <w:sz w:val="20"/>
                <w:szCs w:val="20"/>
              </w:rPr>
            </w:pPr>
            <w:r>
              <w:rPr>
                <w:rFonts w:cs="Calibri" w:cstheme="majorHAnsi" w:ascii="Calibri" w:hAnsi="Calibri"/>
                <w:b/>
                <w:sz w:val="20"/>
                <w:szCs w:val="20"/>
              </w:rPr>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ListParagraph"/>
              <w:numPr>
                <w:ilvl w:val="0"/>
                <w:numId w:val="50"/>
              </w:numPr>
              <w:suppressAutoHyphens w:val="false"/>
              <w:textAlignment w:val="baseline"/>
              <w:rPr>
                <w:rFonts w:ascii="Calibri" w:hAnsi="Calibri" w:cs="Calibri" w:asciiTheme="majorHAnsi" w:cstheme="majorHAnsi" w:hAnsiTheme="majorHAnsi"/>
                <w:color w:val="000000"/>
                <w:sz w:val="20"/>
                <w:szCs w:val="20"/>
              </w:rPr>
            </w:pPr>
            <w:r>
              <w:rPr>
                <w:rFonts w:cs="Calibri" w:ascii="Calibri" w:hAnsi="Calibri" w:asciiTheme="majorHAnsi" w:cstheme="majorHAnsi" w:hAnsiTheme="majorHAnsi"/>
                <w:color w:val="000000"/>
                <w:sz w:val="20"/>
                <w:szCs w:val="20"/>
              </w:rPr>
              <w:t>Zatrzask górnej pokrywy oraz blokada na ramce panela zamykana na klucz służąca do ochrony nieautoryzowanego dostępu do dysków twardych. </w:t>
            </w:r>
          </w:p>
          <w:p>
            <w:pPr>
              <w:pStyle w:val="ListParagraph"/>
              <w:numPr>
                <w:ilvl w:val="0"/>
                <w:numId w:val="50"/>
              </w:numPr>
              <w:suppressAutoHyphens w:val="false"/>
              <w:textAlignment w:val="baseline"/>
              <w:rPr>
                <w:rFonts w:ascii="Calibri" w:hAnsi="Calibri" w:cs="Calibri" w:asciiTheme="majorHAnsi" w:cstheme="majorHAnsi" w:hAnsiTheme="majorHAnsi"/>
                <w:color w:val="000000"/>
                <w:sz w:val="20"/>
                <w:szCs w:val="20"/>
              </w:rPr>
            </w:pPr>
            <w:r>
              <w:rPr>
                <w:rFonts w:cs="Calibri" w:ascii="Calibri" w:hAnsi="Calibri" w:asciiTheme="majorHAnsi" w:cstheme="majorHAnsi" w:hAnsiTheme="majorHAnsi"/>
                <w:color w:val="000000"/>
                <w:sz w:val="20"/>
                <w:szCs w:val="20"/>
              </w:rPr>
              <w:t>Możliwość wyłączenia w BIOS funkcji przycisku zasilania. </w:t>
            </w:r>
          </w:p>
          <w:p>
            <w:pPr>
              <w:pStyle w:val="ListParagraph"/>
              <w:numPr>
                <w:ilvl w:val="0"/>
                <w:numId w:val="50"/>
              </w:numPr>
              <w:suppressAutoHyphens w:val="false"/>
              <w:textAlignment w:val="baseline"/>
              <w:rPr>
                <w:rFonts w:ascii="Calibri" w:hAnsi="Calibri" w:cs="Calibri" w:asciiTheme="majorHAnsi" w:cstheme="majorHAnsi" w:hAnsiTheme="majorHAnsi"/>
                <w:color w:val="000000"/>
                <w:sz w:val="20"/>
                <w:szCs w:val="20"/>
              </w:rPr>
            </w:pPr>
            <w:r>
              <w:rPr>
                <w:rFonts w:cs="Calibri" w:ascii="Calibri" w:hAnsi="Calibri" w:asciiTheme="majorHAnsi" w:cstheme="majorHAnsi" w:hAnsiTheme="majorHAnsi"/>
                <w:color w:val="000000"/>
                <w:sz w:val="20"/>
                <w:szCs w:val="20"/>
              </w:rPr>
              <w:t xml:space="preserve">BIOS ma możliwość przejścia do bezpiecznego trybu rozruchowego z możliwością zarządzania blokadą zasilania, panelem sterowania oraz zmianą hasła </w:t>
            </w:r>
          </w:p>
          <w:p>
            <w:pPr>
              <w:pStyle w:val="ListParagraph"/>
              <w:numPr>
                <w:ilvl w:val="0"/>
                <w:numId w:val="50"/>
              </w:numPr>
              <w:suppressAutoHyphens w:val="false"/>
              <w:textAlignment w:val="baseline"/>
              <w:rPr>
                <w:rFonts w:ascii="Calibri" w:hAnsi="Calibri" w:cs="Calibri" w:asciiTheme="majorHAnsi" w:cstheme="majorHAnsi" w:hAnsiTheme="majorHAnsi"/>
                <w:color w:val="000000"/>
                <w:sz w:val="20"/>
                <w:szCs w:val="20"/>
              </w:rPr>
            </w:pPr>
            <w:r>
              <w:rPr>
                <w:rFonts w:cs="Calibri" w:ascii="Calibri" w:hAnsi="Calibri" w:asciiTheme="majorHAnsi" w:cstheme="majorHAnsi" w:hAnsiTheme="majorHAnsi"/>
                <w:color w:val="000000"/>
                <w:sz w:val="20"/>
                <w:szCs w:val="20"/>
              </w:rPr>
              <w:t xml:space="preserve">Wbudowany czujnik otwarcia obudowy współpracujący z BIOS i kartą zarządzającą. </w:t>
            </w:r>
          </w:p>
          <w:p>
            <w:pPr>
              <w:pStyle w:val="ListParagraph"/>
              <w:numPr>
                <w:ilvl w:val="0"/>
                <w:numId w:val="50"/>
              </w:numPr>
              <w:suppressAutoHyphens w:val="false"/>
              <w:textAlignment w:val="baseline"/>
              <w:rPr>
                <w:rFonts w:ascii="Calibri" w:hAnsi="Calibri" w:cs="Calibri" w:asciiTheme="majorHAnsi" w:cstheme="majorHAnsi" w:hAnsiTheme="majorHAnsi"/>
                <w:color w:val="000000"/>
                <w:sz w:val="20"/>
                <w:szCs w:val="20"/>
              </w:rPr>
            </w:pPr>
            <w:r>
              <w:rPr>
                <w:rFonts w:cs="Calibri" w:ascii="Calibri" w:hAnsi="Calibri" w:asciiTheme="majorHAnsi" w:cstheme="majorHAnsi" w:hAnsiTheme="majorHAnsi"/>
                <w:color w:val="000000"/>
                <w:sz w:val="20"/>
                <w:szCs w:val="20"/>
              </w:rPr>
              <w:t>Moduł TPM 2.0 </w:t>
            </w:r>
          </w:p>
          <w:p>
            <w:pPr>
              <w:pStyle w:val="ListParagraph"/>
              <w:numPr>
                <w:ilvl w:val="0"/>
                <w:numId w:val="50"/>
              </w:numPr>
              <w:suppressAutoHyphens w:val="false"/>
              <w:textAlignment w:val="baseline"/>
              <w:rPr>
                <w:rFonts w:ascii="Calibri" w:hAnsi="Calibri" w:cs="Calibri" w:asciiTheme="majorHAnsi" w:cstheme="majorHAnsi" w:hAnsiTheme="majorHAnsi"/>
                <w:bCs/>
                <w:sz w:val="20"/>
                <w:szCs w:val="20"/>
              </w:rPr>
            </w:pPr>
            <w:r>
              <w:rPr>
                <w:rFonts w:cs="Calibri" w:ascii="Calibri" w:hAnsi="Calibri" w:asciiTheme="majorHAnsi" w:cstheme="majorHAnsi" w:hAnsiTheme="majorHAnsi"/>
                <w:color w:val="000000"/>
                <w:sz w:val="20"/>
                <w:szCs w:val="20"/>
              </w:rPr>
              <w:t>Możliwość dynamicznego włączania I wyłączania portów USB na obudowie – bez potrzeby restartu serwera</w:t>
            </w:r>
          </w:p>
          <w:p>
            <w:pPr>
              <w:pStyle w:val="ListParagraph"/>
              <w:numPr>
                <w:ilvl w:val="0"/>
                <w:numId w:val="50"/>
              </w:numPr>
              <w:suppressAutoHyphens w:val="false"/>
              <w:textAlignment w:val="baseline"/>
              <w:rPr>
                <w:rFonts w:ascii="Calibri" w:hAnsi="Calibri" w:cs="Calibri" w:asciiTheme="majorHAnsi" w:cstheme="majorHAnsi" w:hAnsiTheme="majorHAnsi"/>
                <w:bCs/>
                <w:sz w:val="20"/>
                <w:szCs w:val="20"/>
              </w:rPr>
            </w:pPr>
            <w:r>
              <w:rPr>
                <w:rFonts w:cs="Calibri" w:ascii="Calibri" w:hAnsi="Calibri" w:asciiTheme="majorHAnsi" w:cstheme="majorHAnsi" w:hAnsiTheme="majorHAnsi"/>
                <w:color w:val="000000"/>
                <w:sz w:val="20"/>
                <w:szCs w:val="20"/>
              </w:rPr>
              <w:t>Możliwość wymazania danych ze znajdujących się dysków wewnątrz serwera – niezależne od zainstalowanego systemu operacyjnego, uruchamiane z poziomu zarządzania serwerem</w:t>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Diagnostyka</w:t>
            </w:r>
          </w:p>
        </w:tc>
        <w:tc>
          <w:tcPr>
            <w:tcW w:w="7958"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asciiTheme="majorHAnsi" w:cstheme="majorHAnsi" w:hAnsiTheme="majorHAnsi"/>
                <w:bCs/>
                <w:sz w:val="20"/>
                <w:szCs w:val="20"/>
              </w:rPr>
            </w:pPr>
            <w:r>
              <w:rPr>
                <w:rFonts w:cs="Calibri" w:ascii="Calibri" w:hAnsi="Calibri" w:asciiTheme="majorHAnsi" w:cstheme="majorHAnsi" w:hAnsiTheme="majorHAnsi"/>
                <w:bCs/>
                <w:sz w:val="20"/>
                <w:szCs w:val="20"/>
              </w:rPr>
              <w:t>Serwer wyposażony  w panel LCD umieszczony na froncie obudowy, umożliwiający wyświetlenie informacji o stanie procesora, pamięci, dysków, BIOS’u, zasilaniu oraz temperaturze.</w:t>
            </w:r>
          </w:p>
          <w:p>
            <w:pPr>
              <w:pStyle w:val="Normal"/>
              <w:rPr>
                <w:rFonts w:ascii="Calibri" w:hAnsi="Calibri" w:cs="Calibri" w:asciiTheme="majorHAnsi" w:cstheme="majorHAnsi" w:hAnsiTheme="majorHAnsi"/>
                <w:bCs/>
                <w:sz w:val="20"/>
                <w:szCs w:val="20"/>
              </w:rPr>
            </w:pPr>
            <w:r>
              <w:rPr>
                <w:rFonts w:cs="Calibri" w:cstheme="majorHAnsi" w:ascii="Calibri" w:hAnsi="Calibri"/>
                <w:bCs/>
                <w:sz w:val="20"/>
                <w:szCs w:val="20"/>
              </w:rPr>
            </w:r>
          </w:p>
          <w:p>
            <w:pPr>
              <w:pStyle w:val="Normal"/>
              <w:rPr>
                <w:rFonts w:ascii="Calibri" w:hAnsi="Calibri" w:cs="Calibri" w:asciiTheme="majorHAnsi" w:cstheme="majorHAnsi" w:hAnsiTheme="majorHAnsi"/>
                <w:bCs/>
                <w:sz w:val="20"/>
                <w:szCs w:val="20"/>
              </w:rPr>
            </w:pPr>
            <w:r>
              <w:rPr>
                <w:rFonts w:cs="Calibri" w:cstheme="majorHAnsi" w:ascii="Calibri" w:hAnsi="Calibri"/>
                <w:bCs/>
                <w:sz w:val="20"/>
                <w:szCs w:val="20"/>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bCs/>
                <w:sz w:val="20"/>
                <w:szCs w:val="20"/>
              </w:rPr>
            </w:pPr>
            <w:r>
              <w:rPr>
                <w:rFonts w:cs="Calibri" w:ascii="Calibri" w:hAnsi="Calibri" w:asciiTheme="majorHAnsi" w:cstheme="majorHAnsi" w:hAnsiTheme="majorHAnsi"/>
                <w:b/>
                <w:bCs/>
                <w:sz w:val="20"/>
                <w:szCs w:val="20"/>
              </w:rPr>
              <w:t>Karta Zarządzania</w:t>
            </w:r>
          </w:p>
          <w:p>
            <w:pPr>
              <w:pStyle w:val="Normal"/>
              <w:jc w:val="center"/>
              <w:rPr>
                <w:rFonts w:ascii="Calibri" w:hAnsi="Calibri" w:cs="Calibri" w:asciiTheme="majorHAnsi" w:cstheme="majorHAnsi" w:hAnsiTheme="majorHAnsi"/>
                <w:b/>
                <w:sz w:val="20"/>
                <w:szCs w:val="20"/>
              </w:rPr>
            </w:pPr>
            <w:r>
              <w:rPr>
                <w:rFonts w:cs="Calibri" w:cstheme="majorHAnsi" w:ascii="Calibri" w:hAnsi="Calibri"/>
                <w:b/>
                <w:sz w:val="20"/>
                <w:szCs w:val="20"/>
              </w:rPr>
            </w:r>
          </w:p>
        </w:tc>
        <w:tc>
          <w:tcPr>
            <w:tcW w:w="7958"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Niezależna od zainstalowanego na serwerze systemu operacyjnego posiadająca dedykowany port Gigabit Ethernet RJ-45 i umożliwiająca:</w:t>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zdalny dostęp do graficznego interfejsu Web karty zarządzającej;</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zdalne monitorowanie i informowanie o statusie serwera (m.in. prędkości obrotowej wentylatorów, konfiguracji serwera);</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szyfrowane połączenie (TLS) oraz autentykacje i autoryzację użytkownika;</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możliwość podmontowania zdalnych wirtualnych napędów;</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wirtualną konsolę z dostępem do myszy, klawiatury;</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wsparcie dla IPv6;</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lang w:val="en-US"/>
              </w:rPr>
            </w:pPr>
            <w:r>
              <w:rPr>
                <w:rFonts w:cs="Calibri" w:ascii="Calibri" w:hAnsi="Calibri" w:asciiTheme="majorHAnsi" w:cstheme="majorHAnsi" w:hAnsiTheme="majorHAnsi"/>
                <w:sz w:val="20"/>
                <w:szCs w:val="20"/>
                <w:lang w:val="en-US"/>
              </w:rPr>
              <w:t>wsparcie dla WSMAN (Web Service for Management); SNMP; IPMI2.0, SSH, Redfish;</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możliwość zdalnego monitorowania w czasie rzeczywistym poboru prądu przez serwer;</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możliwość zdalnego ustawienia limitu poboru prądu przez konkretny serwer;</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integracja z Active Directory;</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możliwość obsługi przez dwóch administratorów jednocześnie;</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wsparcie dla dynamic DNS;</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wysyłanie do administratora maila z powiadomieniem o awarii lub zmianie konfiguracji sprzętowej.</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możliwość bezpośredniego zarządzania poprzez dedykowany port USB na przednim panelu serwera</w:t>
            </w:r>
          </w:p>
          <w:p>
            <w:pPr>
              <w:pStyle w:val="ListParagraph"/>
              <w:numPr>
                <w:ilvl w:val="0"/>
                <w:numId w:val="58"/>
              </w:numPr>
              <w:suppressAutoHyphens w:val="false"/>
              <w:spacing w:lineRule="auto" w:line="259"/>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możliwość zarządzania do 100 serwerów bezpośrednio z konsoli karty zarządzającej pojedynczego serwera</w:t>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tc>
      </w:tr>
      <w:tr>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Certyfikaty</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color w:val="000000"/>
                <w:sz w:val="20"/>
                <w:szCs w:val="20"/>
              </w:rPr>
            </w:pPr>
            <w:r>
              <w:rPr>
                <w:rFonts w:cs="Calibri" w:ascii="Calibri" w:hAnsi="Calibri" w:asciiTheme="majorHAnsi" w:cstheme="majorHAnsi" w:hAnsiTheme="majorHAnsi"/>
                <w:color w:val="000000"/>
                <w:sz w:val="20"/>
                <w:szCs w:val="20"/>
              </w:rPr>
              <w:t xml:space="preserve">Serwer musi być wyprodukowany zgodnie z normą ISO-9001:2015 oraz ISO-14001. </w:t>
              <w:br/>
              <w:t>Serwer musi posiadać deklarację CE.</w:t>
              <w:br/>
              <w:t>Oferowany serwer musi znajdować się na liście Windows Server Catalog i posiadać status „Certified for Windows” dla systemów, Microsoft Windows 2019, Microsoft Windows 2022.</w:t>
            </w:r>
          </w:p>
          <w:p>
            <w:pPr>
              <w:pStyle w:val="Normal"/>
              <w:rPr>
                <w:rFonts w:ascii="Calibri" w:hAnsi="Calibri" w:cs="Calibri" w:asciiTheme="majorHAnsi" w:cstheme="majorHAnsi" w:hAnsiTheme="majorHAnsi"/>
                <w:color w:val="000000"/>
                <w:sz w:val="20"/>
                <w:szCs w:val="20"/>
              </w:rPr>
            </w:pPr>
            <w:r>
              <w:rPr>
                <w:rFonts w:cs="Calibri" w:cstheme="majorHAnsi" w:ascii="Calibri" w:hAnsi="Calibri"/>
                <w:color w:val="000000"/>
                <w:sz w:val="20"/>
                <w:szCs w:val="20"/>
              </w:rPr>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tc>
      </w:tr>
      <w:tr>
        <w:trPr>
          <w:trHeight w:val="980" w:hRule="atLeast"/>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rFonts w:cs="Calibri" w:ascii="Calibri" w:hAnsi="Calibri" w:asciiTheme="majorHAnsi" w:cstheme="majorHAnsi" w:hAnsiTheme="majorHAnsi"/>
                <w:b/>
                <w:color w:val="000000"/>
                <w:sz w:val="20"/>
                <w:szCs w:val="20"/>
              </w:rPr>
              <w:t>Warunki gwarancji</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rFonts w:eastAsia="Times New Roman" w:cs="Calibri" w:ascii="Calibri" w:hAnsi="Calibri" w:asciiTheme="majorHAnsi" w:cstheme="majorHAnsi" w:hAnsiTheme="majorHAnsi"/>
                <w:color w:val="000000"/>
                <w:sz w:val="20"/>
                <w:szCs w:val="20"/>
              </w:rPr>
              <w:t xml:space="preserve">3 lata gwarancji producenta, z czasem reakcji do następnego dnia roboczego od przyjęcia zgłoszenia, możliwość zgłaszania awarii 24x7x365 poprzez ogólnopolską linię telefoniczną producenta. </w:t>
              <w:br/>
            </w:r>
          </w:p>
          <w:p>
            <w:pPr>
              <w:pStyle w:val="Normal"/>
              <w:rPr>
                <w:color w:val="000000"/>
              </w:rPr>
            </w:pPr>
            <w:r>
              <w:rPr>
                <w:rFonts w:cs="Calibri" w:ascii="Calibri" w:hAnsi="Calibri" w:asciiTheme="majorHAnsi" w:cstheme="majorHAnsi" w:hAnsiTheme="majorHAnsi"/>
                <w:color w:val="000000"/>
                <w:sz w:val="20"/>
                <w:szCs w:val="20"/>
              </w:rPr>
              <w:t xml:space="preserve">Zamawiający wymaga od podmiotu realizującego serwis lub producenta sprzętu dostarczenie przed podpisaniem umowy </w:t>
            </w:r>
            <w:r>
              <w:rPr>
                <w:rFonts w:cs="Calibri" w:ascii="Calibri" w:hAnsi="Calibri" w:asciiTheme="majorHAnsi" w:cstheme="majorHAnsi" w:hAnsiTheme="majorHAnsi"/>
                <w:b/>
                <w:bCs/>
                <w:color w:val="000000"/>
                <w:sz w:val="20"/>
                <w:szCs w:val="20"/>
              </w:rPr>
              <w:t>oświadczenia</w:t>
            </w:r>
            <w:r>
              <w:rPr>
                <w:rFonts w:cs="Calibri" w:ascii="Calibri" w:hAnsi="Calibri" w:asciiTheme="majorHAnsi" w:cstheme="majorHAnsi" w:hAnsiTheme="majorHAnsi"/>
                <w:color w:val="000000"/>
                <w:sz w:val="20"/>
                <w:szCs w:val="20"/>
              </w:rPr>
              <w:t xml:space="preserve">, że w przypadku wystąpienia awarii dysku twardego w urządzeniu objętym aktywnym wparciem technicznym, uszkodzony dysk twardy pozostaje u Zamawiającego. </w:t>
            </w:r>
            <w:r>
              <w:rPr>
                <w:rFonts w:cs="Calibri" w:ascii="Calibri" w:hAnsi="Calibri" w:asciiTheme="majorHAnsi" w:cstheme="majorHAnsi" w:hAnsiTheme="majorHAnsi"/>
                <w:color w:val="000000"/>
                <w:sz w:val="20"/>
                <w:szCs w:val="20"/>
              </w:rPr>
              <w:br/>
            </w:r>
          </w:p>
          <w:p>
            <w:pPr>
              <w:pStyle w:val="Normal"/>
              <w:jc w:val="both"/>
              <w:rPr>
                <w:color w:val="000000"/>
              </w:rPr>
            </w:pPr>
            <w:r>
              <w:rPr>
                <w:rFonts w:cs="Calibri" w:ascii="Calibri" w:hAnsi="Calibri" w:asciiTheme="majorHAnsi" w:cstheme="majorHAnsi" w:hAnsiTheme="majorHAnsi"/>
                <w:color w:val="000000"/>
                <w:sz w:val="20"/>
                <w:szCs w:val="20"/>
              </w:rPr>
              <w:t xml:space="preserve">Firma serwisująca musi posiadać ISO 9001:2008 na świadczenie usług serwisowych– </w:t>
            </w:r>
            <w:r>
              <w:rPr>
                <w:rFonts w:cs="Calibri" w:ascii="Calibri" w:hAnsi="Calibri" w:asciiTheme="majorHAnsi" w:cstheme="majorHAnsi" w:hAnsiTheme="majorHAnsi"/>
                <w:b/>
                <w:bCs/>
                <w:color w:val="000000"/>
                <w:sz w:val="20"/>
                <w:szCs w:val="20"/>
              </w:rPr>
              <w:t xml:space="preserve">dokumenty potwierdzające należy załączyć przed podpisaniem umowy. </w:t>
            </w:r>
          </w:p>
          <w:p>
            <w:pPr>
              <w:pStyle w:val="Normal"/>
              <w:jc w:val="both"/>
              <w:rPr>
                <w:color w:val="000000"/>
              </w:rPr>
            </w:pPr>
            <w:r>
              <w:rPr>
                <w:rFonts w:cs="Calibri" w:ascii="Calibri" w:hAnsi="Calibri" w:asciiTheme="majorHAnsi" w:cstheme="majorHAnsi" w:hAnsiTheme="majorHAnsi"/>
                <w:color w:val="000000"/>
                <w:sz w:val="20"/>
                <w:szCs w:val="20"/>
              </w:rPr>
              <w:t xml:space="preserve">Wymagane dostarczenie </w:t>
            </w:r>
            <w:r>
              <w:rPr>
                <w:rFonts w:cs="Calibri" w:ascii="Calibri" w:hAnsi="Calibri" w:asciiTheme="majorHAnsi" w:cstheme="majorHAnsi" w:hAnsiTheme="majorHAnsi"/>
                <w:b/>
                <w:bCs/>
                <w:color w:val="000000"/>
                <w:sz w:val="20"/>
                <w:szCs w:val="20"/>
              </w:rPr>
              <w:t>oświadczenia przed podpisaniem umowy.</w:t>
            </w:r>
            <w:r>
              <w:rPr>
                <w:rFonts w:cs="Calibri" w:ascii="Calibri" w:hAnsi="Calibri" w:asciiTheme="majorHAnsi" w:cstheme="majorHAnsi" w:hAnsiTheme="majorHAnsi"/>
                <w:color w:val="000000"/>
                <w:sz w:val="20"/>
                <w:szCs w:val="20"/>
              </w:rPr>
              <w:t xml:space="preserve"> Producenta potwierdzając, że Serwis urządzeń będzie realizowany bezpośrednio przez Producenta i/lub we współpracy z Autoryzowanym Partnerem Serwisowym Producenta.</w:t>
            </w:r>
          </w:p>
          <w:p>
            <w:pPr>
              <w:pStyle w:val="Normal"/>
              <w:jc w:val="both"/>
              <w:rPr>
                <w:rFonts w:ascii="Calibri" w:hAnsi="Calibri" w:cs="Calibri" w:asciiTheme="majorHAnsi" w:cstheme="majorHAnsi" w:hAnsiTheme="majorHAnsi"/>
                <w:color w:val="000000"/>
                <w:sz w:val="20"/>
                <w:szCs w:val="20"/>
              </w:rPr>
            </w:pPr>
            <w:r>
              <w:rPr>
                <w:rFonts w:cs="Calibri" w:cstheme="majorHAnsi" w:ascii="Calibri" w:hAnsi="Calibri"/>
                <w:color w:val="000000"/>
                <w:sz w:val="20"/>
                <w:szCs w:val="20"/>
              </w:rPr>
            </w:r>
          </w:p>
          <w:p>
            <w:pPr>
              <w:pStyle w:val="Normal"/>
              <w:rPr>
                <w:color w:val="000000"/>
              </w:rPr>
            </w:pPr>
            <w:r>
              <w:rPr>
                <w:rFonts w:eastAsia="Times New Roman" w:cs="Calibri" w:ascii="Calibri" w:hAnsi="Calibri" w:asciiTheme="majorHAnsi" w:cstheme="majorHAnsi" w:hAnsiTheme="majorHAnsi"/>
                <w:color w:val="000000"/>
                <w:sz w:val="20"/>
                <w:szCs w:val="20"/>
              </w:rPr>
              <w:t>Możliwość sprawdzenia statusu gwarancji poprzez stronę producenta podając unikatowy numer urządzenia oraz pobieranie uaktualnień mikrokodu oraz sterowników nawet w przypadku wygaśnięcia gwarancji serwera.</w:t>
            </w:r>
          </w:p>
          <w:p>
            <w:pPr>
              <w:pStyle w:val="Normal"/>
              <w:rPr>
                <w:rFonts w:ascii="Calibri" w:hAnsi="Calibri" w:cs="Calibri" w:asciiTheme="majorHAnsi" w:cstheme="majorHAnsi" w:hAnsiTheme="majorHAnsi"/>
                <w:color w:val="000000"/>
                <w:sz w:val="20"/>
                <w:szCs w:val="20"/>
              </w:rPr>
            </w:pPr>
            <w:r>
              <w:rPr>
                <w:rFonts w:cs="Calibri" w:cstheme="majorHAnsi" w:ascii="Calibri" w:hAnsi="Calibri"/>
                <w:color w:val="000000"/>
                <w:sz w:val="20"/>
                <w:szCs w:val="20"/>
              </w:rPr>
            </w:r>
          </w:p>
        </w:tc>
      </w:tr>
      <w:tr>
        <w:trPr>
          <w:trHeight w:val="557" w:hRule="atLeast"/>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Dokumentacja użytkownika</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Zamawiający wymaga dokumentacji w języku polskim lub angi</w:t>
            </w:r>
            <w:r>
              <w:rPr>
                <w:rFonts w:cs="Calibri" w:ascii="Calibri" w:hAnsi="Calibri" w:asciiTheme="majorHAnsi" w:cstheme="majorHAnsi" w:hAnsiTheme="majorHAnsi"/>
                <w:i/>
                <w:sz w:val="20"/>
                <w:szCs w:val="20"/>
              </w:rPr>
              <w:t>e</w:t>
            </w:r>
            <w:r>
              <w:rPr>
                <w:rFonts w:cs="Calibri" w:ascii="Calibri" w:hAnsi="Calibri" w:asciiTheme="majorHAnsi" w:cstheme="majorHAnsi" w:hAnsiTheme="majorHAnsi"/>
                <w:sz w:val="20"/>
                <w:szCs w:val="20"/>
              </w:rPr>
              <w:t>lskim.</w:t>
            </w:r>
          </w:p>
          <w:p>
            <w:pPr>
              <w:pStyle w:val="Normal"/>
              <w:rPr>
                <w:rFonts w:ascii="Calibri" w:hAnsi="Calibri" w:cs="Calibri" w:asciiTheme="majorHAnsi" w:cstheme="majorHAnsi" w:hAnsiTheme="majorHAnsi"/>
                <w:bCs/>
                <w:sz w:val="20"/>
                <w:szCs w:val="20"/>
              </w:rPr>
            </w:pPr>
            <w:r>
              <w:rPr>
                <w:rFonts w:cs="Calibri" w:ascii="Calibri" w:hAnsi="Calibri" w:asciiTheme="majorHAnsi" w:cstheme="majorHAnsi" w:hAnsiTheme="majorHAnsi"/>
                <w:bCs/>
                <w:sz w:val="20"/>
                <w:szCs w:val="20"/>
              </w:rPr>
              <w:t>Możliwość telefonicznego sprawdzenia konfiguracji sprzętowej serwera oraz warunków gwarancji po podaniu numeru seryjnego bezpośrednio u producenta lub jego przedstawiciela.</w:t>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tc>
      </w:tr>
      <w:tr>
        <w:trPr>
          <w:trHeight w:val="230" w:hRule="atLeast"/>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System operacyjny</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Dostarczony system operacyjny przez wzgląd na kompatybilność z obecnie posiadaną infrastrukturą. Licencja na Windows Server 2022 Standard, licencja pokrywająca wszystkie fizyczne rdzenie w serwerze. System zainstalowany na wymaganych nośnikach, preinstalowana partycja recovery oraz nośnik fizyczny pozwalające na odzyskanie systemu.</w:t>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tc>
      </w:tr>
      <w:tr>
        <w:trPr>
          <w:trHeight w:val="230" w:hRule="atLeast"/>
        </w:trPr>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asciiTheme="majorHAnsi" w:cstheme="majorHAnsi" w:hAnsiTheme="majorHAnsi"/>
                <w:b/>
                <w:sz w:val="20"/>
                <w:szCs w:val="20"/>
              </w:rPr>
            </w:pPr>
            <w:r>
              <w:rPr>
                <w:rFonts w:cs="Calibri" w:ascii="Calibri" w:hAnsi="Calibri" w:asciiTheme="majorHAnsi" w:cstheme="majorHAnsi" w:hAnsiTheme="majorHAnsi"/>
                <w:b/>
                <w:sz w:val="20"/>
                <w:szCs w:val="20"/>
              </w:rPr>
              <w:t>Wdrożenie</w:t>
            </w:r>
          </w:p>
        </w:tc>
        <w:tc>
          <w:tcPr>
            <w:tcW w:w="7958" w:type="dxa"/>
            <w:tcBorders>
              <w:top w:val="single" w:sz="4" w:space="0" w:color="000000"/>
              <w:start w:val="single" w:sz="4" w:space="0" w:color="000000"/>
              <w:bottom w:val="single" w:sz="4" w:space="0" w:color="000000"/>
              <w:end w:val="single" w:sz="4" w:space="0" w:color="000000"/>
            </w:tcBorders>
            <w:vAlign w:val="center"/>
          </w:tcPr>
          <w:p>
            <w:pPr>
              <w:pStyle w:val="Normal"/>
              <w:rPr>
                <w:rFonts w:ascii="Calibri" w:hAnsi="Calibri" w:cs="Calibri" w:asciiTheme="majorHAnsi" w:cstheme="majorHAnsi" w:hAnsiTheme="majorHAnsi"/>
                <w:sz w:val="20"/>
                <w:szCs w:val="20"/>
              </w:rPr>
            </w:pPr>
            <w:r>
              <w:rPr>
                <w:rFonts w:cs="Calibri" w:ascii="Calibri" w:hAnsi="Calibri" w:asciiTheme="majorHAnsi" w:cstheme="majorHAnsi" w:hAnsiTheme="majorHAnsi"/>
                <w:sz w:val="20"/>
                <w:szCs w:val="20"/>
              </w:rPr>
              <w:t>Wdrożenie + konfiguracja serwera w siedzibie zamawiającego.</w:t>
            </w:r>
          </w:p>
          <w:p>
            <w:pPr>
              <w:pStyle w:val="Normal"/>
              <w:rPr>
                <w:rFonts w:ascii="Calibri" w:hAnsi="Calibri" w:cs="Calibri" w:asciiTheme="majorHAnsi" w:cstheme="majorHAnsi" w:hAnsiTheme="majorHAnsi"/>
                <w:sz w:val="20"/>
                <w:szCs w:val="20"/>
              </w:rPr>
            </w:pPr>
            <w:r>
              <w:rPr>
                <w:rFonts w:cs="Calibri" w:cstheme="majorHAnsi" w:ascii="Calibri" w:hAnsi="Calibri"/>
                <w:sz w:val="20"/>
                <w:szCs w:val="20"/>
              </w:rPr>
            </w:r>
          </w:p>
        </w:tc>
      </w:tr>
    </w:tbl>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numPr>
          <w:ilvl w:val="0"/>
          <w:numId w:val="51"/>
        </w:numPr>
        <w:spacing w:lineRule="auto" w:line="360"/>
        <w:ind w:hanging="360" w:start="567"/>
        <w:rPr>
          <w:rFonts w:ascii="Calibri" w:hAnsi="Calibri" w:eastAsia="Arial" w:cs="Calibri" w:asciiTheme="majorHAnsi" w:cstheme="majorHAnsi" w:hAnsiTheme="majorHAnsi"/>
          <w:color w:val="002060"/>
          <w:sz w:val="28"/>
          <w:szCs w:val="28"/>
        </w:rPr>
      </w:pPr>
      <w:r>
        <w:rPr>
          <w:rFonts w:eastAsia="Arial" w:cs="Calibri" w:ascii="Calibri" w:hAnsi="Calibri" w:asciiTheme="majorHAnsi" w:cstheme="majorHAnsi" w:hAnsiTheme="majorHAnsi"/>
          <w:color w:val="002060"/>
          <w:sz w:val="28"/>
          <w:szCs w:val="28"/>
        </w:rPr>
        <w:t>Urządzenie NAS – 2 szt</w:t>
      </w:r>
    </w:p>
    <w:tbl>
      <w:tblPr>
        <w:tblStyle w:val="Tabela-Siatka1"/>
        <w:tblW w:w="9628"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1572"/>
        <w:gridCol w:w="8056"/>
      </w:tblGrid>
      <w:tr>
        <w:trPr/>
        <w:tc>
          <w:tcPr>
            <w:tcW w:w="1572" w:type="dxa"/>
            <w:tcBorders/>
            <w:shd w:color="auto" w:fill="000000" w:themeFill="text1" w:val="clear"/>
          </w:tcPr>
          <w:p>
            <w:pPr>
              <w:pStyle w:val="Normal"/>
              <w:widowControl/>
              <w:suppressAutoHyphens w:val="false"/>
              <w:spacing w:lineRule="auto" w:line="259" w:before="0" w:after="160"/>
              <w:jc w:val="center"/>
              <w:rPr>
                <w:rFonts w:eastAsia="Calibri"/>
                <w:b/>
                <w:sz w:val="20"/>
                <w:szCs w:val="20"/>
                <w:lang w:eastAsia="en-US"/>
              </w:rPr>
            </w:pPr>
            <w:r>
              <w:rPr>
                <w:rFonts w:eastAsia="Calibri" w:cs="Times New Roman" w:ascii="Calibri" w:hAnsi="Calibri"/>
                <w:b/>
                <w:kern w:val="0"/>
                <w:sz w:val="20"/>
                <w:szCs w:val="20"/>
                <w:lang w:val="pl-PL" w:eastAsia="en-US" w:bidi="ar-SA"/>
              </w:rPr>
              <w:t>Parametr</w:t>
            </w:r>
          </w:p>
        </w:tc>
        <w:tc>
          <w:tcPr>
            <w:tcW w:w="8056" w:type="dxa"/>
            <w:tcBorders/>
            <w:shd w:color="auto" w:fill="000000" w:themeFill="text1" w:val="clear"/>
          </w:tcPr>
          <w:p>
            <w:pPr>
              <w:pStyle w:val="Normal"/>
              <w:widowControl/>
              <w:suppressAutoHyphens w:val="false"/>
              <w:spacing w:before="0" w:after="0"/>
              <w:jc w:val="center"/>
              <w:rPr>
                <w:rFonts w:ascii="Calibri" w:hAnsi="Calibri" w:cs="Calibri" w:asciiTheme="majorHAnsi" w:cstheme="majorHAnsi" w:hAnsiTheme="majorHAnsi"/>
                <w:b/>
                <w:bCs/>
                <w:sz w:val="20"/>
                <w:szCs w:val="20"/>
                <w:lang w:val="en-US"/>
              </w:rPr>
            </w:pPr>
            <w:r>
              <w:rPr>
                <w:rFonts w:eastAsia="Times New Roman" w:cs="Calibri" w:ascii="Calibri" w:hAnsi="Calibri" w:asciiTheme="majorHAnsi" w:cstheme="majorHAnsi" w:hAnsiTheme="majorHAnsi"/>
                <w:b/>
                <w:bCs/>
                <w:kern w:val="0"/>
                <w:sz w:val="20"/>
                <w:szCs w:val="20"/>
                <w:lang w:val="en-US" w:eastAsia="pl-PL" w:bidi="ar-SA"/>
              </w:rPr>
              <w:t>Charakterystyka (wymagania minimalne)</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Procesor</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lang w:val="en-US"/>
              </w:rPr>
            </w:pPr>
            <w:r>
              <w:rPr>
                <w:rFonts w:eastAsia="Times New Roman" w:cs="Calibri" w:ascii="Calibri" w:hAnsi="Calibri" w:asciiTheme="majorHAnsi" w:cstheme="majorHAnsi" w:hAnsiTheme="majorHAnsi"/>
                <w:kern w:val="0"/>
                <w:sz w:val="20"/>
                <w:szCs w:val="20"/>
                <w:lang w:val="en-US" w:eastAsia="pl-PL" w:bidi="ar-SA"/>
              </w:rPr>
              <w:t xml:space="preserve">Min. </w:t>
            </w:r>
            <w:r>
              <w:rPr>
                <w:rFonts w:eastAsia="Times New Roman" w:cs="Calibri" w:ascii="Calibri" w:hAnsi="Calibri" w:asciiTheme="majorHAnsi" w:cstheme="majorHAnsi" w:hAnsiTheme="majorHAnsi"/>
                <w:color w:val="2E3742"/>
                <w:kern w:val="0"/>
                <w:sz w:val="20"/>
                <w:szCs w:val="20"/>
                <w:shd w:fill="FFFFFF" w:val="clear"/>
                <w:lang w:val="de-DE" w:eastAsia="pl-PL" w:bidi="ar-SA"/>
              </w:rPr>
              <w:t>AMD Ryzen V1500B, 4-core 2.2GHz</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Obudowa</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 xml:space="preserve">Rack 2U o wymiarach </w:t>
            </w:r>
            <w:r>
              <w:rPr>
                <w:rFonts w:eastAsia="Times New Roman" w:cs="Calibri" w:ascii="Calibri" w:hAnsi="Calibri" w:asciiTheme="majorHAnsi" w:cstheme="majorHAnsi" w:hAnsiTheme="majorHAnsi"/>
                <w:color w:val="000000"/>
                <w:kern w:val="0"/>
                <w:sz w:val="20"/>
                <w:szCs w:val="20"/>
                <w:shd w:fill="FFFFFF" w:val="clear"/>
                <w:lang w:val="pl-PL" w:eastAsia="pl-PL" w:bidi="ar-SA"/>
              </w:rPr>
              <w:t>88 mm x 482 mm x 407.5 mm + szyny do montażu w szafie rack</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Pamięć RAM</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color w:val="FF0000"/>
                <w:sz w:val="20"/>
                <w:szCs w:val="20"/>
                <w:lang w:val="de-DE"/>
              </w:rPr>
            </w:pPr>
            <w:r>
              <w:rPr>
                <w:rFonts w:eastAsia="Times New Roman" w:cs="Calibri" w:ascii="Calibri" w:hAnsi="Calibri" w:asciiTheme="majorHAnsi" w:cstheme="majorHAnsi" w:hAnsiTheme="majorHAnsi"/>
                <w:kern w:val="0"/>
                <w:sz w:val="20"/>
                <w:szCs w:val="20"/>
                <w:lang w:val="de-DE" w:eastAsia="pl-PL" w:bidi="ar-SA"/>
              </w:rPr>
              <w:t>32GB DDR4 ECC SODIMM RAM</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Ilość obsługiwanych dysków</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8 dysków 3,5" lub 2,5" SATA HDD/SSD</w:t>
            </w:r>
          </w:p>
        </w:tc>
      </w:tr>
      <w:tr>
        <w:trPr>
          <w:trHeight w:val="311" w:hRule="atLeast"/>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Interfejsy sieciowe</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4 porty 1GbE RJ-45</w:t>
            </w:r>
          </w:p>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2 porty 10GbE RJ-45 (możliwość uzyskanie poprzez dołożenie odpowiedniej karty rozszerzeń tego samego producenta)</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Porty</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2 x USB3.2 1 generacji, 1 x eSATA</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Port PCIe</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lang w:val="de-DE"/>
              </w:rPr>
            </w:pPr>
            <w:r>
              <w:rPr>
                <w:rFonts w:eastAsia="Times New Roman" w:cs="Calibri" w:ascii="Calibri" w:hAnsi="Calibri" w:asciiTheme="majorHAnsi" w:cstheme="majorHAnsi" w:hAnsiTheme="majorHAnsi"/>
                <w:kern w:val="0"/>
                <w:sz w:val="20"/>
                <w:szCs w:val="20"/>
                <w:lang w:val="de-DE" w:eastAsia="pl-PL" w:bidi="ar-SA"/>
              </w:rPr>
              <w:t>1 x Gen3 x8 slot (x4 link)</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Wskaźniki LED</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Wskaźnik zasilania, Wskaźnik stanu, Wskaźnik alertów, Wskaźnik stanu dysków 1-8, Wskaźniki zasilacza</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Obsługa RAID</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lang w:val="en-US"/>
              </w:rPr>
            </w:pPr>
            <w:r>
              <w:rPr>
                <w:rFonts w:eastAsia="Times New Roman" w:cs="Calibri" w:ascii="Calibri" w:hAnsi="Calibri" w:asciiTheme="majorHAnsi" w:cstheme="majorHAnsi" w:hAnsiTheme="majorHAnsi"/>
                <w:kern w:val="0"/>
                <w:sz w:val="20"/>
                <w:szCs w:val="20"/>
                <w:lang w:val="en-US" w:eastAsia="pl-PL" w:bidi="ar-SA"/>
              </w:rPr>
              <w:t>Synology Hybrid RAID, Basic, JBOD, RAID 0, RAID 1, RAID 5, RAID 6, RAID 10</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Funkcje RAID</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Możliwość zwiększania pojemności i migracja między poziomami RAID online.</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Szyfrowanie</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Możliwość szyfrowania wybranych udziałów sieciowych, kluczem AES-256bitów</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System Operacyjny</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Windows® 7 i nowsze, macOS® 10.12 i nowsze</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Licencja na Kamery IP</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W zestawie licencja na dwie kamery z możliwością rozszerzenia do 40</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Protokoły</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SMB, AFP, NFS, FTP, WebDAV, CalDAV, iSCSI, Telnet, SSH, SNMP, VPN (PPTP, OpenVPN™, L2TP)</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Usługi</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 xml:space="preserve">Wsparcie dla </w:t>
            </w:r>
            <w:r>
              <w:rPr>
                <w:rFonts w:eastAsia="Times New Roman" w:cs="Calibri" w:ascii="Calibri" w:hAnsi="Calibri" w:asciiTheme="majorHAnsi" w:cstheme="majorHAnsi" w:hAnsiTheme="majorHAnsi"/>
                <w:kern w:val="0"/>
                <w:sz w:val="20"/>
                <w:szCs w:val="20"/>
                <w:shd w:fill="FFFFFF" w:val="clear"/>
                <w:lang w:val="pl-PL" w:eastAsia="pl-PL" w:bidi="ar-SA"/>
              </w:rPr>
              <w:t>High Availability,</w:t>
            </w:r>
            <w:r>
              <w:rPr>
                <w:rFonts w:eastAsia="Times New Roman" w:cs="Calibri" w:ascii="Calibri" w:hAnsi="Calibri" w:asciiTheme="majorHAnsi" w:cstheme="majorHAnsi" w:hAnsiTheme="majorHAnsi"/>
                <w:kern w:val="0"/>
                <w:sz w:val="20"/>
                <w:szCs w:val="20"/>
                <w:lang w:val="pl-PL" w:eastAsia="pl-PL" w:bidi="ar-SA"/>
              </w:rPr>
              <w:t xml:space="preserve"> Serwer VPN, Central Management System, Serwer pocztowy dla kilku domen, Stacja monitoringu, Windows ACL, Time Backup, Integracja z Windows ADS, Firewall z kontrolą ruchu,  Serwer wydruku, Serwer WWW, Serwer plików, Manager plików przez WWW, Floating Point, Szyfrowana replikacja zdalna na kilka serwerów w tym samym czasie, Antyvirus, Klient VPN, Cloud Station, Usługa DDNS, wysyłanie powiadomień z konta Skype i </w:t>
            </w:r>
            <w:r>
              <w:rPr>
                <w:rFonts w:eastAsia="Times New Roman" w:cs="Calibri" w:ascii="Calibri" w:hAnsi="Calibri" w:asciiTheme="majorHAnsi" w:cstheme="majorHAnsi" w:hAnsiTheme="majorHAnsi"/>
                <w:color w:val="333333"/>
                <w:kern w:val="0"/>
                <w:sz w:val="20"/>
                <w:szCs w:val="20"/>
                <w:shd w:fill="FFFFFF" w:val="clear"/>
                <w:lang w:val="pl-PL" w:eastAsia="pl-PL" w:bidi="ar-SA"/>
              </w:rPr>
              <w:t>Microsoft Messenger</w:t>
            </w:r>
            <w:r>
              <w:rPr>
                <w:rFonts w:eastAsia="Times New Roman" w:cs="Calibri" w:ascii="Calibri" w:hAnsi="Calibri" w:asciiTheme="majorHAnsi" w:cstheme="majorHAnsi" w:hAnsiTheme="majorHAnsi"/>
                <w:kern w:val="0"/>
                <w:sz w:val="20"/>
                <w:szCs w:val="20"/>
                <w:lang w:val="pl-PL" w:eastAsia="pl-PL" w:bidi="ar-SA"/>
              </w:rPr>
              <w:t xml:space="preserve">, Certyfikaty Citrix, </w:t>
            </w:r>
            <w:r>
              <w:rPr>
                <w:rFonts w:eastAsia="Times New Roman" w:cs="Calibri" w:ascii="Calibri" w:hAnsi="Calibri" w:asciiTheme="majorHAnsi" w:cstheme="majorHAnsi" w:hAnsiTheme="majorHAnsi"/>
                <w:bCs/>
                <w:color w:val="333333"/>
                <w:kern w:val="0"/>
                <w:sz w:val="20"/>
                <w:szCs w:val="20"/>
                <w:shd w:fill="FFFFFF" w:val="clear"/>
                <w:lang w:val="pl-PL" w:eastAsia="pl-PL" w:bidi="ar-SA"/>
              </w:rPr>
              <w:t>VMware vSphere</w:t>
            </w:r>
            <w:r>
              <w:rPr>
                <w:rFonts w:eastAsia="Times New Roman" w:cs="Calibri" w:ascii="Calibri" w:hAnsi="Calibri" w:asciiTheme="majorHAnsi" w:cstheme="majorHAnsi" w:hAnsiTheme="majorHAnsi"/>
                <w:b/>
                <w:bCs/>
                <w:color w:val="333333"/>
                <w:kern w:val="0"/>
                <w:sz w:val="20"/>
                <w:szCs w:val="20"/>
                <w:shd w:fill="FFFFFF" w:val="clear"/>
                <w:lang w:val="pl-PL" w:eastAsia="pl-PL" w:bidi="ar-SA"/>
              </w:rPr>
              <w:t>, </w:t>
            </w:r>
            <w:r>
              <w:rPr>
                <w:rFonts w:eastAsia="Times New Roman" w:cs="Calibri" w:ascii="Calibri" w:hAnsi="Calibri" w:asciiTheme="majorHAnsi" w:cstheme="majorHAnsi" w:hAnsiTheme="majorHAnsi"/>
                <w:kern w:val="0"/>
                <w:sz w:val="20"/>
                <w:szCs w:val="20"/>
                <w:lang w:val="pl-PL" w:eastAsia="pl-PL" w:bidi="ar-SA"/>
              </w:rPr>
              <w:t>Zarządzanie przez komórkę, Virtual Drive, Serwer i klient LDAP, Możliwość utworzenia kilku wolumenów, MailPlus, praca w klastrze (HA), backup plików bez instalowania aplikacji klienckiej na komputerze, możliwość tworzenia backupu z maszyn wirtualnych bez konieczności kupowania dodatkowych licencji</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Zarządzanie dyskami</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SMART, sprawdzanie złych sektorów, dynamiczne mapowanie uszkodzonych sektorów</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Język GUI</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Polski</w:t>
            </w:r>
          </w:p>
        </w:tc>
      </w:tr>
      <w:tr>
        <w:trPr/>
        <w:tc>
          <w:tcPr>
            <w:tcW w:w="1572" w:type="dxa"/>
            <w:tcBorders/>
          </w:tcPr>
          <w:p>
            <w:pPr>
              <w:pStyle w:val="Normal"/>
              <w:widowControl/>
              <w:suppressAutoHyphens w:val="false"/>
              <w:spacing w:before="0" w:after="0"/>
              <w:jc w:val="start"/>
              <w:rPr>
                <w:color w:val="000000"/>
              </w:rPr>
            </w:pPr>
            <w:r>
              <w:rPr>
                <w:rFonts w:eastAsia="Times New Roman" w:cs="Calibri" w:ascii="Calibri" w:hAnsi="Calibri" w:asciiTheme="majorHAnsi" w:cstheme="majorHAnsi" w:hAnsiTheme="majorHAnsi"/>
                <w:b/>
                <w:bCs/>
                <w:color w:val="000000"/>
                <w:kern w:val="0"/>
                <w:sz w:val="20"/>
                <w:szCs w:val="20"/>
                <w:lang w:val="pl-PL" w:eastAsia="pl-PL" w:bidi="ar-SA"/>
              </w:rPr>
              <w:t>Gwarancja</w:t>
            </w:r>
          </w:p>
        </w:tc>
        <w:tc>
          <w:tcPr>
            <w:tcW w:w="8056" w:type="dxa"/>
            <w:tcBorders/>
          </w:tcPr>
          <w:p>
            <w:pPr>
              <w:pStyle w:val="Normal"/>
              <w:widowControl/>
              <w:suppressAutoHyphens w:val="false"/>
              <w:spacing w:before="0" w:after="0"/>
              <w:jc w:val="start"/>
              <w:rPr>
                <w:color w:val="000000"/>
              </w:rPr>
            </w:pPr>
            <w:r>
              <w:rPr>
                <w:rFonts w:eastAsia="Times New Roman" w:cs="Calibri" w:ascii="Calibri" w:hAnsi="Calibri" w:asciiTheme="majorHAnsi" w:cstheme="majorHAnsi" w:hAnsiTheme="majorHAnsi"/>
                <w:color w:val="000000"/>
                <w:kern w:val="0"/>
                <w:sz w:val="20"/>
                <w:szCs w:val="20"/>
                <w:shd w:fill="FFFFFF" w:val="clear"/>
                <w:lang w:val="pl-PL" w:eastAsia="pl-PL" w:bidi="ar-SA"/>
              </w:rPr>
              <w:t xml:space="preserve">60 miesięcy </w:t>
            </w:r>
          </w:p>
          <w:p>
            <w:pPr>
              <w:pStyle w:val="Normal"/>
              <w:widowControl/>
              <w:suppressAutoHyphens w:val="false"/>
              <w:spacing w:before="0" w:after="0"/>
              <w:jc w:val="start"/>
              <w:rPr>
                <w:rFonts w:ascii="Calibri" w:hAnsi="Calibri" w:cs="Calibri" w:asciiTheme="majorHAnsi" w:cstheme="majorHAnsi" w:hAnsiTheme="majorHAnsi"/>
                <w:color w:val="000000"/>
                <w:sz w:val="20"/>
                <w:szCs w:val="20"/>
                <w:shd w:fill="FFFFFF" w:val="clear"/>
              </w:rPr>
            </w:pPr>
            <w:r>
              <w:rPr>
                <w:rFonts w:cs="Calibri" w:cstheme="majorHAnsi" w:ascii="Calibri" w:hAnsi="Calibri"/>
                <w:color w:val="000000"/>
                <w:sz w:val="20"/>
                <w:szCs w:val="20"/>
                <w:shd w:fill="FFFFFF" w:val="clear"/>
              </w:rPr>
            </w:r>
          </w:p>
          <w:p>
            <w:pPr>
              <w:pStyle w:val="Normal"/>
              <w:widowControl/>
              <w:suppressAutoHyphens w:val="false"/>
              <w:spacing w:before="0" w:after="0"/>
              <w:jc w:val="start"/>
              <w:rPr>
                <w:color w:val="000000"/>
              </w:rPr>
            </w:pPr>
            <w:r>
              <w:rPr>
                <w:rFonts w:eastAsia="Times New Roman" w:cs="Calibri" w:ascii="Calibri" w:hAnsi="Calibri" w:asciiTheme="majorHAnsi" w:cstheme="majorHAnsi" w:hAnsiTheme="majorHAnsi"/>
                <w:color w:val="000000"/>
                <w:kern w:val="0"/>
                <w:sz w:val="20"/>
                <w:szCs w:val="20"/>
                <w:shd w:fill="FFFFFF" w:val="clear"/>
                <w:lang w:val="pl-PL" w:eastAsia="pl-PL" w:bidi="ar-SA"/>
              </w:rPr>
              <w:t>•</w:t>
            </w:r>
            <w:r>
              <w:rPr>
                <w:rFonts w:eastAsia="Times New Roman" w:cs="Calibri" w:ascii="Calibri" w:hAnsi="Calibri" w:asciiTheme="majorHAnsi" w:cstheme="majorHAnsi" w:hAnsiTheme="majorHAnsi"/>
                <w:color w:val="000000"/>
                <w:kern w:val="0"/>
                <w:sz w:val="20"/>
                <w:szCs w:val="20"/>
                <w:shd w:fill="FFFFFF" w:val="clear"/>
                <w:lang w:val="pl-PL" w:eastAsia="pl-PL" w:bidi="ar-SA"/>
              </w:rPr>
              <w:tab/>
              <w:t>pomoc telefoniczna lub e-mailowa przy uruchomieniu i wdrożeniu produktu,</w:t>
            </w:r>
          </w:p>
          <w:p>
            <w:pPr>
              <w:pStyle w:val="Normal"/>
              <w:widowControl/>
              <w:suppressAutoHyphens w:val="false"/>
              <w:spacing w:before="0" w:after="0"/>
              <w:jc w:val="start"/>
              <w:rPr>
                <w:color w:val="000000"/>
              </w:rPr>
            </w:pPr>
            <w:r>
              <w:rPr>
                <w:rFonts w:eastAsia="Times New Roman" w:cs="Calibri" w:ascii="Calibri" w:hAnsi="Calibri" w:asciiTheme="majorHAnsi" w:cstheme="majorHAnsi" w:hAnsiTheme="majorHAnsi"/>
                <w:color w:val="000000"/>
                <w:kern w:val="0"/>
                <w:sz w:val="20"/>
                <w:szCs w:val="20"/>
                <w:shd w:fill="FFFFFF" w:val="clear"/>
                <w:lang w:val="pl-PL" w:eastAsia="pl-PL" w:bidi="ar-SA"/>
              </w:rPr>
              <w:t>•</w:t>
            </w:r>
            <w:r>
              <w:rPr>
                <w:rFonts w:eastAsia="Times New Roman" w:cs="Calibri" w:ascii="Calibri" w:hAnsi="Calibri" w:asciiTheme="majorHAnsi" w:cstheme="majorHAnsi" w:hAnsiTheme="majorHAnsi"/>
                <w:color w:val="000000"/>
                <w:kern w:val="0"/>
                <w:sz w:val="20"/>
                <w:szCs w:val="20"/>
                <w:shd w:fill="FFFFFF" w:val="clear"/>
                <w:lang w:val="pl-PL" w:eastAsia="pl-PL" w:bidi="ar-SA"/>
              </w:rPr>
              <w:tab/>
              <w:t xml:space="preserve">wsparcie techniczne w przypadku problemów ze współpracą z innymi elementami                         sieci, </w:t>
            </w:r>
          </w:p>
          <w:p>
            <w:pPr>
              <w:pStyle w:val="Normal"/>
              <w:widowControl/>
              <w:suppressAutoHyphens w:val="false"/>
              <w:spacing w:before="0" w:after="0"/>
              <w:jc w:val="start"/>
              <w:rPr>
                <w:color w:val="000000"/>
              </w:rPr>
            </w:pPr>
            <w:r>
              <w:rPr>
                <w:rFonts w:eastAsia="Times New Roman" w:cs="Calibri" w:ascii="Calibri" w:hAnsi="Calibri" w:asciiTheme="majorHAnsi" w:cstheme="majorHAnsi" w:hAnsiTheme="majorHAnsi"/>
                <w:color w:val="000000"/>
                <w:kern w:val="0"/>
                <w:sz w:val="20"/>
                <w:szCs w:val="20"/>
                <w:shd w:fill="FFFFFF" w:val="clear"/>
                <w:lang w:val="pl-PL" w:eastAsia="pl-PL" w:bidi="ar-SA"/>
              </w:rPr>
              <w:t>•</w:t>
            </w:r>
            <w:r>
              <w:rPr>
                <w:rFonts w:eastAsia="Times New Roman" w:cs="Calibri" w:ascii="Calibri" w:hAnsi="Calibri" w:asciiTheme="majorHAnsi" w:cstheme="majorHAnsi" w:hAnsiTheme="majorHAnsi"/>
                <w:color w:val="000000"/>
                <w:kern w:val="0"/>
                <w:sz w:val="20"/>
                <w:szCs w:val="20"/>
                <w:shd w:fill="FFFFFF" w:val="clear"/>
                <w:lang w:val="pl-PL" w:eastAsia="pl-PL" w:bidi="ar-SA"/>
              </w:rPr>
              <w:tab/>
              <w:t>pełna asysta telefoniczna / e-mailowa przy aktualizacji oprogramowania,</w:t>
            </w:r>
          </w:p>
          <w:p>
            <w:pPr>
              <w:pStyle w:val="Normal"/>
              <w:widowControl/>
              <w:suppressAutoHyphens w:val="false"/>
              <w:spacing w:before="0" w:after="0"/>
              <w:jc w:val="start"/>
              <w:rPr>
                <w:color w:val="000000"/>
              </w:rPr>
            </w:pPr>
            <w:r>
              <w:rPr>
                <w:rFonts w:eastAsia="Times New Roman" w:cs="Calibri" w:ascii="Calibri" w:hAnsi="Calibri" w:asciiTheme="majorHAnsi" w:cstheme="majorHAnsi" w:hAnsiTheme="majorHAnsi"/>
                <w:color w:val="000000"/>
                <w:kern w:val="0"/>
                <w:sz w:val="20"/>
                <w:szCs w:val="20"/>
                <w:shd w:fill="FFFFFF" w:val="clear"/>
                <w:lang w:val="pl-PL" w:eastAsia="pl-PL" w:bidi="ar-SA"/>
              </w:rPr>
              <w:t>•</w:t>
            </w:r>
            <w:r>
              <w:rPr>
                <w:rFonts w:eastAsia="Times New Roman" w:cs="Calibri" w:ascii="Calibri" w:hAnsi="Calibri" w:asciiTheme="majorHAnsi" w:cstheme="majorHAnsi" w:hAnsiTheme="majorHAnsi"/>
                <w:color w:val="000000"/>
                <w:kern w:val="0"/>
                <w:sz w:val="20"/>
                <w:szCs w:val="20"/>
                <w:shd w:fill="FFFFFF" w:val="clear"/>
                <w:lang w:val="pl-PL" w:eastAsia="pl-PL" w:bidi="ar-SA"/>
              </w:rPr>
              <w:tab/>
              <w:t>pomoc techniczna w sprawach nietypowych, modyfikacjach oprogramowania itp.</w:t>
            </w:r>
          </w:p>
          <w:p>
            <w:pPr>
              <w:pStyle w:val="Normal"/>
              <w:widowControl/>
              <w:suppressAutoHyphens w:val="false"/>
              <w:spacing w:before="0" w:after="0"/>
              <w:jc w:val="start"/>
              <w:rPr>
                <w:color w:val="000000"/>
              </w:rPr>
            </w:pPr>
            <w:r>
              <w:rPr>
                <w:rFonts w:eastAsia="Times New Roman" w:cs="Calibri" w:ascii="Calibri" w:hAnsi="Calibri" w:asciiTheme="majorHAnsi" w:cstheme="majorHAnsi" w:hAnsiTheme="majorHAnsi"/>
                <w:color w:val="000000"/>
                <w:kern w:val="0"/>
                <w:sz w:val="20"/>
                <w:szCs w:val="20"/>
                <w:shd w:fill="FFFFFF" w:val="clear"/>
                <w:lang w:val="pl-PL" w:eastAsia="pl-PL" w:bidi="ar-SA"/>
              </w:rPr>
              <w:t>•</w:t>
            </w:r>
            <w:r>
              <w:rPr>
                <w:rFonts w:eastAsia="Times New Roman" w:cs="Calibri" w:ascii="Calibri" w:hAnsi="Calibri" w:asciiTheme="majorHAnsi" w:cstheme="majorHAnsi" w:hAnsiTheme="majorHAnsi"/>
                <w:color w:val="000000"/>
                <w:kern w:val="0"/>
                <w:sz w:val="20"/>
                <w:szCs w:val="20"/>
                <w:shd w:fill="FFFFFF" w:val="clear"/>
                <w:lang w:val="pl-PL" w:eastAsia="pl-PL" w:bidi="ar-SA"/>
              </w:rPr>
              <w:tab/>
              <w:t>gwarancja „door-door” w całości pokrywana przez oficjalnego dystrybutora,</w:t>
            </w:r>
          </w:p>
          <w:p>
            <w:pPr>
              <w:pStyle w:val="Normal"/>
              <w:widowControl/>
              <w:suppressAutoHyphens w:val="false"/>
              <w:spacing w:before="0" w:after="0"/>
              <w:jc w:val="start"/>
              <w:rPr>
                <w:color w:val="000000"/>
              </w:rPr>
            </w:pPr>
            <w:r>
              <w:rPr>
                <w:rFonts w:eastAsia="Times New Roman" w:cs="Calibri" w:ascii="Calibri" w:hAnsi="Calibri" w:asciiTheme="majorHAnsi" w:cstheme="majorHAnsi" w:hAnsiTheme="majorHAnsi"/>
                <w:color w:val="000000"/>
                <w:kern w:val="0"/>
                <w:sz w:val="20"/>
                <w:szCs w:val="20"/>
                <w:shd w:fill="FFFFFF" w:val="clear"/>
                <w:lang w:val="pl-PL" w:eastAsia="pl-PL" w:bidi="ar-SA"/>
              </w:rPr>
              <w:t>•</w:t>
            </w:r>
            <w:r>
              <w:rPr>
                <w:rFonts w:eastAsia="Times New Roman" w:cs="Calibri" w:ascii="Calibri" w:hAnsi="Calibri" w:asciiTheme="majorHAnsi" w:cstheme="majorHAnsi" w:hAnsiTheme="majorHAnsi"/>
                <w:color w:val="000000"/>
                <w:kern w:val="0"/>
                <w:sz w:val="20"/>
                <w:szCs w:val="20"/>
                <w:shd w:fill="FFFFFF" w:val="clear"/>
                <w:lang w:val="pl-PL" w:eastAsia="pl-PL" w:bidi="ar-SA"/>
              </w:rPr>
              <w:tab/>
              <w:t>priorytetowy tryb rozpatrywania gwarancji i prowadzenia naprawy</w:t>
            </w:r>
          </w:p>
          <w:p>
            <w:pPr>
              <w:pStyle w:val="Normal"/>
              <w:widowControl/>
              <w:suppressAutoHyphens w:val="false"/>
              <w:spacing w:before="0" w:after="0"/>
              <w:jc w:val="start"/>
              <w:rPr>
                <w:rFonts w:ascii="Calibri" w:hAnsi="Calibri" w:cs="Calibri" w:asciiTheme="majorHAnsi" w:cstheme="majorHAnsi" w:hAnsiTheme="majorHAnsi"/>
                <w:color w:val="000000"/>
                <w:sz w:val="20"/>
                <w:szCs w:val="20"/>
                <w:shd w:fill="FFFFFF" w:val="clear"/>
              </w:rPr>
            </w:pPr>
            <w:r>
              <w:rPr>
                <w:rFonts w:cs="Calibri" w:cstheme="majorHAnsi" w:ascii="Calibri" w:hAnsi="Calibri"/>
                <w:color w:val="000000"/>
                <w:sz w:val="20"/>
                <w:szCs w:val="20"/>
                <w:shd w:fill="FFFFFF" w:val="clear"/>
              </w:rPr>
            </w:r>
          </w:p>
          <w:p>
            <w:pPr>
              <w:pStyle w:val="Normal"/>
              <w:widowControl/>
              <w:suppressAutoHyphens w:val="false"/>
              <w:spacing w:before="0" w:after="0"/>
              <w:jc w:val="start"/>
              <w:rPr>
                <w:color w:val="000000"/>
              </w:rPr>
            </w:pPr>
            <w:r>
              <w:rPr>
                <w:rFonts w:eastAsia="Times New Roman" w:cs="Calibri" w:ascii="Calibri" w:hAnsi="Calibri" w:asciiTheme="majorHAnsi" w:cstheme="majorHAnsi" w:hAnsiTheme="majorHAnsi"/>
                <w:color w:val="000000"/>
                <w:kern w:val="0"/>
                <w:sz w:val="20"/>
                <w:szCs w:val="20"/>
                <w:shd w:fill="FFFFFF" w:val="clear"/>
                <w:lang w:val="pl-PL" w:eastAsia="pl-PL" w:bidi="ar-SA"/>
              </w:rPr>
              <w:t xml:space="preserve">Wsparcie powinno być świadczone przez producenta bądź jego oficjalnego dystrybutora </w:t>
              <w:br/>
              <w:t xml:space="preserve">(przed podpisaniem umowy dostarczyć </w:t>
            </w:r>
            <w:r>
              <w:rPr>
                <w:rFonts w:eastAsia="Times New Roman" w:cs="Calibri" w:ascii="Calibri" w:hAnsi="Calibri" w:asciiTheme="majorHAnsi" w:cstheme="majorHAnsi" w:hAnsiTheme="majorHAnsi"/>
                <w:b/>
                <w:bCs/>
                <w:color w:val="000000"/>
                <w:kern w:val="0"/>
                <w:sz w:val="20"/>
                <w:szCs w:val="20"/>
                <w:shd w:fill="FFFFFF" w:val="clear"/>
                <w:lang w:val="pl-PL" w:eastAsia="pl-PL" w:bidi="ar-SA"/>
              </w:rPr>
              <w:t>oświadczenie producenta lub oficjalnego dystrybutora</w:t>
            </w:r>
            <w:r>
              <w:rPr>
                <w:rFonts w:eastAsia="Times New Roman" w:cs="Calibri" w:ascii="Calibri" w:hAnsi="Calibri" w:asciiTheme="majorHAnsi" w:cstheme="majorHAnsi" w:hAnsiTheme="majorHAnsi"/>
                <w:color w:val="000000"/>
                <w:kern w:val="0"/>
                <w:sz w:val="20"/>
                <w:szCs w:val="20"/>
                <w:shd w:fill="FFFFFF" w:val="clear"/>
                <w:lang w:val="pl-PL" w:eastAsia="pl-PL" w:bidi="ar-SA"/>
              </w:rPr>
              <w:t>).</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Wdrożenie</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u w:val="single"/>
              </w:rPr>
            </w:pPr>
            <w:r>
              <w:rPr>
                <w:rFonts w:eastAsia="Times New Roman" w:cs="Calibri" w:ascii="Calibri" w:hAnsi="Calibri" w:asciiTheme="majorHAnsi" w:cstheme="majorHAnsi" w:hAnsiTheme="majorHAnsi"/>
                <w:kern w:val="0"/>
                <w:sz w:val="20"/>
                <w:szCs w:val="20"/>
                <w:u w:val="single"/>
                <w:lang w:val="pl-PL" w:eastAsia="pl-PL" w:bidi="ar-SA"/>
              </w:rPr>
              <w:t>Wdrożenie + konfiguracja urządzenia w siedzibie zamawiającego.</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Waga</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8.4kg</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Pobór mocy</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61.94 W (dostęp) 29.98 W (hibernacja dysków twardych)</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System plików</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Dyski wewnętrzne Btrfs, EXT4. Dyski zewnętrzne Btfrs, FAT, NTFS, EXT4, EXT3, HFS+, exFAT</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Liczba wolumenów</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64</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Liczba iSCSI Targetów</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128</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Liczba iSCSI LUN</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Do 256</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Liczba kont użytkowników</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1500</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Liczba grup</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256</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Liczba folderów udostępnionych</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512</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Maks. liczba zadań synchr. folderów udostępnionych</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16</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Ilość jednoczesnych połączeń</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1000 dla SMB/AFP/FTP, 2000 z rozbudową pamięci RAM</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Zasilanie</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350W x2</w:t>
            </w:r>
          </w:p>
        </w:tc>
      </w:tr>
      <w:tr>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Calibri" w:ascii="Calibri" w:hAnsi="Calibri" w:asciiTheme="majorHAnsi" w:cstheme="majorHAnsi" w:hAnsiTheme="majorHAnsi"/>
                <w:b/>
                <w:bCs/>
                <w:kern w:val="0"/>
                <w:sz w:val="20"/>
                <w:szCs w:val="20"/>
                <w:lang w:val="pl-PL" w:eastAsia="pl-PL" w:bidi="ar-SA"/>
              </w:rPr>
              <w:t>Chłodzenie</w:t>
            </w:r>
          </w:p>
        </w:tc>
        <w:tc>
          <w:tcPr>
            <w:tcW w:w="8056" w:type="dxa"/>
            <w:tcBorders/>
          </w:tcPr>
          <w:p>
            <w:pPr>
              <w:pStyle w:val="Normal"/>
              <w:widowControl/>
              <w:suppressAutoHyphens w:val="false"/>
              <w:spacing w:before="0" w:after="0"/>
              <w:ind w:hanging="708" w:start="708"/>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2x FAN 80 mm x 80 mm</w:t>
            </w:r>
          </w:p>
        </w:tc>
      </w:tr>
      <w:tr>
        <w:trPr>
          <w:trHeight w:val="499" w:hRule="atLeast"/>
        </w:trPr>
        <w:tc>
          <w:tcPr>
            <w:tcW w:w="1572" w:type="dxa"/>
            <w:tcBorders/>
          </w:tcPr>
          <w:p>
            <w:pPr>
              <w:pStyle w:val="Normal"/>
              <w:widowControl/>
              <w:suppressAutoHyphens w:val="false"/>
              <w:spacing w:before="0" w:after="0"/>
              <w:jc w:val="start"/>
              <w:rPr>
                <w:rFonts w:ascii="Calibri" w:hAnsi="Calibri" w:cs="Calibri" w:asciiTheme="majorHAnsi" w:cstheme="majorHAnsi" w:hAnsiTheme="majorHAnsi"/>
                <w:b/>
                <w:bCs/>
                <w:color w:val="000000"/>
                <w:sz w:val="20"/>
                <w:szCs w:val="20"/>
              </w:rPr>
            </w:pPr>
            <w:r>
              <w:rPr>
                <w:rFonts w:eastAsia="Times New Roman" w:cs="Calibri" w:ascii="Calibri" w:hAnsi="Calibri" w:asciiTheme="majorHAnsi" w:cstheme="majorHAnsi" w:hAnsiTheme="majorHAnsi"/>
                <w:b/>
                <w:bCs/>
                <w:color w:val="000000"/>
                <w:kern w:val="0"/>
                <w:sz w:val="20"/>
                <w:szCs w:val="20"/>
                <w:lang w:val="pl-PL" w:eastAsia="pl-PL" w:bidi="ar-SA"/>
              </w:rPr>
              <w:t>Dyski</w:t>
            </w:r>
          </w:p>
        </w:tc>
        <w:tc>
          <w:tcPr>
            <w:tcW w:w="8056" w:type="dxa"/>
            <w:tcBorders/>
          </w:tcPr>
          <w:p>
            <w:pPr>
              <w:pStyle w:val="Normal"/>
              <w:widowControl/>
              <w:suppressAutoHyphens w:val="false"/>
              <w:spacing w:before="0" w:after="0"/>
              <w:jc w:val="start"/>
              <w:rPr>
                <w:rFonts w:ascii="Calibri" w:hAnsi="Calibri" w:cs="Calibri" w:asciiTheme="majorHAnsi" w:cstheme="majorHAnsi" w:hAnsiTheme="majorHAnsi"/>
                <w:color w:val="000000"/>
                <w:sz w:val="20"/>
                <w:szCs w:val="20"/>
              </w:rPr>
            </w:pPr>
            <w:r>
              <w:rPr>
                <w:rFonts w:eastAsia="Times New Roman" w:cs="Calibri" w:ascii="Calibri" w:hAnsi="Calibri" w:asciiTheme="majorHAnsi" w:cstheme="majorHAnsi" w:hAnsiTheme="majorHAnsi"/>
                <w:color w:val="000000"/>
                <w:kern w:val="0"/>
                <w:sz w:val="20"/>
                <w:szCs w:val="20"/>
                <w:lang w:val="pl-PL" w:eastAsia="pl-PL" w:bidi="ar-SA"/>
              </w:rPr>
              <w:t>8 dysków 3,5-cala HDD, min. 4TB SATA, 5400RMP, 256MB cache,  min. 1 mln MTBF, przeznaczony do pracy 24/7, dysk tego samego producenta co urządzenia NAS, 36 miesięcy gwarancji producenta</w:t>
            </w:r>
          </w:p>
        </w:tc>
      </w:tr>
    </w:tbl>
    <w:p>
      <w:pPr>
        <w:pStyle w:val="normal1"/>
        <w:spacing w:lineRule="auto" w:line="360"/>
        <w:ind w:start="426"/>
        <w:rPr>
          <w:rFonts w:ascii="Calibri" w:hAnsi="Calibri" w:eastAsia="Arial" w:cs="Calibri" w:asciiTheme="majorHAnsi" w:cstheme="majorHAnsi" w:hAnsiTheme="majorHAnsi"/>
          <w:color w:themeColor="accent1" w:val="4F81BD"/>
          <w:sz w:val="28"/>
          <w:szCs w:val="28"/>
        </w:rPr>
      </w:pPr>
      <w:r>
        <w:rPr>
          <w:rFonts w:eastAsia="Arial" w:cs="Calibri" w:cstheme="majorHAnsi" w:ascii="Calibri" w:hAnsi="Calibri"/>
          <w:color w:themeColor="accent1" w:val="4F81BD"/>
          <w:sz w:val="28"/>
          <w:szCs w:val="28"/>
        </w:rPr>
      </w:r>
    </w:p>
    <w:p>
      <w:pPr>
        <w:pStyle w:val="normal1"/>
        <w:numPr>
          <w:ilvl w:val="0"/>
          <w:numId w:val="51"/>
        </w:numPr>
        <w:spacing w:lineRule="auto" w:line="360"/>
        <w:ind w:hanging="142" w:start="426"/>
        <w:rPr>
          <w:rFonts w:ascii="Calibri" w:hAnsi="Calibri" w:eastAsia="Arial" w:cs="Calibri" w:asciiTheme="majorHAnsi" w:cstheme="majorHAnsi" w:hAnsiTheme="majorHAnsi"/>
          <w:color w:themeColor="accent1" w:val="4F81BD"/>
          <w:sz w:val="28"/>
          <w:szCs w:val="28"/>
        </w:rPr>
      </w:pPr>
      <w:r>
        <w:rPr>
          <w:rFonts w:eastAsia="Arial" w:cs="Calibri" w:ascii="Calibri" w:hAnsi="Calibri" w:asciiTheme="majorHAnsi" w:cstheme="majorHAnsi" w:hAnsiTheme="majorHAnsi"/>
          <w:color w:themeColor="accent1" w:val="4F81BD"/>
          <w:sz w:val="28"/>
          <w:szCs w:val="28"/>
        </w:rPr>
        <w:t>Zasilacze awaryjne – UPS-y</w:t>
      </w:r>
    </w:p>
    <w:p>
      <w:pPr>
        <w:pStyle w:val="Normal"/>
        <w:suppressAutoHyphens w:val="false"/>
        <w:spacing w:lineRule="auto" w:line="276" w:before="0" w:after="200"/>
        <w:jc w:val="both"/>
        <w:rPr>
          <w:color w:val="FF4000"/>
        </w:rPr>
      </w:pPr>
      <w:r>
        <w:rPr>
          <w:rFonts w:cs="Calibri" w:ascii="Calibri" w:hAnsi="Calibri"/>
          <w:color w:val="FF4000"/>
          <w:sz w:val="22"/>
          <w:szCs w:val="22"/>
        </w:rPr>
        <w:t xml:space="preserve">Oferowane urządzenie do bezprzerwowego zasilania urządzeń komputerowych ma być fabrycznie nowe i nie używane we wcześniejszych projektach. Całość sprzętu musi pochodzić z autoryzowanych kanałów dystrybucji producentów na rynek polski. Całość sprzętu musi być objęta gwarancją opartą o świadczenia gwarancyjne producenta sprzętu, niezależnie od statusu partnerskiego Wykonawcy. Producent oferowanego urządzenia powinien spełniać wymagania międzynarodowego standardu jakości ISO 9001, co powinno być potwierdzone ważnym certyfikatem dostarczonym przed podpisaniem umowy. </w:t>
      </w:r>
    </w:p>
    <w:p>
      <w:pPr>
        <w:pStyle w:val="ListParagraph"/>
        <w:numPr>
          <w:ilvl w:val="0"/>
          <w:numId w:val="59"/>
        </w:numPr>
        <w:suppressAutoHyphens w:val="false"/>
        <w:spacing w:lineRule="auto" w:line="276" w:before="0" w:after="200"/>
        <w:ind w:hanging="294" w:start="720"/>
        <w:contextualSpacing/>
        <w:jc w:val="both"/>
        <w:rPr>
          <w:rFonts w:ascii="Calibri" w:hAnsi="Calibri" w:cs="Calibri"/>
          <w:sz w:val="22"/>
          <w:szCs w:val="22"/>
        </w:rPr>
      </w:pPr>
      <w:bookmarkStart w:id="1" w:name="_GoBack"/>
      <w:bookmarkEnd w:id="1"/>
      <w:r>
        <w:rPr>
          <w:rFonts w:cs="Calibri" w:ascii="Calibri" w:hAnsi="Calibri"/>
          <w:sz w:val="22"/>
          <w:szCs w:val="22"/>
        </w:rPr>
        <w:t>Zasilacz awaryjny typu RACK - 1szt.</w:t>
      </w:r>
    </w:p>
    <w:tbl>
      <w:tblPr>
        <w:tblStyle w:val="Tabela-Siatka1"/>
        <w:tblpPr w:vertAnchor="text" w:horzAnchor="page" w:leftFromText="141" w:rightFromText="141" w:tblpX="1162" w:tblpY="71"/>
        <w:tblW w:w="9634" w:type="dxa"/>
        <w:jc w:val="start"/>
        <w:tblInd w:w="-5" w:type="dxa"/>
        <w:tblLayout w:type="fixed"/>
        <w:tblCellMar>
          <w:top w:w="0" w:type="dxa"/>
          <w:start w:w="108" w:type="dxa"/>
          <w:bottom w:w="0" w:type="dxa"/>
          <w:end w:w="108" w:type="dxa"/>
        </w:tblCellMar>
        <w:tblLook w:val="04a0" w:firstRow="1" w:noVBand="1" w:lastRow="0" w:firstColumn="1" w:lastColumn="0" w:noHBand="0"/>
      </w:tblPr>
      <w:tblGrid>
        <w:gridCol w:w="6238"/>
        <w:gridCol w:w="399"/>
        <w:gridCol w:w="2997"/>
      </w:tblGrid>
      <w:tr>
        <w:trPr>
          <w:trHeight w:val="442" w:hRule="atLeast"/>
        </w:trPr>
        <w:tc>
          <w:tcPr>
            <w:tcW w:w="6637" w:type="dxa"/>
            <w:gridSpan w:val="2"/>
            <w:tcBorders/>
            <w:shd w:color="auto" w:fill="000000" w:themeFill="text1" w:val="clear"/>
          </w:tcPr>
          <w:p>
            <w:pPr>
              <w:pStyle w:val="Normal"/>
              <w:widowControl/>
              <w:suppressAutoHyphens w:val="false"/>
              <w:spacing w:lineRule="auto" w:line="259" w:before="0" w:after="160"/>
              <w:jc w:val="center"/>
              <w:rPr>
                <w:rFonts w:eastAsia="Calibri"/>
                <w:b/>
                <w:sz w:val="20"/>
                <w:szCs w:val="20"/>
                <w:lang w:eastAsia="en-US"/>
              </w:rPr>
            </w:pPr>
            <w:r>
              <w:rPr>
                <w:rFonts w:eastAsia="Calibri" w:cs="Times New Roman" w:ascii="Calibri" w:hAnsi="Calibri"/>
                <w:b/>
                <w:kern w:val="0"/>
                <w:sz w:val="20"/>
                <w:szCs w:val="20"/>
                <w:lang w:val="pl-PL" w:eastAsia="en-US" w:bidi="ar-SA"/>
              </w:rPr>
              <w:t>Parametr</w:t>
            </w:r>
          </w:p>
        </w:tc>
        <w:tc>
          <w:tcPr>
            <w:tcW w:w="2997" w:type="dxa"/>
            <w:tcBorders/>
            <w:shd w:color="auto" w:fill="000000" w:themeFill="text1" w:val="clear"/>
          </w:tcPr>
          <w:p>
            <w:pPr>
              <w:pStyle w:val="Normal"/>
              <w:widowControl/>
              <w:suppressAutoHyphens w:val="false"/>
              <w:spacing w:before="0" w:after="0"/>
              <w:jc w:val="center"/>
              <w:rPr>
                <w:rFonts w:ascii="Calibri" w:hAnsi="Calibri" w:cs="Calibri" w:asciiTheme="majorHAnsi" w:cstheme="majorHAnsi" w:hAnsiTheme="majorHAnsi"/>
                <w:b/>
                <w:bCs/>
                <w:sz w:val="20"/>
                <w:szCs w:val="20"/>
                <w:lang w:val="en-US"/>
              </w:rPr>
            </w:pPr>
            <w:r>
              <w:rPr>
                <w:rFonts w:eastAsia="Times New Roman" w:cs="Calibri" w:ascii="Calibri" w:hAnsi="Calibri" w:asciiTheme="majorHAnsi" w:cstheme="majorHAnsi" w:hAnsiTheme="majorHAnsi"/>
                <w:b/>
                <w:bCs/>
                <w:kern w:val="0"/>
                <w:sz w:val="20"/>
                <w:szCs w:val="20"/>
                <w:lang w:val="en-US" w:eastAsia="pl-PL" w:bidi="ar-SA"/>
              </w:rPr>
              <w:t>Charakterystyka (wymagania minimalne)</w:t>
            </w:r>
          </w:p>
        </w:tc>
      </w:tr>
      <w:tr>
        <w:trPr>
          <w:trHeight w:val="267" w:hRule="atLeast"/>
        </w:trPr>
        <w:tc>
          <w:tcPr>
            <w:tcW w:w="6238" w:type="dxa"/>
            <w:tcBorders/>
          </w:tcPr>
          <w:p>
            <w:pPr>
              <w:pStyle w:val="Normal"/>
              <w:widowControl/>
              <w:suppressAutoHyphens w:val="false"/>
              <w:spacing w:before="0" w:after="0"/>
              <w:jc w:val="start"/>
              <w:rPr>
                <w:rFonts w:ascii="Calibri" w:hAnsi="Calibri" w:eastAsia="Times New Roman" w:cs="Times New Roman"/>
                <w:kern w:val="0"/>
                <w:sz w:val="22"/>
                <w:szCs w:val="22"/>
                <w:lang w:val="pl-PL" w:eastAsia="pl-PL" w:bidi="ar-SA"/>
              </w:rPr>
            </w:pPr>
            <w:r>
              <w:rPr>
                <w:rFonts w:eastAsia="Times New Roman" w:cs="Times New Roman" w:ascii="Calibri" w:hAnsi="Calibri"/>
                <w:kern w:val="0"/>
                <w:sz w:val="22"/>
                <w:szCs w:val="22"/>
                <w:lang w:val="pl-PL" w:eastAsia="pl-PL" w:bidi="ar-SA"/>
              </w:rPr>
              <w:t>Topologia</w:t>
            </w:r>
          </w:p>
        </w:tc>
        <w:tc>
          <w:tcPr>
            <w:tcW w:w="3396" w:type="dxa"/>
            <w:gridSpan w:val="2"/>
            <w:tcBorders/>
          </w:tcPr>
          <w:p>
            <w:pPr>
              <w:pStyle w:val="Normal"/>
              <w:widowControl/>
              <w:suppressAutoHyphens w:val="false"/>
              <w:spacing w:before="0" w:after="0"/>
              <w:jc w:val="start"/>
              <w:rPr>
                <w:rFonts w:ascii="Calibri" w:hAnsi="Calibri" w:eastAsia="Times New Roman" w:cs="Times New Roman"/>
                <w:kern w:val="0"/>
                <w:sz w:val="22"/>
                <w:szCs w:val="22"/>
                <w:lang w:val="pl-PL" w:eastAsia="pl-PL" w:bidi="ar-SA"/>
              </w:rPr>
            </w:pPr>
            <w:r>
              <w:rPr>
                <w:rFonts w:eastAsia="Times New Roman" w:cs="Times New Roman" w:ascii="Calibri" w:hAnsi="Calibri"/>
                <w:kern w:val="0"/>
                <w:sz w:val="22"/>
                <w:szCs w:val="22"/>
                <w:lang w:val="pl-PL" w:eastAsia="pl-PL" w:bidi="ar-SA"/>
              </w:rPr>
              <w:t>Online</w:t>
            </w:r>
          </w:p>
        </w:tc>
      </w:tr>
      <w:tr>
        <w:trPr>
          <w:trHeight w:val="267" w:hRule="atLeast"/>
        </w:trPr>
        <w:tc>
          <w:tcPr>
            <w:tcW w:w="6238"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Times New Roman" w:ascii="Calibri" w:hAnsi="Calibri"/>
                <w:kern w:val="0"/>
                <w:sz w:val="22"/>
                <w:szCs w:val="22"/>
                <w:lang w:val="pl-PL" w:eastAsia="pl-PL" w:bidi="ar-SA"/>
              </w:rPr>
              <w:t>Moc pozorna</w:t>
            </w:r>
          </w:p>
        </w:tc>
        <w:tc>
          <w:tcPr>
            <w:tcW w:w="3396" w:type="dxa"/>
            <w:gridSpan w:val="2"/>
            <w:tcBorders/>
          </w:tcPr>
          <w:p>
            <w:pPr>
              <w:pStyle w:val="Normal"/>
              <w:widowControl/>
              <w:suppressAutoHyphens w:val="false"/>
              <w:spacing w:before="0" w:after="0"/>
              <w:jc w:val="start"/>
              <w:rPr>
                <w:rFonts w:ascii="Calibri" w:hAnsi="Calibri" w:cs="Calibri" w:asciiTheme="majorHAnsi" w:cstheme="majorHAnsi" w:hAnsiTheme="majorHAnsi"/>
                <w:sz w:val="20"/>
                <w:szCs w:val="20"/>
                <w:lang w:val="en-US"/>
              </w:rPr>
            </w:pPr>
            <w:r>
              <w:rPr>
                <w:rFonts w:eastAsia="Times New Roman" w:cs="Times New Roman" w:ascii="Calibri" w:hAnsi="Calibri"/>
                <w:kern w:val="0"/>
                <w:sz w:val="22"/>
                <w:szCs w:val="22"/>
                <w:lang w:val="pl-PL" w:eastAsia="pl-PL" w:bidi="ar-SA"/>
              </w:rPr>
              <w:t>3000VA</w:t>
            </w:r>
          </w:p>
        </w:tc>
      </w:tr>
      <w:tr>
        <w:trPr>
          <w:trHeight w:val="284" w:hRule="atLeast"/>
        </w:trPr>
        <w:tc>
          <w:tcPr>
            <w:tcW w:w="6238"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Times New Roman" w:ascii="Calibri" w:hAnsi="Calibri"/>
                <w:kern w:val="0"/>
                <w:sz w:val="22"/>
                <w:szCs w:val="22"/>
                <w:lang w:val="pl-PL" w:eastAsia="pl-PL" w:bidi="ar-SA"/>
              </w:rPr>
              <w:t>Moc czynna</w:t>
            </w:r>
          </w:p>
        </w:tc>
        <w:tc>
          <w:tcPr>
            <w:tcW w:w="3396" w:type="dxa"/>
            <w:gridSpan w:val="2"/>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Times New Roman" w:ascii="Calibri" w:hAnsi="Calibri"/>
                <w:kern w:val="0"/>
                <w:sz w:val="22"/>
                <w:szCs w:val="22"/>
                <w:lang w:val="pl-PL" w:eastAsia="pl-PL" w:bidi="ar-SA"/>
              </w:rPr>
              <w:t>2400W</w:t>
            </w:r>
          </w:p>
        </w:tc>
      </w:tr>
      <w:tr>
        <w:trPr>
          <w:trHeight w:val="284" w:hRule="atLeast"/>
        </w:trPr>
        <w:tc>
          <w:tcPr>
            <w:tcW w:w="6238" w:type="dxa"/>
            <w:tcBorders/>
          </w:tcPr>
          <w:p>
            <w:pPr>
              <w:pStyle w:val="Normal"/>
              <w:widowControl/>
              <w:suppressAutoHyphens w:val="false"/>
              <w:spacing w:before="0" w:after="0"/>
              <w:jc w:val="start"/>
              <w:rPr>
                <w:rFonts w:ascii="Calibri" w:hAnsi="Calibri" w:eastAsia="Times New Roman" w:cs="Times New Roman"/>
                <w:kern w:val="0"/>
                <w:sz w:val="22"/>
                <w:szCs w:val="22"/>
                <w:lang w:val="pl-PL" w:eastAsia="pl-PL" w:bidi="ar-SA"/>
              </w:rPr>
            </w:pPr>
            <w:r>
              <w:rPr>
                <w:rFonts w:eastAsia="Times New Roman" w:cs="Times New Roman" w:ascii="Calibri" w:hAnsi="Calibri"/>
                <w:kern w:val="0"/>
                <w:sz w:val="22"/>
                <w:szCs w:val="22"/>
                <w:lang w:val="pl-PL" w:eastAsia="pl-PL" w:bidi="ar-SA"/>
              </w:rPr>
              <w:t>Napięcie wejściowe</w:t>
            </w:r>
          </w:p>
        </w:tc>
        <w:tc>
          <w:tcPr>
            <w:tcW w:w="3396" w:type="dxa"/>
            <w:gridSpan w:val="2"/>
            <w:tcBorders/>
          </w:tcPr>
          <w:p>
            <w:pPr>
              <w:pStyle w:val="Normal"/>
              <w:widowControl/>
              <w:suppressAutoHyphens w:val="false"/>
              <w:spacing w:before="0" w:after="0"/>
              <w:jc w:val="start"/>
              <w:rPr>
                <w:rFonts w:ascii="Calibri" w:hAnsi="Calibri" w:cs="Calibri" w:asciiTheme="majorHAnsi" w:cstheme="majorHAnsi" w:hAnsiTheme="majorHAnsi"/>
                <w:sz w:val="20"/>
                <w:szCs w:val="20"/>
                <w:lang w:val="de-DE"/>
              </w:rPr>
            </w:pPr>
            <w:r>
              <w:rPr>
                <w:rFonts w:eastAsia="Times New Roman" w:cs="Calibri" w:ascii="Calibri" w:hAnsi="Calibri" w:asciiTheme="majorHAnsi" w:cstheme="majorHAnsi" w:hAnsiTheme="majorHAnsi"/>
                <w:kern w:val="0"/>
                <w:sz w:val="20"/>
                <w:szCs w:val="20"/>
                <w:lang w:val="de-DE" w:eastAsia="pl-PL" w:bidi="ar-SA"/>
              </w:rPr>
              <w:t>220-240 V</w:t>
            </w:r>
          </w:p>
        </w:tc>
      </w:tr>
      <w:tr>
        <w:trPr>
          <w:trHeight w:val="284" w:hRule="atLeast"/>
        </w:trPr>
        <w:tc>
          <w:tcPr>
            <w:tcW w:w="6238"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Times New Roman" w:ascii="Calibri" w:hAnsi="Calibri"/>
                <w:kern w:val="0"/>
                <w:sz w:val="22"/>
                <w:szCs w:val="22"/>
                <w:lang w:val="pl-PL" w:eastAsia="pl-PL" w:bidi="ar-SA"/>
              </w:rPr>
              <w:t>Czas podtrzymania dla obciążenia 50%</w:t>
            </w:r>
          </w:p>
        </w:tc>
        <w:tc>
          <w:tcPr>
            <w:tcW w:w="3396" w:type="dxa"/>
            <w:gridSpan w:val="2"/>
            <w:tcBorders/>
          </w:tcPr>
          <w:p>
            <w:pPr>
              <w:pStyle w:val="Normal"/>
              <w:widowControl/>
              <w:suppressAutoHyphens w:val="false"/>
              <w:spacing w:before="0" w:after="0"/>
              <w:jc w:val="start"/>
              <w:rPr>
                <w:rFonts w:ascii="Calibri" w:hAnsi="Calibri" w:cs="Calibri" w:asciiTheme="majorHAnsi" w:cstheme="majorHAnsi" w:hAnsiTheme="majorHAnsi"/>
                <w:color w:val="FF0000"/>
                <w:sz w:val="20"/>
                <w:szCs w:val="20"/>
                <w:lang w:val="de-DE"/>
              </w:rPr>
            </w:pPr>
            <w:r>
              <w:rPr>
                <w:rFonts w:eastAsia="Times New Roman" w:cs="Calibri" w:ascii="Calibri" w:hAnsi="Calibri" w:asciiTheme="majorHAnsi" w:cstheme="majorHAnsi" w:hAnsiTheme="majorHAnsi"/>
                <w:kern w:val="0"/>
                <w:sz w:val="20"/>
                <w:szCs w:val="20"/>
                <w:lang w:val="de-DE" w:eastAsia="pl-PL" w:bidi="ar-SA"/>
              </w:rPr>
              <w:t>10 min</w:t>
            </w:r>
          </w:p>
        </w:tc>
      </w:tr>
      <w:tr>
        <w:trPr>
          <w:trHeight w:val="267" w:hRule="atLeast"/>
        </w:trPr>
        <w:tc>
          <w:tcPr>
            <w:tcW w:w="6238" w:type="dxa"/>
            <w:tcBorders/>
          </w:tcPr>
          <w:p>
            <w:pPr>
              <w:pStyle w:val="Normal"/>
              <w:widowControl/>
              <w:suppressAutoHyphens w:val="false"/>
              <w:spacing w:before="0" w:after="0"/>
              <w:jc w:val="start"/>
              <w:rPr>
                <w:rFonts w:ascii="Calibri" w:hAnsi="Calibri" w:eastAsia="Times New Roman" w:cs="Times New Roman"/>
                <w:kern w:val="0"/>
                <w:sz w:val="22"/>
                <w:szCs w:val="22"/>
                <w:lang w:val="pl-PL" w:eastAsia="pl-PL" w:bidi="ar-SA"/>
              </w:rPr>
            </w:pPr>
            <w:r>
              <w:rPr>
                <w:rFonts w:eastAsia="Times New Roman" w:cs="Times New Roman" w:ascii="Calibri" w:hAnsi="Calibri"/>
                <w:kern w:val="0"/>
                <w:sz w:val="22"/>
                <w:szCs w:val="22"/>
                <w:lang w:val="pl-PL" w:eastAsia="pl-PL" w:bidi="ar-SA"/>
              </w:rPr>
              <w:t>Czas podtrzymania dla obciążenia 100%</w:t>
            </w:r>
          </w:p>
        </w:tc>
        <w:tc>
          <w:tcPr>
            <w:tcW w:w="3396" w:type="dxa"/>
            <w:gridSpan w:val="2"/>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4 min</w:t>
            </w:r>
          </w:p>
        </w:tc>
      </w:tr>
      <w:tr>
        <w:trPr>
          <w:trHeight w:val="267" w:hRule="atLeast"/>
        </w:trPr>
        <w:tc>
          <w:tcPr>
            <w:tcW w:w="6238"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Times New Roman" w:ascii="Calibri" w:hAnsi="Calibri"/>
                <w:kern w:val="0"/>
                <w:sz w:val="22"/>
                <w:szCs w:val="22"/>
                <w:lang w:val="pl-PL" w:eastAsia="pl-PL" w:bidi="ar-SA"/>
              </w:rPr>
              <w:t>Bateria</w:t>
            </w:r>
          </w:p>
        </w:tc>
        <w:tc>
          <w:tcPr>
            <w:tcW w:w="3396" w:type="dxa"/>
            <w:gridSpan w:val="2"/>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wymienna</w:t>
            </w:r>
          </w:p>
        </w:tc>
      </w:tr>
      <w:tr>
        <w:trPr>
          <w:trHeight w:val="326" w:hRule="atLeast"/>
        </w:trPr>
        <w:tc>
          <w:tcPr>
            <w:tcW w:w="6238"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Times New Roman" w:ascii="Calibri" w:hAnsi="Calibri"/>
                <w:kern w:val="0"/>
                <w:sz w:val="22"/>
                <w:szCs w:val="22"/>
                <w:lang w:val="pl-PL" w:eastAsia="pl-PL" w:bidi="ar-SA"/>
              </w:rPr>
              <w:t>Wyjścia</w:t>
            </w:r>
          </w:p>
        </w:tc>
        <w:tc>
          <w:tcPr>
            <w:tcW w:w="3396" w:type="dxa"/>
            <w:gridSpan w:val="2"/>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Schuko/ IEC  – min. 6 szt</w:t>
            </w:r>
          </w:p>
        </w:tc>
      </w:tr>
      <w:tr>
        <w:trPr>
          <w:trHeight w:val="284" w:hRule="atLeast"/>
        </w:trPr>
        <w:tc>
          <w:tcPr>
            <w:tcW w:w="6238"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Times New Roman" w:ascii="Calibri" w:hAnsi="Calibri"/>
                <w:kern w:val="0"/>
                <w:sz w:val="22"/>
                <w:szCs w:val="22"/>
                <w:lang w:val="pl-PL" w:eastAsia="pl-PL" w:bidi="ar-SA"/>
              </w:rPr>
              <w:t>Obudowa</w:t>
            </w:r>
          </w:p>
        </w:tc>
        <w:tc>
          <w:tcPr>
            <w:tcW w:w="3396" w:type="dxa"/>
            <w:gridSpan w:val="2"/>
            <w:tcBorders/>
          </w:tcPr>
          <w:p>
            <w:pPr>
              <w:pStyle w:val="Normal"/>
              <w:widowControl/>
              <w:suppressAutoHyphens w:val="false"/>
              <w:spacing w:before="0" w:after="0"/>
              <w:jc w:val="start"/>
              <w:rPr>
                <w:rFonts w:ascii="Calibri" w:hAnsi="Calibri" w:cs="Calibri" w:asciiTheme="majorHAnsi" w:cstheme="majorHAnsi" w:hAnsiTheme="majorHAnsi"/>
                <w:sz w:val="20"/>
                <w:szCs w:val="20"/>
              </w:rPr>
            </w:pPr>
            <w:r>
              <w:rPr>
                <w:rFonts w:eastAsia="Times New Roman" w:cs="Calibri" w:ascii="Calibri" w:hAnsi="Calibri" w:asciiTheme="majorHAnsi" w:cstheme="majorHAnsi" w:hAnsiTheme="majorHAnsi"/>
                <w:kern w:val="0"/>
                <w:sz w:val="20"/>
                <w:szCs w:val="20"/>
                <w:lang w:val="pl-PL" w:eastAsia="pl-PL" w:bidi="ar-SA"/>
              </w:rPr>
              <w:t>RACK</w:t>
            </w:r>
          </w:p>
        </w:tc>
      </w:tr>
      <w:tr>
        <w:trPr>
          <w:trHeight w:val="267" w:hRule="atLeast"/>
        </w:trPr>
        <w:tc>
          <w:tcPr>
            <w:tcW w:w="6238" w:type="dxa"/>
            <w:tcBorders/>
          </w:tcPr>
          <w:p>
            <w:pPr>
              <w:pStyle w:val="Normal"/>
              <w:widowControl/>
              <w:suppressAutoHyphens w:val="false"/>
              <w:spacing w:before="0" w:after="0"/>
              <w:jc w:val="start"/>
              <w:rPr>
                <w:rFonts w:ascii="Calibri" w:hAnsi="Calibri" w:cs="Calibri" w:asciiTheme="majorHAnsi" w:cstheme="majorHAnsi" w:hAnsiTheme="majorHAnsi"/>
                <w:b/>
                <w:bCs/>
                <w:sz w:val="20"/>
                <w:szCs w:val="20"/>
              </w:rPr>
            </w:pPr>
            <w:r>
              <w:rPr>
                <w:rFonts w:eastAsia="Times New Roman" w:cs="Times New Roman" w:ascii="Calibri" w:hAnsi="Calibri"/>
                <w:kern w:val="0"/>
                <w:sz w:val="22"/>
                <w:szCs w:val="22"/>
                <w:lang w:val="pl-PL" w:eastAsia="pl-PL" w:bidi="ar-SA"/>
              </w:rPr>
              <w:t>Średni czas ładowania</w:t>
            </w:r>
          </w:p>
        </w:tc>
        <w:tc>
          <w:tcPr>
            <w:tcW w:w="3396" w:type="dxa"/>
            <w:gridSpan w:val="2"/>
            <w:tcBorders/>
          </w:tcPr>
          <w:p>
            <w:pPr>
              <w:pStyle w:val="Normal"/>
              <w:widowControl/>
              <w:suppressAutoHyphens w:val="false"/>
              <w:spacing w:before="0" w:after="0"/>
              <w:jc w:val="start"/>
              <w:rPr>
                <w:rFonts w:ascii="Calibri" w:hAnsi="Calibri" w:cs="Calibri" w:asciiTheme="majorHAnsi" w:cstheme="majorHAnsi" w:hAnsiTheme="majorHAnsi"/>
                <w:sz w:val="20"/>
                <w:szCs w:val="20"/>
                <w:lang w:val="de-DE"/>
              </w:rPr>
            </w:pPr>
            <w:r>
              <w:rPr>
                <w:rFonts w:eastAsia="Times New Roman" w:cs="Calibri" w:ascii="Calibri" w:hAnsi="Calibri" w:asciiTheme="majorHAnsi" w:cstheme="majorHAnsi" w:hAnsiTheme="majorHAnsi"/>
                <w:kern w:val="0"/>
                <w:sz w:val="20"/>
                <w:szCs w:val="20"/>
                <w:lang w:val="de-DE" w:eastAsia="pl-PL" w:bidi="ar-SA"/>
              </w:rPr>
              <w:t>8 h</w:t>
            </w:r>
          </w:p>
        </w:tc>
      </w:tr>
    </w:tbl>
    <w:p>
      <w:pPr>
        <w:pStyle w:val="Normal"/>
        <w:suppressAutoHyphens w:val="false"/>
        <w:spacing w:lineRule="auto" w:line="276" w:before="0" w:after="200"/>
        <w:rPr>
          <w:rFonts w:ascii="Calibri" w:hAnsi="Calibri" w:eastAsia="Times New Roman" w:cs="Calibri" w:asciiTheme="majorHAnsi" w:cstheme="majorHAnsi" w:hAnsiTheme="majorHAnsi"/>
          <w:sz w:val="22"/>
          <w:szCs w:val="22"/>
          <w:lang w:eastAsia="pl-PL" w:bidi="ar-SA"/>
        </w:rPr>
      </w:pPr>
      <w:r>
        <w:rPr>
          <w:rFonts w:eastAsia="Times New Roman" w:cs="Calibri" w:cstheme="majorHAnsi" w:ascii="Calibri" w:hAnsi="Calibri"/>
          <w:sz w:val="22"/>
          <w:szCs w:val="22"/>
          <w:lang w:eastAsia="pl-PL" w:bidi="ar-SA"/>
        </w:rPr>
      </w:r>
    </w:p>
    <w:p>
      <w:pPr>
        <w:pStyle w:val="normal1"/>
        <w:numPr>
          <w:ilvl w:val="0"/>
          <w:numId w:val="51"/>
        </w:numPr>
        <w:spacing w:lineRule="auto" w:line="360"/>
        <w:ind w:hanging="360" w:start="567"/>
        <w:rPr>
          <w:rFonts w:ascii="Calibri" w:hAnsi="Calibri" w:eastAsia="Arial" w:cs="Calibri" w:asciiTheme="majorHAnsi" w:cstheme="majorHAnsi" w:hAnsiTheme="majorHAnsi"/>
          <w:color w:themeColor="accent1" w:val="4F81BD"/>
          <w:sz w:val="28"/>
          <w:szCs w:val="28"/>
        </w:rPr>
      </w:pPr>
      <w:r>
        <w:rPr>
          <w:rFonts w:eastAsia="Arial" w:cs="Calibri" w:ascii="Calibri" w:hAnsi="Calibri" w:asciiTheme="majorHAnsi" w:cstheme="majorHAnsi" w:hAnsiTheme="majorHAnsi"/>
          <w:color w:themeColor="accent1" w:val="4F81BD"/>
          <w:sz w:val="28"/>
          <w:szCs w:val="28"/>
        </w:rPr>
        <w:t xml:space="preserve">Oprogramowanie antywirusowe – 20 licencji dla stacji roboczych </w:t>
        <w:br/>
        <w:t>i 3 licencje dla serwerów z subskrypcją do 24 miesięcy od dnia podpisania protokołu odbioru.</w:t>
      </w:r>
    </w:p>
    <w:p>
      <w:pPr>
        <w:pStyle w:val="Normal"/>
        <w:suppressAutoHyphens w:val="false"/>
        <w:spacing w:lineRule="auto" w:line="276" w:before="0" w:after="200"/>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W ramach postępowania Wykonawca jest zobowiązany dostarczyć Oprogramowanie wraz z licencją. </w:t>
        <w:br/>
        <w:t xml:space="preserve">Wykonawca musi dostarczyć </w:t>
      </w:r>
      <w:r>
        <w:rPr>
          <w:rFonts w:eastAsia="Times New Roman" w:cs="Times New Roman" w:ascii="Calibri" w:hAnsi="Calibri"/>
          <w:b/>
          <w:bCs/>
          <w:sz w:val="22"/>
          <w:szCs w:val="22"/>
          <w:lang w:eastAsia="pl-PL" w:bidi="ar-SA"/>
        </w:rPr>
        <w:t xml:space="preserve">licencję z subskrypcją </w:t>
      </w:r>
      <w:r>
        <w:rPr>
          <w:rFonts w:eastAsia="Arial" w:cs="Calibri" w:ascii="Calibri" w:hAnsi="Calibri" w:asciiTheme="majorHAnsi" w:cstheme="majorHAnsi" w:hAnsiTheme="majorHAnsi"/>
          <w:b/>
          <w:bCs/>
          <w:color w:themeColor="accent1" w:val="4F81BD"/>
          <w:sz w:val="22"/>
          <w:szCs w:val="22"/>
          <w:lang w:eastAsia="pl-PL" w:bidi="ar-SA"/>
        </w:rPr>
        <w:t xml:space="preserve">do 24 miesięcy od dnia podpisania protokołu odbioru </w:t>
      </w:r>
      <w:r>
        <w:rPr>
          <w:rFonts w:eastAsia="Times New Roman" w:cs="Times New Roman" w:ascii="Calibri" w:hAnsi="Calibri"/>
          <w:sz w:val="22"/>
          <w:szCs w:val="22"/>
          <w:lang w:eastAsia="pl-PL" w:bidi="ar-SA"/>
        </w:rPr>
        <w:t xml:space="preserve">z możliwością bezpłatnych automatycznych aktualizacji do najnowszej dostępnej wersji. </w:t>
      </w:r>
    </w:p>
    <w:p>
      <w:pPr>
        <w:pStyle w:val="Normal"/>
        <w:suppressAutoHyphens w:val="false"/>
        <w:spacing w:lineRule="auto" w:line="276" w:before="0" w:after="200"/>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Licencje na Oprogramowanie dostarczone będą do siedziby Zamawiającego w formie papierowej lub elektronicznej.</w:t>
      </w:r>
    </w:p>
    <w:p>
      <w:pPr>
        <w:pStyle w:val="Normal"/>
        <w:suppressAutoHyphens w:val="false"/>
        <w:spacing w:lineRule="auto" w:line="276" w:before="0" w:after="200"/>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W ramach postępowania Wykonawca jest zobowiązany dostarczyć </w:t>
      </w:r>
      <w:r>
        <w:rPr>
          <w:rFonts w:eastAsia="Times New Roman" w:cs="Times New Roman" w:ascii="Calibri" w:hAnsi="Calibri"/>
          <w:b/>
          <w:bCs/>
          <w:sz w:val="22"/>
          <w:szCs w:val="22"/>
          <w:lang w:eastAsia="pl-PL" w:bidi="ar-SA"/>
        </w:rPr>
        <w:t xml:space="preserve">20 licencji dla stacji roboczych i 3 licencje dla serwerów z subskrypcją do </w:t>
      </w:r>
      <w:r>
        <w:rPr>
          <w:rFonts w:eastAsia="Arial" w:cs="Calibri" w:ascii="Calibri" w:hAnsi="Calibri" w:asciiTheme="majorHAnsi" w:cstheme="majorHAnsi" w:hAnsiTheme="majorHAnsi"/>
          <w:b/>
          <w:bCs/>
          <w:color w:themeColor="accent1" w:val="4F81BD"/>
          <w:sz w:val="22"/>
          <w:szCs w:val="22"/>
          <w:lang w:eastAsia="pl-PL" w:bidi="ar-SA"/>
        </w:rPr>
        <w:t>24 miesięcy od dnia podpisania protokołu odbioru.</w:t>
      </w:r>
    </w:p>
    <w:p>
      <w:pPr>
        <w:pStyle w:val="Normal"/>
        <w:suppressAutoHyphens w:val="false"/>
        <w:spacing w:lineRule="auto" w:line="276" w:before="0" w:after="200"/>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Wykonawca zobowiązany jest także świadczyć </w:t>
      </w:r>
      <w:r>
        <w:rPr>
          <w:rFonts w:eastAsia="Times New Roman" w:cs="Times New Roman" w:ascii="Calibri" w:hAnsi="Calibri"/>
          <w:b/>
          <w:bCs/>
          <w:sz w:val="22"/>
          <w:szCs w:val="22"/>
          <w:lang w:eastAsia="pl-PL" w:bidi="ar-SA"/>
        </w:rPr>
        <w:t xml:space="preserve">wsparcie techniczne </w:t>
      </w:r>
      <w:r>
        <w:rPr>
          <w:rFonts w:eastAsia="Arial" w:cs="Calibri" w:ascii="Calibri" w:hAnsi="Calibri" w:asciiTheme="majorHAnsi" w:cstheme="majorHAnsi" w:hAnsiTheme="majorHAnsi"/>
          <w:b/>
          <w:bCs/>
          <w:color w:themeColor="accent1" w:val="4F81BD"/>
          <w:sz w:val="22"/>
          <w:szCs w:val="22"/>
          <w:lang w:eastAsia="pl-PL" w:bidi="ar-SA"/>
        </w:rPr>
        <w:t>do 24 miesięcy od dnia podpisania protokołu odbioru.</w:t>
      </w:r>
    </w:p>
    <w:p>
      <w:pPr>
        <w:pStyle w:val="Normal"/>
        <w:suppressAutoHyphens w:val="false"/>
        <w:spacing w:lineRule="auto" w:line="276" w:before="0" w:after="200"/>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Ochrona antywirusowa niżej wymienionego systemu monitorowana i zarządzana z pojedynczej, centralnej konsoli, znajdującej się na serwerach producenta, do której dostęp zapewniony jest przez przeglądarkę internetową. </w:t>
      </w:r>
    </w:p>
    <w:p>
      <w:pPr>
        <w:pStyle w:val="Normal"/>
        <w:suppressAutoHyphens w:val="false"/>
        <w:spacing w:lineRule="auto" w:line="276" w:before="0" w:after="200"/>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Od strony chronionego środowiska nie jest wymagana instalacja dodatkowych elementów takich jak: </w:t>
        <w:br/>
        <w:t xml:space="preserve">baza danych, serwer http, serwery proxy, do prawidłowego działania wymagana jest jedynie instalacja agenta na wspieranych końcówkach, które łączą się do centralnej konsoli znajdującej się na serwerach </w:t>
        <w:br/>
        <w:t xml:space="preserve">producenta. </w:t>
      </w:r>
    </w:p>
    <w:p>
      <w:pPr>
        <w:pStyle w:val="Normal"/>
        <w:suppressAutoHyphens w:val="false"/>
        <w:spacing w:lineRule="auto" w:line="276" w:before="0" w:after="200"/>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dla ochrony antywirusowej stacji roboczych wspiera następujące systemy operacyjne:</w:t>
      </w:r>
    </w:p>
    <w:p>
      <w:pPr>
        <w:pStyle w:val="Normal"/>
        <w:numPr>
          <w:ilvl w:val="1"/>
          <w:numId w:val="56"/>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10</w:t>
      </w:r>
    </w:p>
    <w:p>
      <w:pPr>
        <w:pStyle w:val="Normal"/>
        <w:numPr>
          <w:ilvl w:val="1"/>
          <w:numId w:val="56"/>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11</w:t>
      </w:r>
    </w:p>
    <w:p>
      <w:pPr>
        <w:pStyle w:val="Normal"/>
        <w:suppressAutoHyphens w:val="false"/>
        <w:spacing w:lineRule="auto" w:line="276" w:before="0" w:after="200"/>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dla ochrony antywirusowej systemów serwerowych wspiera następujące systemy operacyjne:</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2016 Standard</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2016 Essentials</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2016 Datacenter</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2016 Core</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2019 Standard</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2019 Essentials</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2019 Datacenter</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2019 Core</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2022 Standard</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2022 Essentials</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2022 Datacenter</w:t>
      </w:r>
    </w:p>
    <w:p>
      <w:pPr>
        <w:pStyle w:val="Normal"/>
        <w:numPr>
          <w:ilvl w:val="0"/>
          <w:numId w:val="53"/>
        </w:numPr>
        <w:suppressAutoHyphens w:val="false"/>
        <w:spacing w:lineRule="auto" w:line="276" w:before="0" w:after="200"/>
        <w:rPr>
          <w:rFonts w:ascii="Calibri" w:hAnsi="Calibri" w:eastAsia="Times New Roman" w:cs="Times New Roman"/>
          <w:sz w:val="22"/>
          <w:szCs w:val="22"/>
          <w:lang w:val="en-US" w:eastAsia="pl-PL" w:bidi="ar-SA"/>
        </w:rPr>
      </w:pPr>
      <w:r>
        <w:rPr>
          <w:rFonts w:eastAsia="Times New Roman" w:cs="Times New Roman" w:ascii="Calibri" w:hAnsi="Calibri"/>
          <w:sz w:val="22"/>
          <w:szCs w:val="22"/>
          <w:lang w:val="en-US" w:eastAsia="pl-PL" w:bidi="ar-SA"/>
        </w:rPr>
        <w:t>Microsoft® Windows Server 2022 Core</w:t>
      </w:r>
    </w:p>
    <w:p>
      <w:pPr>
        <w:pStyle w:val="Normal"/>
        <w:suppressAutoHyphens w:val="false"/>
        <w:spacing w:lineRule="auto" w:line="276" w:before="0" w:after="200"/>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Wspierane przeglądarki internetowe do obsługi konsoli zarządzającej:</w:t>
      </w:r>
    </w:p>
    <w:p>
      <w:pPr>
        <w:pStyle w:val="Normal"/>
        <w:numPr>
          <w:ilvl w:val="0"/>
          <w:numId w:val="52"/>
        </w:numPr>
        <w:suppressAutoHyphens w:val="false"/>
        <w:spacing w:lineRule="auto" w:line="276" w:before="0" w:after="200"/>
        <w:rPr>
          <w:rFonts w:ascii="Calibri" w:hAnsi="Calibri" w:eastAsia="Times New Roman" w:cs="Times New Roman"/>
          <w:sz w:val="22"/>
          <w:szCs w:val="22"/>
          <w:lang w:eastAsia="pl-PL" w:bidi="ar-SA"/>
        </w:rPr>
      </w:pPr>
      <w:r>
        <w:rPr>
          <w:rFonts w:eastAsia="Times New Roman" w:cs="Times New Roman" w:ascii="Calibri" w:hAnsi="Calibri"/>
          <w:sz w:val="22"/>
          <w:szCs w:val="22"/>
          <w:lang w:val="en-US" w:eastAsia="pl-PL" w:bidi="ar-SA"/>
        </w:rPr>
        <w:t>Microsoft Edge</w:t>
      </w:r>
    </w:p>
    <w:p>
      <w:pPr>
        <w:pStyle w:val="Normal"/>
        <w:numPr>
          <w:ilvl w:val="1"/>
          <w:numId w:val="55"/>
        </w:numPr>
        <w:suppressAutoHyphens w:val="false"/>
        <w:spacing w:lineRule="auto" w:line="276" w:before="0" w:after="200"/>
        <w:rPr>
          <w:rFonts w:ascii="Calibri" w:hAnsi="Calibri" w:eastAsia="Times New Roman" w:cs="Times New Roman"/>
          <w:sz w:val="22"/>
          <w:szCs w:val="22"/>
          <w:lang w:eastAsia="pl-PL" w:bidi="ar-SA"/>
        </w:rPr>
      </w:pPr>
      <w:r>
        <w:rPr>
          <w:rFonts w:eastAsia="Times New Roman" w:cs="Times New Roman" w:ascii="Calibri" w:hAnsi="Calibri"/>
          <w:sz w:val="22"/>
          <w:szCs w:val="22"/>
          <w:lang w:val="en-US" w:eastAsia="pl-PL" w:bidi="ar-SA"/>
        </w:rPr>
        <w:t>Mozilla Firefox</w:t>
      </w:r>
    </w:p>
    <w:p>
      <w:pPr>
        <w:pStyle w:val="Normal"/>
        <w:numPr>
          <w:ilvl w:val="1"/>
          <w:numId w:val="55"/>
        </w:numPr>
        <w:suppressAutoHyphens w:val="false"/>
        <w:spacing w:lineRule="auto" w:line="276" w:before="0" w:after="200"/>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Google Chrome</w:t>
      </w:r>
    </w:p>
    <w:p>
      <w:pPr>
        <w:pStyle w:val="Normal"/>
        <w:numPr>
          <w:ilvl w:val="1"/>
          <w:numId w:val="55"/>
        </w:numPr>
        <w:suppressAutoHyphens w:val="false"/>
        <w:spacing w:lineRule="auto" w:line="276" w:before="0" w:after="200"/>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Safari</w:t>
      </w:r>
    </w:p>
    <w:p>
      <w:pPr>
        <w:pStyle w:val="Normal"/>
        <w:numPr>
          <w:ilvl w:val="1"/>
          <w:numId w:val="55"/>
        </w:numPr>
        <w:suppressAutoHyphens w:val="false"/>
        <w:spacing w:lineRule="auto" w:line="276" w:before="0" w:after="200"/>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Opera</w:t>
      </w:r>
    </w:p>
    <w:p>
      <w:pPr>
        <w:pStyle w:val="Normal"/>
        <w:suppressAutoHyphens w:val="false"/>
        <w:spacing w:lineRule="auto" w:line="276" w:before="0" w:after="200"/>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Zarówno konsola jak i oprogramowanie antywirusowe do ochrony stacji roboczych oraz serwerów posiada Polski interfejs użytkownika. </w:t>
      </w:r>
    </w:p>
    <w:p>
      <w:pPr>
        <w:pStyle w:val="Normal"/>
        <w:suppressAutoHyphens w:val="false"/>
        <w:spacing w:lineRule="auto" w:line="276" w:before="0" w:after="200"/>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Ten sam agent zainstalowany na systemach Windows umożliwia rozbudowę funkcjonalności o system EDR </w:t>
        <w:br/>
        <w:t xml:space="preserve">i mechanizm zarządzania podatnościami – aktywacja dodatkowych funkcji uzależniona jest tylko </w:t>
        <w:br/>
        <w:t xml:space="preserve">od posiadanej licencji, automatycznie aktywowana w momencie jej dodania i nie wymaga reinstalacji </w:t>
        <w:br/>
        <w:t>agenta w środowisku oraz posiadania osobnej konsoli zarządzającej.</w:t>
      </w:r>
    </w:p>
    <w:p>
      <w:pPr>
        <w:pStyle w:val="Normal"/>
        <w:suppressAutoHyphens w:val="false"/>
        <w:spacing w:lineRule="auto" w:line="276" w:before="0" w:after="200"/>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Funkcjonalności systemu mogą różnić się w zależności od platformy na jakiej zainstalowany jest agent </w:t>
        <w:br/>
        <w:t>ze względu na ich ograniczenia, jednak chronione platformy są zarządzane z tej samej konsoli zarządzającej.</w:t>
      </w:r>
    </w:p>
    <w:p>
      <w:pPr>
        <w:pStyle w:val="Normal"/>
        <w:suppressAutoHyphens w:val="false"/>
        <w:spacing w:lineRule="auto" w:line="276" w:before="0" w:after="200"/>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Opis technologii:</w:t>
      </w:r>
    </w:p>
    <w:p>
      <w:pPr>
        <w:pStyle w:val="Normal"/>
        <w:numPr>
          <w:ilvl w:val="0"/>
          <w:numId w:val="54"/>
        </w:numPr>
        <w:tabs>
          <w:tab w:val="clear" w:pos="720"/>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Ochrona antywirusowa realizowana na wielu poziomach, tj.: monitora kontrolującego system w tle, modułu skanowania heurystycznego, modułu skanującego nośniki wymienne, monitora ruchu http oraz modułu wykrywającego rootkity.</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wbudowany mechanizm ochrony przed zagrożeniami typu ransonmware.</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wspiera technologię Antimalware Scan Interface (AMSI)</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umożliwia wybór plików do skanowania – wszystkich plików lub tylko plików </w:t>
        <w:br/>
        <w:t>o określonych rozszerzeniach.</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W momencie wykrycia infekcji rozwiązanie automatycznie stara się wyleczyć plik, a jeśli nie jest </w:t>
        <w:br/>
        <w:t>to możliwe przenosi go do bezpiecznego folderu kwarantanny.</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ręcznej reakcji na wykryte zagrożenie, w takim przypadku pozwala na: wyleczenie pliku, usunięcie, przeniesienie do kwarantanny, zmiany nazwy, zablokowania.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chroni plik systemowy HOSTS przed nieautoryzowanymi zmianami.</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mechanizmy skanujące dyski sieciowe.</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Skanowanie dysków sieciowych jest możliwe dla dowolnych operacji na takich zasobach lub tylko przy wykonywaniu znajdujących się tam plików.</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tworzenia wykluczeń dla mechanizmów ochrony w czasie rzeczywistym, w tym co najmniej dla: plików, folderów, procesów.</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mechanizm ochrony ruchu http chroniący użytkownika przed malware oraz phishingiem.</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Istnieje możliwość stworzenia wykluczenia dla wskazanej aplikacji, tak aby nie skanowała ona ruchu http.</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Aktualizacje baz definicji wirusów dostępne 24h na dobę na serwerze internetowym producenta, możliwa zarówno aktualizacja automatyczna programu oraz na żądanie przez wywołanie funkcji w interfejsie lokalnym oprogramowania.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Uaktualnienia definicji wirusów posiadają podpis cyfrowy, którego sprawdzenie gwarantuje, że pliki te nie zostały zmienione.</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dystrybuowania aktualizacji baz definicji wirusów oraz aktualizacji oprogramowania zainstalowanego na stacji końcowej, za pomocą serwera pośredniczącego.</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Aktualizacja oprogramowania klienta zainstalowanego na stacji końcowej do nowej wersji, następuje w sposób automatyczny, niewidoczny dla użytkownika końcowego.</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Aktualizacja oprogramowania klienta zainstalowanego na stacji końcowej nie wymaga dodatkowych czynności konfiguracyjnych ze strony administratora systemu i następuje automatycznie w momencie udostępnienia takiej aktualizacji przez producenta.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wywołania procesu aktualizacji oprogramowania klienta zainstalowanego na stacji końcowej według harmonogramu ustalonego przez administratorów dla określonych grup klientów, za pomocą centralnej konsoli zarządzania.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wywołania procesu aktualizacji oprogramowania klienta zainstalowanego na stacji końcowej w określone dni i godziny tygodnia i miesiąca.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możliwość wywołania skanowania na żądanie lub według harmonogramu </w:t>
        <w:br/>
        <w:t xml:space="preserve">ustalonego przez administratorów dla określonych grup klientów, za pomocą centralnej konsoli </w:t>
        <w:br/>
        <w:t>lub lokalnie przez określonego klienta.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wywołania skanowania w określone dni i godziny tygodnia i miesiąca, a także po określonym czasie bezczynności komputera.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możliwość wywołania procesu skanowania z niskim priorytetem, co pozwala </w:t>
        <w:br/>
        <w:t>na skanowanie z użyciem mniejszej ilości zasobów systemowych.</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możliwość wywołania skanowania uwzględnionych rozszerzeń a także </w:t>
        <w:br/>
        <w:t>ich wykluczanie.</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możliwość skanowania urządzeń przenośnych takich jak pendrive, </w:t>
        <w:br/>
        <w:t>dyski zewnętrzne itp.</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Skanowanie dysków przenośnych może odbywać się w sposób automatyczny bez wiedzy użytkownika, automatycznie z wyświetleniem podsumowania skanowania użytkownikowi oraz z możliwością zablokowania opcji przerwania skanowania przez użytkownika końcowego.</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Aktualizacja definicji wirusów czy też mechanizmów skanujących nie wymaga zatrzymania procesu skanowania na jakimkolwiek systemie.</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funkcję skanowania na żądanie pojedynczych plików, katalogów, napędów </w:t>
        <w:br/>
        <w:t>przy pomocy skrótu w menu kontekstowym</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Mikrodefinicje wirusów – przyrostowe (inkrementalne) pobieranie jedynie nowych definicji wirusów</w:t>
        <w:br/>
        <w:t xml:space="preserve">i mechanizmów skanujących bez konieczności pobierania całej bazy (na stację kliencką pobierane </w:t>
        <w:br/>
        <w:t>są tylko definicje, które przybyły od momentu ostatniej aktualizacji).</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Brak konieczności restartu systemu operacyjnego po dokonaniu aktualizacji mechanizmów </w:t>
        <w:br/>
        <w:t>skanujących i definicji wirusów.</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heurystyczną technologię do wykrywania nowych, nieznanych wirusów.</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Umożliwia wykrywanie niepożądanych aplikacji takich jak oprogramowanie typu „spyware", </w:t>
        <w:br/>
        <w:t>„adware", „keylogger”, „dialer”, „trojan”, „rootkit”.</w:t>
      </w:r>
    </w:p>
    <w:p>
      <w:pPr>
        <w:pStyle w:val="Normal"/>
        <w:numPr>
          <w:ilvl w:val="0"/>
          <w:numId w:val="54"/>
        </w:numPr>
        <w:tabs>
          <w:tab w:val="clear" w:pos="720"/>
          <w:tab w:val="left" w:pos="1800"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Posiada mechanizm wykrywania nowych i nieznanych zagrożeń (0-day), bazujący na technologii chmurowej, analizującej podejrzane pliki wykonywalne.</w:t>
      </w:r>
    </w:p>
    <w:p>
      <w:pPr>
        <w:pStyle w:val="Normal"/>
        <w:numPr>
          <w:ilvl w:val="0"/>
          <w:numId w:val="54"/>
        </w:numPr>
        <w:tabs>
          <w:tab w:val="clear" w:pos="720"/>
          <w:tab w:val="left" w:pos="1800"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technologię wykrywania nowych i nieznanych zagrożeń typu 0-day, technologia ta powinna w głównej mierze bazować na metadanych na temat analizowanego pliku. Pliki sklasyfikowane jako bezpieczne, nie są wysyłane do analizy w infrastrukturze producenta.</w:t>
      </w:r>
    </w:p>
    <w:p>
      <w:pPr>
        <w:pStyle w:val="Normal"/>
        <w:numPr>
          <w:ilvl w:val="0"/>
          <w:numId w:val="54"/>
        </w:numPr>
        <w:tabs>
          <w:tab w:val="clear" w:pos="720"/>
          <w:tab w:val="left" w:pos="1800"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technologię wykrywania nowych i nieznanych zagrożeń, która w przypadku podejrzanych plików umożliwia automatyczne ładowanie ich do systemu sandbox, utrzymywanego w infrastrukturze dostawcy oprogramowania antywirusowego w celu przeprowadzenia dodatkowej strukturalnej i behawioralnej analizy podejrzanego pliku. </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wyłączenia mechanizmu automatycznego przesyłania podejrzanych plików do dodatkowej analizy przez producenta.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możliwość umieszczenia oprogramowania typu „spyware", „adware", </w:t>
        <w:br/>
        <w:t>„keylogger”, „dialer”, „trojan” w kwarantannie.</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obsługi plików skompresowanych obejmującego najpopularniejsze formaty w tym, co najmniej: ZIP JAR ARJ LZH TAR TGZ GZ CAB RAR BZ2 HQX.</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logowania historii akcji podejmowanych wobec wykrytych zagrożeń na stacjach roboczych. Dostęp do logów jest możliwy z poziomu GUI aplikacji jak i konsoli centralnego zarządzania.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automatycznie powiadamia użytkowników oraz administratora o pojawiających się </w:t>
        <w:br/>
        <w:t>zagrożeniach wraz z określeniem czy stacja robocza jest odpowiednio zabezpieczona.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możliwość wyłączenia powiadomień dla użytkowników stacji końcowej </w:t>
        <w:br/>
        <w:t>o wykrytych zagrożeniach.</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wyłączenia interfejsu użytkownika oprogramowania zainstalowanego na stacji końcowej.</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umożliwia blokowanie przez program na komputerze klienckim określonego przez </w:t>
        <w:br/>
        <w:t>administratora rodzaju zawartości oraz nazwy lub rozszerzeń poszczególnych plików pobieranych przy pomocy protokołu http.</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Skanowanie http oraz blokowanie zawartości może być deaktywowane dla witryn określonych, </w:t>
        <w:br/>
        <w:t>jako zaufane przez system reputacyjny producenta.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instalacji dodatku do przeglądarki internetowej (Google Chrome, Mozilla FireFox, MS Edge) pozwalającego na wyświetleniu graficznej informacji o reputacji witryny, która pojawia się w wynikach wyszukiwania w wyszukiwarkach internetowych.</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jest wyposażone w mechanizm ochrony przeglądarki internetowej, w tym analizujący uruchamiane skrypty ActiveX i pobierane pliki.</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ochrony podczas przeglądania sieci Internet na podstawie badania reputacji witryn.</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umożliwia blokowanie dostępu do kategorii witryn WWW skatalogowanych przez </w:t>
        <w:br/>
        <w:t>systemy producenta.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Oprogramowanie zapewnia co najmniej 30 kategorii klasyfikacji witryn WWW.</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Użytkownik podczas próby przejścia na witrynę znajdująca się w zablokowanej przez Administratora kategorii, jest powiadomiony o nałożonej na niego blokadzie komunikatem w przeglądarce internetowej.</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umożliwia blokowanie witryn na podstawie kategorii zarówno dla protokołu HTTP jak </w:t>
        <w:br/>
        <w:t>i HTTPS.</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wbudowany mechanizm zabezpieczenia połączenia do witryn skategoryzowanych przez producenta jako „bankowość elektroniczna”.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W momencie odwiedzania stron internetowych skategoryzowanych jako „bankowość elektroniczna” rozwiązanie blokuje możliwość uruchamiania od strony chronionego hosta poleceń cmd oraz </w:t>
        <w:br/>
        <w:t>skryptów.</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W momencie odwiedzania stron internetowych skategoryzowanych jako „bankowość elektroniczna” rozwiązanie automatycznie blokuje zdalny dostęp do hosta za pomocą takich narzędzi jak pulpit zdalny, TeamViewer, LogMein, VNC itp.</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Kontrola połączenia umożliwia zabezpieczenie sesji do dowolnej witryny HTTPS wskazanej przez </w:t>
        <w:br/>
        <w:t>administratora – administrator ma możliwość tworzenia własnej listy takich witryn.</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wbudowaną funkcję, która po zakończeniu sesji z witrynami sklasyfikowanymi jako „bankowość elektroniczna” czyści zawartość schowka systemowego.</w:t>
      </w:r>
    </w:p>
    <w:p>
      <w:pPr>
        <w:pStyle w:val="Normal"/>
        <w:numPr>
          <w:ilvl w:val="0"/>
          <w:numId w:val="54"/>
        </w:numPr>
        <w:tabs>
          <w:tab w:val="clear" w:pos="720"/>
          <w:tab w:val="left" w:pos="1800"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funkcję zarządzania zaporą ogniową (tzw. personal firewall) wbudowaną </w:t>
        <w:br/>
        <w:t>w system Windows, z opcją definiowania profili bezpieczeństwa możliwych do przypisania dla pojedynczej stacji roboczej lub grup.</w:t>
      </w:r>
    </w:p>
    <w:p>
      <w:pPr>
        <w:pStyle w:val="Normal"/>
        <w:numPr>
          <w:ilvl w:val="0"/>
          <w:numId w:val="54"/>
        </w:numPr>
        <w:tabs>
          <w:tab w:val="clear" w:pos="720"/>
          <w:tab w:val="left" w:pos="1800"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Profile bezpieczeństwa zapory ogniowej zawierają predefiniowane reguły zezwalające </w:t>
        <w:br/>
        <w:t>na bezproblemową komunikację w sieci lokalnej.</w:t>
      </w:r>
    </w:p>
    <w:p>
      <w:pPr>
        <w:pStyle w:val="Normal"/>
        <w:numPr>
          <w:ilvl w:val="0"/>
          <w:numId w:val="54"/>
        </w:numPr>
        <w:tabs>
          <w:tab w:val="clear" w:pos="720"/>
          <w:tab w:val="left" w:pos="1800"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pozwala na tworzenie własnych reguł w oparciu co najmniej o: kierunek komunikacji sieciowej, protokół sieciowy oraz możliwość wyboru akcji zezwolenia lub zablokowania wskazanej komunikacji.</w:t>
      </w:r>
    </w:p>
    <w:p>
      <w:pPr>
        <w:pStyle w:val="Normal"/>
        <w:numPr>
          <w:ilvl w:val="0"/>
          <w:numId w:val="54"/>
        </w:numPr>
        <w:tabs>
          <w:tab w:val="clear" w:pos="720"/>
          <w:tab w:val="left" w:pos="1800"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automatycznego przełączenia profilu bezpieczeństwa zapory ogniowej po spełnieniu określonych warunków (np. zmiana adresacji karty sieciowej na stacji roboczej).</w:t>
      </w:r>
    </w:p>
    <w:p>
      <w:pPr>
        <w:pStyle w:val="Normal"/>
        <w:numPr>
          <w:ilvl w:val="0"/>
          <w:numId w:val="54"/>
        </w:numPr>
        <w:tabs>
          <w:tab w:val="clear" w:pos="720"/>
          <w:tab w:val="left" w:pos="1800"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umożliwia stworzenie zestawów reguł do natychmiastowego zastosowania, które zablokują komunikację sieciową w celu izolacji hosta na żądanie administratora.</w:t>
      </w:r>
    </w:p>
    <w:p>
      <w:pPr>
        <w:pStyle w:val="Normal"/>
        <w:numPr>
          <w:ilvl w:val="0"/>
          <w:numId w:val="54"/>
        </w:numPr>
        <w:tabs>
          <w:tab w:val="clear" w:pos="720"/>
          <w:tab w:val="left" w:pos="1800"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jest wyposażone w mechanizm aktualizacji aplikacji (patch management), umożliwiający instalację dostępnych poprawek dla systemu operacyjnego oraz aplikacji na nim zainstalowanych.</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Mechanizm aktualizacji aplikacji (patch management) nie wymaga instalowania dodatkowych </w:t>
        <w:br/>
        <w:t>agentów oprócz agenta AV.</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Moduł aktualizacji aplikacji, okresowo skanuje aplikacje zainstalowane na stacji roboczej i umożliwia ich aktualizację do najnowszych wersji. </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Moduł aktualizacji aplikacji pełni role mechanizmu łatającego podatności i instalującego aktualizacje oprogramowania, a nie jedynie pasywnego skanera luk w bezpieczeństwie aplikacji.</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Administrator posiada możliwość określenia, kiedy i jakie aktualizacje mają zostać zainstalowane </w:t>
        <w:br/>
        <w:t>automatycznie.</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Administrator posiada możliwość uruchomienia aktualizacji dla systemu operacyjnego jak i aplikacji znajdujących się na nim na żądanie dla wybranych lub wszystkich hostów.</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Mechanizm aktualizacji aplikacji umożliwia automatyczne wyświetlenie komunikatu użytkownikowi od strony hosta o konieczności zamknięcia danej aplikacji, tak aby proces aktualizacji mógł się </w:t>
        <w:br/>
        <w:t>zakończyć.</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W przypadku gdy instalacja aktualizacji dla systemu operacyjnego lub innej aplikacji wymaga restartu hosta w celu jej zastosowania, administrator posiada możliwość wymuszenia automatycznego </w:t>
        <w:br/>
        <w:t>restartu, wymuszenia restartu po określonej liczbie godzin, lub wyświetlenia komunikatu użytkownikowi o konieczności restartu.</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Administrator konsoli zarządzającej ma możliwości zapoznania się z opisem danej podatności aplikacji uruchamiając aktywny link z konsoli zarządzającej z przekierowaniem na strony producenta aplikacji.</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Mechanizm aktualizacji aplikacji (patch management) nie wymaga uprawnień administratora </w:t>
        <w:br/>
        <w:t>lokalnego do instalacji poprawek i jest realizowany, jako dedykowany proces.</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Administrator ma możliwość zdefiniowania aplikacji, które nie podlegają aktualizacji, poprzez </w:t>
        <w:br/>
        <w:t xml:space="preserve">wpisanie nazwy aplikacji na listę wykluczeń w konsoli zarządzającej. </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umożliwia wyświetlenie w GUI od strony chronionego hosta informacji o brakujących poprawkach dla systemu lub aplikacji i umożliwienie, ich instalacji przez użytkownika końcowego.</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System centralnego zarządzania prezentuje niezaktualizowane aplikacje występujące na wszystkich chronionych hostach lub listę nieaktualizowanego oprogramowania dla pojedynczej stacji końcowej.</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Oprogramowanie umożliwia blokowanie wybranych przez administratora urządzeń zewnętrznych podłączanych do stacji końcowej. </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Mechanizm kontroli urządzeń zewnętrznych wspiera m.in. urządzenia takie jak: pamięci masowe, napędy CD/DVD, modemy, porty COM i LTP, drukarki, czytniki kart pamięci, kamery, urządzenia </w:t>
        <w:br/>
        <w:t>bluetooth.</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Oprogramowanie umożliwia zdefiniowanie listy zaufanych urządzeń, które nie będą blokowane </w:t>
        <w:br/>
        <w:t>podczas podłączania do stacji końcowej.</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Lista urządzeń zaufanych jest tworzona co najmniej w oparciu o nazwę urządzenia i identyfikator sprzętowy.</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możliwość blokady zapisywania plików na zewnętrznych dyskach USB </w:t>
        <w:br/>
        <w:t>urządzenia takie są wówczas dostępne w trybie tylko do odczytu.</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Mechanizm kontroli urządzeń umożliwia blokadę uruchamiania plików wykonywalnych z nośników pamięci. Blokada ta pozwala na korzystanie z pozostałych danych zapisanych na takich nośnikach.</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opcję zabezpieczenia hasłem możliwości deinstalacji agenta przez użytkownika końcowego.</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Zmiany w konfiguracji mogą być dokonywane przez użytkownika końcowego tylko </w:t>
        <w:br/>
        <w:t>dla poszczególnych funkcji aplikacji wskazanych przez administratora w profilu.</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możliwość przekazywania do konsoli administracji zdalnej kluczy odzyskiwania funkcji BitLocker</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pozwala na zdalne wymuszenie procesu szyfrowania dysków systemowych za pomocą funkcji Bitlocker wbudowanej i obsługiwanej przez system Windows.</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W momencie zdalnego uruchomienia procesu szyfrowania za pomocą funkcji Bitlocker administrator posiada możliwość wymuszenia ustanowienia kodu PIN na stacji roboczej, wymaganego do logowania.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pozwala na zdalne uruchomienie procesu deszyfrowania wcześniej zaszyfrowanych dysków systemowych.</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Administrator w konsoli zarządzającej posiada dostępne informacje dotyczące stanu zaszyfrowania dysków systemowych.</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wbudowany mechanizm przywracania plików zaszyfrowanych przez zagrożenia typu ransomware.</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Mechanizm w swoim działaniu wykorzystuje własną technologię producenta, nie inne technologie takie jak Volume Shadow Copy Service (VSS)</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 </w:t>
      </w:r>
      <w:r>
        <w:rPr>
          <w:rFonts w:eastAsia="Times New Roman" w:cs="Times New Roman" w:ascii="Calibri" w:hAnsi="Calibri"/>
          <w:sz w:val="22"/>
          <w:szCs w:val="22"/>
          <w:lang w:eastAsia="pl-PL" w:bidi="ar-SA"/>
        </w:rPr>
        <w:t>W przypadku wykrycia szkodliwego działania ransomware, moduł blokuje aktywność szkodliwego procesu oraz przywraca pliki, które zostały zaszyfrowane do oryginalnej formy i lokalizacji.</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Moduł przywracania plików zaszyfrowanych może działać w trybie monitorowania, bez podejmowania reakcji.</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Administrator ma możliwość wskazania własnego folderu, do którego będą kopiowane pliki tworzonej kopii zapasowej plików. </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Administrator posiada możliwość określenia maksymalnej wielkości pliku, którego kopia zapasowa będzie tworzona przez moduł przywracania.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jest wyposażone w dodatkowy moduł chroniący dane użytkownika przed działaniem oprogramowania ransomware niezależnie od pozostałych modułów ochrony. Działanie modułu polega na ograniczeniu możliwości modyfikowania chronionych plików, tylko procesom systemowym oraz zaufanym aplikacjom.</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Moduł posiada możliwość pracy w trybie monitorowania (bez blokowania) przekazując administratorowi informacje dotyczące prób modyfikacji plików w chronionych folderach.</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Administrator posiada możliwość dowolnego zdefiniowania dodatkowo chronionych folderów zawierających wrażliwe dane użytkownika.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Istnieje możliwość zdefiniowania zaufanych folderów. Aplikacje uruchamiane z zaufanych folderów mają możliwość modyfikowania plików objętych dodatkową ochroną antyransomware.</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potrafi automatycznie wykryć zaufane aplikacje, dla których będzie zezwolony dostęp do plików w chronionych folderach, oraz daje możliwość wskazania zaufanych aplikacji </w:t>
        <w:br/>
        <w:t>przez administratora.</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posiada funkcjonalność kontroli uruchamianych aplikacji.</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Tryb kontroli aplikacji umożliwia uruchomienie wszystkich aplikacji, uruchomienie i monitorowanie wszystkich aplikacji, blokowanie niezaufanych aplikacji</w:t>
      </w:r>
    </w:p>
    <w:p>
      <w:pPr>
        <w:pStyle w:val="Normal"/>
        <w:numPr>
          <w:ilvl w:val="0"/>
          <w:numId w:val="54"/>
        </w:numPr>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Istnieje możliwości blokowania, zezwolenia lub monitorowania aplikacji w oparciu, co najmniej </w:t>
        <w:br/>
        <w:t>o docelowy identyfikator SHA1,SHA256, lokalizację pliku, wersję pliku, nazwę aplikacji, wielkość pliku, wydawcę, ważność podpisu cyfrowego aplikacji.</w:t>
      </w:r>
    </w:p>
    <w:p>
      <w:pPr>
        <w:pStyle w:val="Normal"/>
        <w:numPr>
          <w:ilvl w:val="0"/>
          <w:numId w:val="54"/>
        </w:numPr>
        <w:tabs>
          <w:tab w:val="clear" w:pos="720"/>
          <w:tab w:val="left" w:pos="709"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Tworzone reguły dotyczyć mogą czynności: uruchomienia aplikacji, ładowania modułu, uruchomienia instalatora, dostępu do pliku.</w:t>
      </w:r>
    </w:p>
    <w:p>
      <w:pPr>
        <w:pStyle w:val="Normal"/>
        <w:numPr>
          <w:ilvl w:val="0"/>
          <w:numId w:val="54"/>
        </w:numPr>
        <w:tabs>
          <w:tab w:val="clear" w:pos="720"/>
          <w:tab w:val="left" w:pos="709"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Na wspieranych systemach Windows rozwiązanie pozwala na zdalne wywołanie procesu </w:t>
        <w:br/>
        <w:t>szyfrowania za pomocą funkcji BitLocker wbudowanej w system operacyjny.</w:t>
      </w:r>
    </w:p>
    <w:p>
      <w:pPr>
        <w:pStyle w:val="Normal"/>
        <w:numPr>
          <w:ilvl w:val="0"/>
          <w:numId w:val="54"/>
        </w:numPr>
        <w:tabs>
          <w:tab w:val="clear" w:pos="720"/>
          <w:tab w:val="left" w:pos="709"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Administrator posiada w momencie konfiguracji procesu szyfrowania, możliwość wymuszenia </w:t>
        <w:br/>
        <w:t>od strony użytkownika ustanowienia dodatkowego zabezpieczenia w postaci kodu PIN</w:t>
      </w:r>
    </w:p>
    <w:p>
      <w:pPr>
        <w:pStyle w:val="Normal"/>
        <w:numPr>
          <w:ilvl w:val="0"/>
          <w:numId w:val="54"/>
        </w:numPr>
        <w:tabs>
          <w:tab w:val="clear" w:pos="720"/>
          <w:tab w:val="left" w:pos="709"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pozwala na uzyskiwanie informacji pochodzących z dziennika systemu Windows </w:t>
        <w:br/>
        <w:t xml:space="preserve">dotyczących między innymi: Czyszczenia dziennika audytu, zablokowania konta użytkownika, </w:t>
        <w:br/>
        <w:t>utworzenia konta użytkownika, zmiany konta użytkownika, błędnych prób logowania użytkownika, wystąpienia błędu krytycznego (BSOD)</w:t>
      </w:r>
    </w:p>
    <w:p>
      <w:pPr>
        <w:pStyle w:val="Normal"/>
        <w:numPr>
          <w:ilvl w:val="0"/>
          <w:numId w:val="54"/>
        </w:numPr>
        <w:tabs>
          <w:tab w:val="clear" w:pos="720"/>
          <w:tab w:val="left" w:pos="709"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Administrator ma możliwość wyboru, które z informacji pochodzących z dziennika systemu </w:t>
        <w:br/>
        <w:t>Windows mają być przekazywane do konsoli zarządzającej.</w:t>
      </w:r>
    </w:p>
    <w:p>
      <w:pPr>
        <w:pStyle w:val="Normal"/>
        <w:numPr>
          <w:ilvl w:val="0"/>
          <w:numId w:val="54"/>
        </w:numPr>
        <w:tabs>
          <w:tab w:val="clear" w:pos="720"/>
          <w:tab w:val="left" w:pos="709"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pozwala na wygenerowanie pliku za pocą którego administrator może wywołać zdalne podłączenie za pomocą usług Microsoft RDP (Remote Desktop).</w:t>
      </w:r>
    </w:p>
    <w:p>
      <w:pPr>
        <w:pStyle w:val="Normal"/>
        <w:numPr>
          <w:ilvl w:val="0"/>
          <w:numId w:val="54"/>
        </w:numPr>
        <w:tabs>
          <w:tab w:val="clear" w:pos="720"/>
          <w:tab w:val="left" w:pos="709" w:leader="none"/>
        </w:tabs>
        <w:suppressAutoHyphens w:val="false"/>
        <w:spacing w:lineRule="auto" w:line="276" w:before="0" w:after="200"/>
        <w:ind w:hanging="360" w:start="567"/>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Wygenerowany plik może być otwarty i wykorzystany do zdalnego podłączenia za pomocą </w:t>
        <w:br/>
        <w:t xml:space="preserve">Microsoft Terminal Services Client (MSTSC), Microsoft Remote Desktop i innych wspierających usług </w:t>
        <w:br/>
        <w:t>i aplikacji.</w:t>
      </w:r>
    </w:p>
    <w:p>
      <w:pPr>
        <w:pStyle w:val="Normal"/>
        <w:suppressAutoHyphens w:val="false"/>
        <w:spacing w:lineRule="auto" w:line="276" w:before="0" w:after="200"/>
        <w:ind w:start="284"/>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Centralna administracja</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Portal zarządzający jest dostępny w języku polskim.</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Komunikacja pomiędzy portalem centralnego zarządzania a stacjami roboczymi odbywa się </w:t>
        <w:br/>
        <w:t>w formie zaszyfrowanej.</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W celu korzystania z centralnej administracji, od strony chronionego środowiska nie jest </w:t>
        <w:br/>
        <w:t xml:space="preserve">wymagana instalacja dodatkowych elementów takich jak: baza danych, serwer http, serwery proxy, wymagana jest jedynie instalacja agenta na wspieranych końcówkach, które łączą się </w:t>
        <w:br/>
        <w:t xml:space="preserve">do centralnej konsoli zarządzającej znajdującej się na serwerach producenta. </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Interfejs zarządzania posiada funkcję wyświetlania monitów o zbliżającym się zakończeniu </w:t>
        <w:br/>
        <w:t>licencji, a także powiadamia o zakończeniu licencji.</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Interfejs jest wyposażony w panel kontrolny zawierający podsumowanie stanu bezpieczeństwa organizacji w postaci graficznych wykresów.</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Wykresy są interaktywne, tzn., że po wybraniu interesującego elementu, następuje </w:t>
        <w:br/>
        <w:t>przekierowanie do zawierającego bardziej szczegółowe dane menu.</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dedykowaną zakładkę zawierającą informację o wszystkich hostach </w:t>
        <w:br/>
        <w:t>posiadających zainstalowane oprogramowanie do ochrony, w tym: ich nazwy, status ochrony, przypisany profil bezpieczeństwa.</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Istnieje możliwość eksportu listy wszystkich hostów do pliku CSV.</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Administrator ma możliwość wglądu w szczegóły zgłaszającego się hosta, w których zawarte </w:t>
        <w:br/>
        <w:t>są informacje dotyczące: ostatniego podłączenia do konsoli zarządzającej, wersji zainstalowanego produktu, systemu operacyjnego, stanu ochrony, akcji związanych z wykrytymi zagrożeniami i skanowaniami.</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Administrator ma możliwość z poziomu szczegółów klienta, uruchomienia skanowania </w:t>
        <w:br/>
        <w:t xml:space="preserve">antywirusowego, instalacji aktualizacji dla aplikacji i systemu operacyjnego, przypisania </w:t>
        <w:br/>
        <w:t>profilu, usunięcia urządzenia, zmiany klucza subskrypcji, odizolowania hosta od sieci i pobrania pliku diagnostycznego.</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Komputery nie nawiązujące komunikacji z konsolą zarządzającą mogą być automatycznie </w:t>
        <w:br/>
        <w:t>usuwane z listy po określonym przez administratora czasie - co najmniej 60 dni.</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dodatkową zakładkę zawierającą informacje dotyczącą brakujących </w:t>
        <w:br/>
        <w:t>aktualizacji dla zainstalowanych aplikacji i systemu operacyjnego.</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Istnieje możliwość posortowania i filtrowania brakujących poprawek pod względem ich </w:t>
        <w:br/>
        <w:t>poziomu krytyczności.</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Informacje dotyczące brakujących poprawek dla aplikacji i systemu operacyjnego zawierają liczbę i typ hostów, na których został wykryty brak danej poprawki.</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Po wskazaniu danej poprawki administrator posiada możliwość jej instalacji na wskazanych komputerach lub na wszystkich komputerach i serwerach, dla których dana poprawka została wydana.</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Administrator ma możliwość wglądu w historię instalowanych poprawek na chronionych </w:t>
        <w:br/>
        <w:t>hostach.</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moduł raportujący w którym wyświetlane są informacje dotyczące </w:t>
        <w:br/>
        <w:t>stanu ochrony, infekcji malware, instalowanych aplikacji.</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Raporty mogą być tworzone zgodnie z harmonogramem i wysyłane na wskazane adresy email.</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Rozwiązanie posiada wbudowany mechanizm zarządzania subskrypcjami, z możliwością </w:t>
        <w:br/>
        <w:t>dodawania nowych kluczy licencyjnych.</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Administrator widzi w konsoli informacje dotyczące produktu na jaki posiada licencję, klucz </w:t>
        <w:br/>
        <w:t>licencyjny, typy licencji, wykorzystanie oraz daty wygaśnięcia licencji.</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Portal zarządzający umożliwia dodawanie kluczy licencyjnych dla innych produktów w celu </w:t>
        <w:br/>
        <w:t xml:space="preserve">aktywacji danej funkcjonalności, co najmniej dla systemu EDR, mechanizmów zarządzania </w:t>
        <w:br/>
        <w:t>podatnościami, ochrony usług Microsoft 365.</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Dodanie klucza licencyjnego skutkuje aktywacją zawartości dedykowanej zakładki obsługującej dany produkt w portalu zarządzającym.</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ma możliwość definiowania różnych profili ustawień dla chronionych urządzeń z poziomu portalu zarządzającego.</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Profile mogą być przypisane do pojedynczych hostów lub do grup.</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Profile mogą być automatycznie przypisywane do hostów spełniających określone warunki </w:t>
        <w:br/>
        <w:t>w tym: adresy IP, DNS, nazwa WINS, przynależność do AD.</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W przypadku automatycznego przypisywania profili, system pozwala na automatyczne </w:t>
        <w:br/>
        <w:t>dodawanie tagów dla hostów które otrzymają dany profil konfiguracyjny.</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Istnieje możliwość porównania 2 profili konfiguracyjnych w celu wyświetlenia różnic pomiędzy nimi.</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Rozwiązanie pozwala administratorowi podczas tworzenia profili wskazanie funkcjonalności, które mogą być zmieniane przez użytkownika od strony chronionego hosta – możliwość wprowadzanych zmian jest do określenia dla poszczególnych funkcji programu oraz całości konfiguracji.</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Z poziomu portalu zarządzającego istnieje możliwość pobrania plików instalacyjnych, </w:t>
        <w:br/>
        <w:t>wykorzystywanych do instalacji agenta na objętych licencją hostach.</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Pliki instalacyjne mają posiadać plików .EXE, .MSI</w:t>
      </w:r>
      <w:bookmarkStart w:id="2" w:name="_Int_zfYcjGER"/>
      <w:r>
        <w:rPr>
          <w:rFonts w:eastAsia="Times New Roman" w:cs="Times New Roman" w:ascii="Calibri" w:hAnsi="Calibri"/>
          <w:sz w:val="22"/>
          <w:szCs w:val="22"/>
          <w:lang w:eastAsia="pl-PL" w:bidi="ar-SA"/>
        </w:rPr>
        <w:t xml:space="preserve"> .MPKG</w:t>
      </w:r>
      <w:bookmarkEnd w:id="2"/>
      <w:r>
        <w:rPr>
          <w:rFonts w:eastAsia="Times New Roman" w:cs="Times New Roman" w:ascii="Calibri" w:hAnsi="Calibri"/>
          <w:sz w:val="22"/>
          <w:szCs w:val="22"/>
          <w:lang w:eastAsia="pl-PL" w:bidi="ar-SA"/>
        </w:rPr>
        <w:t xml:space="preserve">, .DEB, .RPM w zależności </w:t>
        <w:br/>
        <w:t>od platformy i typu systemu na jakich ma zostać zainstalowany agent.</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Tworzone profile muszą dają administratorowi możliwość blokowania ustawień </w:t>
        <w:br/>
        <w:t>konfiguracyjnych aplikacji zainstalowanych od strony stacji roboczych w celu uniemożliwienia ich modyfikacji przez lokalnego użytkownika.</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Administrator posiada możliwość wyświetlenia dodatkowych szczegółów dotyczących </w:t>
        <w:br/>
        <w:t>chronionych hostów.</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 xml:space="preserve">Administrator posiada do wyboru ponad 100 różnych dodatkowych informacji, które mogą być widoczne w tym co najmniej: wersji BIOS, identyfikatora CPU, ilości rdzeni procesora, wolnej ilości miejsca na dysku, informacji o fakcie wykorzystania systemu operacyjnego Windows </w:t>
        <w:br/>
        <w:t xml:space="preserve">który osiągnął cykl end of life, aktywnego wygaszacza ekranu, zalogowanego konta </w:t>
        <w:br/>
        <w:t>administracyjnego.</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Portal zarządzający pozwala na zarządzanie oprogramowaniem instalowanym na urządzeniach mobilnych (smartphony) w przypadku posiadania odpowiedniej licencji.</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Konsola posiada możliwość definiowania wielu kont administratorów o różnych poziomach dostępu.</w:t>
      </w:r>
    </w:p>
    <w:p>
      <w:pPr>
        <w:pStyle w:val="Normal"/>
        <w:numPr>
          <w:ilvl w:val="0"/>
          <w:numId w:val="57"/>
        </w:numPr>
        <w:suppressAutoHyphens w:val="false"/>
        <w:spacing w:lineRule="auto" w:line="276" w:before="0" w:after="200"/>
        <w:ind w:hanging="360" w:start="709"/>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W ramach posiadanych licencji istnieje możliwość przenoszenia oprogramowania w ramach danego klucza subskrypcji z jednej stacji roboczej na inną.</w:t>
      </w:r>
    </w:p>
    <w:p>
      <w:pPr>
        <w:pStyle w:val="Normal"/>
        <w:suppressAutoHyphens w:val="false"/>
        <w:spacing w:lineRule="auto" w:line="276" w:before="0" w:after="200"/>
        <w:ind w:start="284"/>
        <w:jc w:val="both"/>
        <w:rPr>
          <w:rFonts w:ascii="Calibri" w:hAnsi="Calibri" w:eastAsia="Times New Roman" w:cs="Times New Roman"/>
          <w:sz w:val="22"/>
          <w:szCs w:val="22"/>
          <w:lang w:eastAsia="pl-PL" w:bidi="ar-SA"/>
        </w:rPr>
      </w:pPr>
      <w:r>
        <w:rPr>
          <w:rFonts w:eastAsia="Times New Roman" w:cs="Times New Roman" w:ascii="Calibri" w:hAnsi="Calibri"/>
          <w:sz w:val="22"/>
          <w:szCs w:val="22"/>
          <w:lang w:eastAsia="pl-PL" w:bidi="ar-SA"/>
        </w:rPr>
        <w:t>Wdrożenie:</w:t>
      </w:r>
    </w:p>
    <w:p>
      <w:pPr>
        <w:pStyle w:val="ListParagraph"/>
        <w:numPr>
          <w:ilvl w:val="3"/>
          <w:numId w:val="54"/>
        </w:numPr>
        <w:tabs>
          <w:tab w:val="clear" w:pos="720"/>
        </w:tabs>
        <w:suppressAutoHyphens w:val="false"/>
        <w:spacing w:lineRule="auto" w:line="276" w:before="0" w:after="200"/>
        <w:ind w:hanging="360" w:start="851"/>
        <w:contextualSpacing/>
        <w:jc w:val="both"/>
        <w:rPr>
          <w:rFonts w:ascii="Calibri" w:hAnsi="Calibri" w:eastAsia="Times New Roman" w:cs="Times New Roman"/>
          <w:b/>
          <w:bCs/>
          <w:color w:val="FF0000"/>
          <w:sz w:val="22"/>
          <w:szCs w:val="22"/>
          <w:u w:val="single"/>
          <w:lang w:eastAsia="pl-PL" w:bidi="ar-SA"/>
        </w:rPr>
      </w:pPr>
      <w:r>
        <w:rPr>
          <w:rFonts w:eastAsia="Times New Roman" w:cs="Times New Roman" w:ascii="Calibri" w:hAnsi="Calibri"/>
          <w:sz w:val="22"/>
          <w:szCs w:val="22"/>
          <w:lang w:eastAsia="pl-PL" w:bidi="ar-SA"/>
        </w:rPr>
        <w:t xml:space="preserve">Wraz z dostawą Zamawiający wymaga wdrożenia zaoferowanego rozwiązania. </w:t>
        <w:b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134" w:right="1134" w:gutter="0" w:header="1134" w:top="2927" w:footer="1134" w:bottom="2416"/>
      <w:pgNumType w:start="1"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swiss"/>
    <w:pitch w:val="variable"/>
  </w:font>
  <w:font w:name="Segoe UI">
    <w:charset w:val="ee" w:characterSet="windows-1250"/>
    <w:family w:val="swiss"/>
    <w:pitch w:val="variable"/>
  </w:font>
  <w:font w:name="Liberation Sans">
    <w:altName w:val="Arial"/>
    <w:charset w:val="ee" w:characterSet="windows-1250"/>
    <w:family w:val="swiss"/>
    <w:pitch w:val="variable"/>
  </w:font>
  <w:font w:name="Georgia">
    <w:charset w:val="ee" w:characterSet="windows-1250"/>
    <w:family w:val="roman"/>
    <w:pitch w:val="variable"/>
  </w:font>
  <w:font w:name="Arial">
    <w:charset w:val="ee" w:characterSet="windows-1250"/>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819" w:leader="none"/>
        <w:tab w:val="right" w:pos="9638" w:leader="none"/>
      </w:tabs>
      <w:rPr>
        <w:color w:val="000000"/>
      </w:rPr>
    </w:pPr>
    <w:r>
      <w:rPr/>
      <w:drawing>
        <wp:inline distT="0" distB="0" distL="0" distR="0">
          <wp:extent cx="6120130" cy="634365"/>
          <wp:effectExtent l="0" t="0" r="0" b="0"/>
          <wp:docPr id="7"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jpg"/>
                  <pic:cNvPicPr>
                    <a:picLocks noChangeAspect="1" noChangeArrowheads="1"/>
                  </pic:cNvPicPr>
                </pic:nvPicPr>
                <pic:blipFill>
                  <a:blip r:embed="rId1"/>
                  <a:stretch>
                    <a:fillRect/>
                  </a:stretch>
                </pic:blipFill>
                <pic:spPr bwMode="auto">
                  <a:xfrm>
                    <a:off x="0" y="0"/>
                    <a:ext cx="6120130" cy="634365"/>
                  </a:xfrm>
                  <a:prstGeom prst="rect">
                    <a:avLst/>
                  </a:prstGeom>
                  <a:noFill/>
                </pic:spPr>
              </pic:pic>
            </a:graphicData>
          </a:graphic>
        </wp:inline>
      </w:drawing>
    </w:r>
  </w:p>
  <w:p>
    <w:pPr>
      <w:pStyle w:val="normal1"/>
      <w:tabs>
        <w:tab w:val="clear" w:pos="720"/>
        <w:tab w:val="center" w:pos="4819" w:leader="none"/>
        <w:tab w:val="right" w:pos="9638" w:leader="none"/>
      </w:tabs>
      <w:jc w:val="end"/>
      <w:rPr/>
    </w:pPr>
    <w:r>
      <w:rPr/>
      <w:fldChar w:fldCharType="begin"/>
    </w:r>
    <w:r>
      <w:rPr/>
      <w:instrText xml:space="preserve"> PAGE </w:instrText>
    </w:r>
    <w:r>
      <w:rPr/>
      <w:fldChar w:fldCharType="separate"/>
    </w:r>
    <w:r>
      <w:rPr/>
      <w:t>29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drawing>
        <wp:anchor distT="0" distB="0" distL="0" distR="0" simplePos="0" relativeHeight="58" behindDoc="1" locked="0" layoutInCell="0" allowOverlap="1">
          <wp:simplePos x="0" y="0"/>
          <wp:positionH relativeFrom="margin">
            <wp:posOffset>355600</wp:posOffset>
          </wp:positionH>
          <wp:positionV relativeFrom="page">
            <wp:posOffset>833755</wp:posOffset>
          </wp:positionV>
          <wp:extent cx="1676400" cy="45085"/>
          <wp:effectExtent l="0" t="0" r="0" b="0"/>
          <wp:wrapSquare wrapText="bothSides"/>
          <wp:docPr id="4" name="Obra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5"/>
                  <pic:cNvPicPr>
                    <a:picLocks noChangeAspect="1" noChangeArrowheads="1"/>
                  </pic:cNvPicPr>
                </pic:nvPicPr>
                <pic:blipFill>
                  <a:blip r:embed="rId1"/>
                  <a:stretch>
                    <a:fillRect/>
                  </a:stretch>
                </pic:blipFill>
                <pic:spPr bwMode="auto">
                  <a:xfrm>
                    <a:off x="0" y="0"/>
                    <a:ext cx="1676400" cy="45085"/>
                  </a:xfrm>
                  <a:prstGeom prst="rect">
                    <a:avLst/>
                  </a:prstGeom>
                  <a:noFill/>
                </pic:spPr>
              </pic:pic>
            </a:graphicData>
          </a:graphic>
        </wp:anchor>
      </w:drawing>
      <w:drawing>
        <wp:anchor distT="0" distB="0" distL="0" distR="0" simplePos="0" relativeHeight="86" behindDoc="1" locked="0" layoutInCell="0" allowOverlap="1">
          <wp:simplePos x="0" y="0"/>
          <wp:positionH relativeFrom="margin">
            <wp:posOffset>4384040</wp:posOffset>
          </wp:positionH>
          <wp:positionV relativeFrom="page">
            <wp:posOffset>818515</wp:posOffset>
          </wp:positionV>
          <wp:extent cx="1676400" cy="45085"/>
          <wp:effectExtent l="0" t="0" r="0" b="0"/>
          <wp:wrapSquare wrapText="bothSides"/>
          <wp:docPr id="5" name="Obra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4"/>
                  <pic:cNvPicPr>
                    <a:picLocks noChangeAspect="1" noChangeArrowheads="1"/>
                  </pic:cNvPicPr>
                </pic:nvPicPr>
                <pic:blipFill>
                  <a:blip r:embed="rId2"/>
                  <a:stretch>
                    <a:fillRect/>
                  </a:stretch>
                </pic:blipFill>
                <pic:spPr bwMode="auto">
                  <a:xfrm>
                    <a:off x="0" y="0"/>
                    <a:ext cx="1676400" cy="45085"/>
                  </a:xfrm>
                  <a:prstGeom prst="rect">
                    <a:avLst/>
                  </a:prstGeom>
                  <a:noFill/>
                </pic:spPr>
              </pic:pic>
            </a:graphicData>
          </a:graphic>
        </wp:anchor>
      </w:drawing>
      <w:drawing>
        <wp:anchor distT="0" distB="0" distL="0" distR="0" simplePos="0" relativeHeight="114" behindDoc="1" locked="0" layoutInCell="0" allowOverlap="1">
          <wp:simplePos x="0" y="0"/>
          <wp:positionH relativeFrom="margin">
            <wp:align>center</wp:align>
          </wp:positionH>
          <wp:positionV relativeFrom="page">
            <wp:posOffset>211455</wp:posOffset>
          </wp:positionV>
          <wp:extent cx="1773555" cy="962025"/>
          <wp:effectExtent l="0" t="0" r="0" b="0"/>
          <wp:wrapSquare wrapText="bothSides"/>
          <wp:docPr id="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3"/>
                  <pic:cNvPicPr>
                    <a:picLocks noChangeAspect="1" noChangeArrowheads="1"/>
                  </pic:cNvPicPr>
                </pic:nvPicPr>
                <pic:blipFill>
                  <a:blip r:embed="rId3"/>
                  <a:stretch>
                    <a:fillRect/>
                  </a:stretch>
                </pic:blipFill>
                <pic:spPr bwMode="auto">
                  <a:xfrm>
                    <a:off x="0" y="0"/>
                    <a:ext cx="1773555" cy="962025"/>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rFonts w:ascii="Arial" w:hAnsi="Arial" w:eastAsia="Arial" w:cs="Arial"/>
        <w:b/>
        <w:color w:val="000000"/>
        <w:sz w:val="20"/>
        <w:szCs w:val="20"/>
      </w:rPr>
    </w:pPr>
    <w:r>
      <w:rPr>
        <w:rFonts w:eastAsia="Arial" w:cs="Arial" w:ascii="Arial" w:hAnsi="Arial"/>
        <w:b/>
        <w:color w:val="000000"/>
        <w:sz w:val="20"/>
        <w:szCs w:val="20"/>
      </w:rPr>
    </w:r>
  </w:p>
  <w:p>
    <w:pPr>
      <w:pStyle w:val="normal1"/>
      <w:rPr>
        <w:rFonts w:ascii="Arial" w:hAnsi="Arial" w:eastAsia="Arial" w:cs="Arial"/>
        <w:b/>
        <w:color w:val="000000"/>
        <w:sz w:val="20"/>
        <w:szCs w:val="20"/>
      </w:rPr>
    </w:pPr>
    <w:r>
      <w:rPr>
        <w:rFonts w:eastAsia="Arial" w:cs="Arial" w:ascii="Arial" w:hAnsi="Arial"/>
        <w:b/>
        <w:color w:val="000000"/>
        <w:sz w:val="20"/>
        <w:szCs w:val="20"/>
      </w:rPr>
    </w:r>
  </w:p>
  <w:p>
    <w:pPr>
      <w:pStyle w:val="normal1"/>
      <w:rPr>
        <w:rFonts w:ascii="Arial" w:hAnsi="Arial" w:eastAsia="Arial" w:cs="Arial"/>
        <w:b/>
        <w:color w:val="000000"/>
        <w:sz w:val="20"/>
        <w:szCs w:val="20"/>
      </w:rPr>
    </w:pPr>
    <w:r>
      <w:rPr>
        <w:rFonts w:eastAsia="Arial" w:cs="Arial" w:ascii="Arial" w:hAnsi="Arial"/>
        <w:b/>
        <w:color w:val="000000"/>
        <w:sz w:val="20"/>
        <w:szCs w:val="20"/>
      </w:rPr>
    </w:r>
  </w:p>
  <w:p>
    <w:pPr>
      <w:pStyle w:val="normal1"/>
      <w:rPr>
        <w:rFonts w:ascii="Arial" w:hAnsi="Arial" w:eastAsia="Arial" w:cs="Arial"/>
        <w:b/>
        <w:color w:val="000000"/>
        <w:sz w:val="20"/>
        <w:szCs w:val="20"/>
      </w:rPr>
    </w:pPr>
    <w:r>
      <w:rPr>
        <w:rFonts w:eastAsia="Arial" w:cs="Arial" w:ascii="Arial" w:hAnsi="Arial"/>
        <w:b/>
        <w:color w:val="000000"/>
        <w:sz w:val="20"/>
        <w:szCs w:val="20"/>
      </w:rPr>
    </w:r>
  </w:p>
  <w:p>
    <w:pPr>
      <w:pStyle w:val="normal1"/>
      <w:rPr>
        <w:rFonts w:ascii="Calibri" w:hAnsi="Calibri" w:cs="Calibri" w:asciiTheme="majorHAnsi" w:cstheme="majorHAnsi" w:hAnsiTheme="majorHAnsi"/>
        <w:bCs/>
        <w:i/>
        <w:iCs/>
        <w:color w:val="002060"/>
        <w:sz w:val="20"/>
        <w:szCs w:val="20"/>
      </w:rPr>
    </w:pPr>
    <w:r>
      <w:rPr>
        <w:rFonts w:eastAsia="Arial" w:cs="Calibri" w:ascii="Calibri" w:hAnsi="Calibri" w:asciiTheme="majorHAnsi" w:cstheme="majorHAnsi" w:hAnsiTheme="majorHAnsi"/>
        <w:bCs/>
        <w:i/>
        <w:iCs/>
        <w:color w:val="002060"/>
        <w:sz w:val="20"/>
        <w:szCs w:val="20"/>
      </w:rPr>
      <w:t xml:space="preserve">Zamówienie współfinansowane ze środków FUNDUSZY EUROPEJSKICH NA ROZWÓJ CYFROWY 2021-2027 (FERC) </w:t>
      <w:br/>
      <w:t xml:space="preserve">Priorytet II: Zaawansowane usługi cyfrowe, Działanie 2.2. – Wzmocnienie krajowego systemu cyberbezpieczeństwa. </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9">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0">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1">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2">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3">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4">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5">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6">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7">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8">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9">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0">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1">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2">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3">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4">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5">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6">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7">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8">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9">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0">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1">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2">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3">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4">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5">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6">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7">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8">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9">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0">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1">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2">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3">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4">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5">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6">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7">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8">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9">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0">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1">
    <w:lvl w:ilvl="0">
      <w:start w:val="2"/>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4">
    <w:lvl w:ilvl="0">
      <w:start w:val="1"/>
      <w:numFmt w:val="decimal"/>
      <w:lvlText w:val="%1."/>
      <w:lvlJc w:val="start"/>
      <w:pPr>
        <w:tabs>
          <w:tab w:val="num" w:pos="2770"/>
        </w:tabs>
        <w:ind w:start="2770" w:hanging="360"/>
      </w:pPr>
      <w:rPr/>
    </w:lvl>
    <w:lvl w:ilvl="1">
      <w:start w:val="1"/>
      <w:numFmt w:val="lowerLetter"/>
      <w:lvlText w:val="%2."/>
      <w:lvlJc w:val="start"/>
      <w:pPr>
        <w:tabs>
          <w:tab w:val="num" w:pos="2520"/>
        </w:tabs>
        <w:ind w:start="2520" w:hanging="360"/>
      </w:pPr>
      <w:rPr/>
    </w:lvl>
    <w:lvl w:ilvl="2">
      <w:start w:val="1"/>
      <w:numFmt w:val="lowerRoman"/>
      <w:lvlText w:val="%3."/>
      <w:lvlJc w:val="end"/>
      <w:pPr>
        <w:tabs>
          <w:tab w:val="num" w:pos="3240"/>
        </w:tabs>
        <w:ind w:start="3240" w:hanging="180"/>
      </w:pPr>
      <w:rPr/>
    </w:lvl>
    <w:lvl w:ilvl="3">
      <w:start w:val="1"/>
      <w:numFmt w:val="decimal"/>
      <w:lvlText w:val="%4."/>
      <w:lvlJc w:val="start"/>
      <w:pPr>
        <w:tabs>
          <w:tab w:val="num" w:pos="3960"/>
        </w:tabs>
        <w:ind w:start="3960" w:hanging="360"/>
      </w:pPr>
      <w:rPr>
        <w:b w:val="false"/>
        <w:color w:val="auto"/>
      </w:rPr>
    </w:lvl>
    <w:lvl w:ilvl="4">
      <w:start w:val="1"/>
      <w:numFmt w:val="lowerLetter"/>
      <w:lvlText w:val="%5."/>
      <w:lvlJc w:val="start"/>
      <w:pPr>
        <w:tabs>
          <w:tab w:val="num" w:pos="4680"/>
        </w:tabs>
        <w:ind w:start="4680" w:hanging="360"/>
      </w:pPr>
      <w:rPr/>
    </w:lvl>
    <w:lvl w:ilvl="5">
      <w:start w:val="1"/>
      <w:numFmt w:val="lowerRoman"/>
      <w:lvlText w:val="%6."/>
      <w:lvlJc w:val="end"/>
      <w:pPr>
        <w:tabs>
          <w:tab w:val="num" w:pos="5400"/>
        </w:tabs>
        <w:ind w:start="5400" w:hanging="180"/>
      </w:pPr>
      <w:rPr/>
    </w:lvl>
    <w:lvl w:ilvl="6">
      <w:start w:val="1"/>
      <w:numFmt w:val="decimal"/>
      <w:lvlText w:val="%7."/>
      <w:lvlJc w:val="start"/>
      <w:pPr>
        <w:tabs>
          <w:tab w:val="num" w:pos="6120"/>
        </w:tabs>
        <w:ind w:start="6120" w:hanging="360"/>
      </w:pPr>
      <w:rPr/>
    </w:lvl>
    <w:lvl w:ilvl="7">
      <w:start w:val="1"/>
      <w:numFmt w:val="lowerLetter"/>
      <w:lvlText w:val="%8."/>
      <w:lvlJc w:val="start"/>
      <w:pPr>
        <w:tabs>
          <w:tab w:val="num" w:pos="6840"/>
        </w:tabs>
        <w:ind w:start="6840" w:hanging="360"/>
      </w:pPr>
      <w:rPr/>
    </w:lvl>
    <w:lvl w:ilvl="8">
      <w:start w:val="1"/>
      <w:numFmt w:val="lowerRoman"/>
      <w:lvlText w:val="%9."/>
      <w:lvlJc w:val="end"/>
      <w:pPr>
        <w:tabs>
          <w:tab w:val="num" w:pos="7560"/>
        </w:tabs>
        <w:ind w:start="7560" w:hanging="180"/>
      </w:pPr>
      <w:rPr/>
    </w:lvl>
  </w:abstractNum>
  <w:abstractNum w:abstractNumId="55">
    <w:lvl w:ilvl="0">
      <w:start w:val="1"/>
      <w:numFmt w:val="decimal"/>
      <w:lvlText w:val="%1."/>
      <w:lvlJc w:val="start"/>
      <w:pPr>
        <w:tabs>
          <w:tab w:val="num" w:pos="0"/>
        </w:tabs>
        <w:ind w:start="360" w:hanging="360"/>
      </w:pPr>
      <w:rPr/>
    </w:lvl>
    <w:lvl w:ilvl="1">
      <w:start w:val="1"/>
      <w:numFmt w:val="bullet"/>
      <w:lvlText w:val=""/>
      <w:lvlJc w:val="start"/>
      <w:pPr>
        <w:tabs>
          <w:tab w:val="num" w:pos="0"/>
        </w:tabs>
        <w:ind w:start="720" w:hanging="360"/>
      </w:pPr>
      <w:rPr>
        <w:rFonts w:ascii="Symbol" w:hAnsi="Symbol" w:cs="Symbol" w:hint="default"/>
      </w:rPr>
    </w:lvl>
    <w:lvl w:ilvl="2">
      <w:start w:val="1"/>
      <w:numFmt w:val="lowerRoman"/>
      <w:lvlText w:val="%3)"/>
      <w:lvlJc w:val="start"/>
      <w:pPr>
        <w:tabs>
          <w:tab w:val="num" w:pos="0"/>
        </w:tabs>
        <w:ind w:start="1080" w:hanging="360"/>
      </w:pPr>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56">
    <w:lvl w:ilvl="0">
      <w:start w:val="1"/>
      <w:numFmt w:val="decimal"/>
      <w:lvlText w:val="%1."/>
      <w:lvlJc w:val="start"/>
      <w:pPr>
        <w:tabs>
          <w:tab w:val="num" w:pos="0"/>
        </w:tabs>
        <w:ind w:start="360" w:hanging="360"/>
      </w:pPr>
      <w:rPr/>
    </w:lvl>
    <w:lvl w:ilvl="1">
      <w:start w:val="1"/>
      <w:numFmt w:val="bullet"/>
      <w:lvlText w:val=""/>
      <w:lvlJc w:val="start"/>
      <w:pPr>
        <w:tabs>
          <w:tab w:val="num" w:pos="0"/>
        </w:tabs>
        <w:ind w:start="720" w:hanging="360"/>
      </w:pPr>
      <w:rPr>
        <w:rFonts w:ascii="Symbol" w:hAnsi="Symbol" w:cs="Symbol" w:hint="default"/>
      </w:rPr>
    </w:lvl>
    <w:lvl w:ilvl="2">
      <w:start w:val="1"/>
      <w:numFmt w:val="bullet"/>
      <w:lvlText w:val=""/>
      <w:lvlJc w:val="start"/>
      <w:pPr>
        <w:tabs>
          <w:tab w:val="num" w:pos="0"/>
        </w:tabs>
        <w:ind w:start="1080" w:hanging="360"/>
      </w:pPr>
      <w:rPr>
        <w:rFonts w:ascii="Symbol" w:hAnsi="Symbol" w:cs="Symbol" w:hint="default"/>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57">
    <w:lvl w:ilvl="0">
      <w:start w:val="1"/>
      <w:numFmt w:val="decimal"/>
      <w:lvlText w:val="%1."/>
      <w:lvlJc w:val="start"/>
      <w:pPr>
        <w:tabs>
          <w:tab w:val="num" w:pos="0"/>
        </w:tabs>
        <w:ind w:start="1170" w:hanging="360"/>
      </w:pPr>
      <w:rPr/>
    </w:lvl>
    <w:lvl w:ilvl="1">
      <w:start w:val="1"/>
      <w:numFmt w:val="lowerLetter"/>
      <w:lvlText w:val="%2."/>
      <w:lvlJc w:val="start"/>
      <w:pPr>
        <w:tabs>
          <w:tab w:val="num" w:pos="0"/>
        </w:tabs>
        <w:ind w:start="1980" w:hanging="360"/>
      </w:pPr>
      <w:rPr/>
    </w:lvl>
    <w:lvl w:ilvl="2">
      <w:start w:val="1"/>
      <w:numFmt w:val="lowerRoman"/>
      <w:lvlText w:val="%3."/>
      <w:lvlJc w:val="end"/>
      <w:pPr>
        <w:tabs>
          <w:tab w:val="num" w:pos="0"/>
        </w:tabs>
        <w:ind w:start="2700" w:hanging="180"/>
      </w:pPr>
      <w:rPr/>
    </w:lvl>
    <w:lvl w:ilvl="3">
      <w:start w:val="1"/>
      <w:numFmt w:val="decimal"/>
      <w:lvlText w:val="%4."/>
      <w:lvlJc w:val="start"/>
      <w:pPr>
        <w:tabs>
          <w:tab w:val="num" w:pos="0"/>
        </w:tabs>
        <w:ind w:start="3420" w:hanging="360"/>
      </w:pPr>
      <w:rPr/>
    </w:lvl>
    <w:lvl w:ilvl="4">
      <w:start w:val="1"/>
      <w:numFmt w:val="lowerLetter"/>
      <w:lvlText w:val="%5."/>
      <w:lvlJc w:val="start"/>
      <w:pPr>
        <w:tabs>
          <w:tab w:val="num" w:pos="0"/>
        </w:tabs>
        <w:ind w:start="4140" w:hanging="360"/>
      </w:pPr>
      <w:rPr/>
    </w:lvl>
    <w:lvl w:ilvl="5">
      <w:start w:val="1"/>
      <w:numFmt w:val="lowerRoman"/>
      <w:lvlText w:val="%6."/>
      <w:lvlJc w:val="end"/>
      <w:pPr>
        <w:tabs>
          <w:tab w:val="num" w:pos="0"/>
        </w:tabs>
        <w:ind w:start="4860" w:hanging="180"/>
      </w:pPr>
      <w:rPr/>
    </w:lvl>
    <w:lvl w:ilvl="6">
      <w:start w:val="1"/>
      <w:numFmt w:val="decimal"/>
      <w:lvlText w:val="%7."/>
      <w:lvlJc w:val="start"/>
      <w:pPr>
        <w:tabs>
          <w:tab w:val="num" w:pos="0"/>
        </w:tabs>
        <w:ind w:start="5580" w:hanging="360"/>
      </w:pPr>
      <w:rPr/>
    </w:lvl>
    <w:lvl w:ilvl="7">
      <w:start w:val="1"/>
      <w:numFmt w:val="lowerLetter"/>
      <w:lvlText w:val="%8."/>
      <w:lvlJc w:val="start"/>
      <w:pPr>
        <w:tabs>
          <w:tab w:val="num" w:pos="0"/>
        </w:tabs>
        <w:ind w:start="6300" w:hanging="360"/>
      </w:pPr>
      <w:rPr/>
    </w:lvl>
    <w:lvl w:ilvl="8">
      <w:start w:val="1"/>
      <w:numFmt w:val="lowerRoman"/>
      <w:lvlText w:val="%9."/>
      <w:lvlJc w:val="end"/>
      <w:pPr>
        <w:tabs>
          <w:tab w:val="num" w:pos="0"/>
        </w:tabs>
        <w:ind w:start="7020" w:hanging="180"/>
      </w:pPr>
      <w:rPr/>
    </w:lvl>
  </w:abstractNum>
  <w:abstractNum w:abstractNumId="58">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9">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0">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w="http://schemas.openxmlformats.org/wordprocessingml/2006/main">
  <w:zoom w:percent="100"/>
  <w:defaultTabStop w:val="720"/>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pl-PL"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start"/>
    </w:pPr>
    <w:rPr>
      <w:rFonts w:ascii="Liberation Serif" w:hAnsi="Liberation Serif" w:eastAsia="Liberation Serif" w:cs="Liberation Serif"/>
      <w:color w:val="auto"/>
      <w:kern w:val="0"/>
      <w:sz w:val="24"/>
      <w:szCs w:val="24"/>
      <w:lang w:val="pl-PL" w:eastAsia="zh-CN" w:bidi="hi-IN"/>
    </w:rPr>
  </w:style>
  <w:style w:type="paragraph" w:styleId="Heading1">
    <w:name w:val="heading 1"/>
    <w:basedOn w:val="normal1"/>
    <w:next w:val="normal1"/>
    <w:uiPriority w:val="9"/>
    <w:qFormat/>
    <w:pPr>
      <w:keepNext w:val="true"/>
      <w:keepLines/>
      <w:spacing w:before="240" w:after="120"/>
      <w:outlineLvl w:val="0"/>
    </w:pPr>
    <w:rPr>
      <w:rFonts w:ascii="Calibri" w:hAnsi="Calibri" w:eastAsia="Calibri" w:cs="Calibri"/>
      <w:color w:val="2F5496"/>
      <w:sz w:val="32"/>
      <w:szCs w:val="32"/>
    </w:rPr>
  </w:style>
  <w:style w:type="paragraph" w:styleId="Heading2">
    <w:name w:val="heading 2"/>
    <w:basedOn w:val="normal1"/>
    <w:next w:val="normal1"/>
    <w:uiPriority w:val="9"/>
    <w:semiHidden/>
    <w:unhideWhenUsed/>
    <w:qFormat/>
    <w:pPr>
      <w:keepNext w:val="true"/>
      <w:keepLines/>
      <w:spacing w:before="360" w:after="80"/>
      <w:outlineLvl w:val="1"/>
    </w:pPr>
    <w:rPr>
      <w:b/>
      <w:sz w:val="36"/>
      <w:szCs w:val="36"/>
    </w:rPr>
  </w:style>
  <w:style w:type="paragraph" w:styleId="Heading3">
    <w:name w:val="heading 3"/>
    <w:basedOn w:val="normal1"/>
    <w:next w:val="normal1"/>
    <w:uiPriority w:val="9"/>
    <w:semiHidden/>
    <w:unhideWhenUsed/>
    <w:qFormat/>
    <w:pPr>
      <w:keepNext w:val="true"/>
      <w:keepLines/>
      <w:spacing w:before="280" w:after="80"/>
      <w:outlineLvl w:val="2"/>
    </w:pPr>
    <w:rPr>
      <w:b/>
      <w:sz w:val="28"/>
      <w:szCs w:val="28"/>
    </w:rPr>
  </w:style>
  <w:style w:type="paragraph" w:styleId="Heading4">
    <w:name w:val="heading 4"/>
    <w:basedOn w:val="normal1"/>
    <w:next w:val="normal1"/>
    <w:uiPriority w:val="9"/>
    <w:semiHidden/>
    <w:unhideWhenUsed/>
    <w:qFormat/>
    <w:pPr>
      <w:keepNext w:val="true"/>
      <w:keepLines/>
      <w:spacing w:before="40" w:after="120"/>
      <w:outlineLvl w:val="3"/>
    </w:pPr>
    <w:rPr>
      <w:rFonts w:ascii="Calibri" w:hAnsi="Calibri" w:eastAsia="Calibri" w:cs="Calibri"/>
      <w:i/>
      <w:color w:val="2F5496"/>
    </w:rPr>
  </w:style>
  <w:style w:type="paragraph" w:styleId="Heading5">
    <w:name w:val="heading 5"/>
    <w:basedOn w:val="normal1"/>
    <w:next w:val="normal1"/>
    <w:uiPriority w:val="9"/>
    <w:semiHidden/>
    <w:unhideWhenUsed/>
    <w:qFormat/>
    <w:pPr>
      <w:keepNext w:val="true"/>
      <w:keepLines/>
      <w:spacing w:before="220" w:after="40"/>
      <w:outlineLvl w:val="4"/>
    </w:pPr>
    <w:rPr>
      <w:b/>
      <w:sz w:val="22"/>
      <w:szCs w:val="22"/>
    </w:rPr>
  </w:style>
  <w:style w:type="paragraph" w:styleId="Heading6">
    <w:name w:val="heading 6"/>
    <w:basedOn w:val="normal1"/>
    <w:next w:val="normal1"/>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4209d3"/>
    <w:rPr>
      <w:color w:themeColor="hyperlink" w:val="0000FF"/>
      <w:u w:val="single"/>
    </w:rPr>
  </w:style>
  <w:style w:type="character" w:styleId="UnresolvedMention" w:customStyle="1">
    <w:name w:val="Unresolved Mention"/>
    <w:basedOn w:val="DefaultParagraphFont"/>
    <w:uiPriority w:val="99"/>
    <w:semiHidden/>
    <w:unhideWhenUsed/>
    <w:qFormat/>
    <w:rsid w:val="004209d3"/>
    <w:rPr>
      <w:color w:val="605E5C"/>
      <w:shd w:fill="E1DFDD" w:val="clear"/>
    </w:rPr>
  </w:style>
  <w:style w:type="character" w:styleId="AkapitzlistZnak" w:customStyle="1">
    <w:name w:val="Akapit z listą Znak"/>
    <w:link w:val="ListParagraph"/>
    <w:uiPriority w:val="34"/>
    <w:qFormat/>
    <w:locked/>
    <w:rsid w:val="00642de9"/>
    <w:rPr>
      <w:rFonts w:cs="Mangal"/>
      <w:szCs w:val="21"/>
    </w:rPr>
  </w:style>
  <w:style w:type="character" w:styleId="CommentReference">
    <w:name w:val="annotation reference"/>
    <w:basedOn w:val="DefaultParagraphFont"/>
    <w:uiPriority w:val="99"/>
    <w:semiHidden/>
    <w:unhideWhenUsed/>
    <w:qFormat/>
    <w:rsid w:val="00b97ce2"/>
    <w:rPr>
      <w:sz w:val="16"/>
      <w:szCs w:val="16"/>
    </w:rPr>
  </w:style>
  <w:style w:type="character" w:styleId="TekstkomentarzaZnak" w:customStyle="1">
    <w:name w:val="Tekst komentarza Znak"/>
    <w:basedOn w:val="DefaultParagraphFont"/>
    <w:link w:val="CommentText"/>
    <w:uiPriority w:val="99"/>
    <w:semiHidden/>
    <w:qFormat/>
    <w:rsid w:val="00b97ce2"/>
    <w:rPr>
      <w:rFonts w:cs="Mangal"/>
      <w:sz w:val="20"/>
      <w:szCs w:val="18"/>
    </w:rPr>
  </w:style>
  <w:style w:type="character" w:styleId="TematkomentarzaZnak" w:customStyle="1">
    <w:name w:val="Temat komentarza Znak"/>
    <w:basedOn w:val="TekstkomentarzaZnak"/>
    <w:link w:val="annotationsubject"/>
    <w:uiPriority w:val="99"/>
    <w:semiHidden/>
    <w:qFormat/>
    <w:rsid w:val="00b97ce2"/>
    <w:rPr>
      <w:rFonts w:cs="Mangal"/>
      <w:b/>
      <w:bCs/>
      <w:sz w:val="20"/>
      <w:szCs w:val="18"/>
    </w:rPr>
  </w:style>
  <w:style w:type="character" w:styleId="TekstdymkaZnak" w:customStyle="1">
    <w:name w:val="Tekst dymka Znak"/>
    <w:basedOn w:val="DefaultParagraphFont"/>
    <w:link w:val="BalloonText"/>
    <w:uiPriority w:val="99"/>
    <w:semiHidden/>
    <w:qFormat/>
    <w:rsid w:val="006811f6"/>
    <w:rPr>
      <w:rFonts w:ascii="Segoe UI" w:hAnsi="Segoe UI" w:cs="Mangal"/>
      <w:sz w:val="18"/>
      <w:szCs w:val="16"/>
    </w:rPr>
  </w:style>
  <w:style w:type="character" w:styleId="inqyif" w:customStyle="1">
    <w:name w:val="inqyif"/>
    <w:basedOn w:val="DefaultParagraphFont"/>
    <w:qFormat/>
    <w:rsid w:val="00e2408d"/>
    <w:rPr/>
  </w:style>
  <w:style w:type="character" w:styleId="Znakinumeracjiuser">
    <w:name w:val="Znaki numeracji (user)"/>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customStyle="1">
    <w:name w:val="Indeks (user)"/>
    <w:basedOn w:val="Normal"/>
    <w:qFormat/>
    <w:pPr>
      <w:suppressLineNumbers/>
    </w:pPr>
    <w:rPr>
      <w:rFonts w:cs="Arial"/>
    </w:rPr>
  </w:style>
  <w:style w:type="paragraph" w:styleId="Gwkaistopka">
    <w:name w:val="Główka i stopka"/>
    <w:basedOn w:val="Normal"/>
    <w:qFormat/>
    <w:pPr/>
    <w:rPr/>
  </w:style>
  <w:style w:type="paragraph" w:styleId="Gwkaistopkauser" w:customStyle="1">
    <w:name w:val="Główka i stopka (user)"/>
    <w:basedOn w:val="Normal"/>
    <w:qFormat/>
    <w:pPr/>
    <w:rPr/>
  </w:style>
  <w:style w:type="paragraph" w:styleId="Header">
    <w:name w:val="header"/>
    <w:basedOn w:val="Gwkaistopkauser"/>
    <w:next w:val="BodyText"/>
    <w:pPr/>
    <w:rPr/>
  </w:style>
  <w:style w:type="paragraph" w:styleId="normal1" w:customStyle="1">
    <w:name w:val="normal1"/>
    <w:qFormat/>
    <w:pPr>
      <w:widowControl/>
      <w:suppressAutoHyphens w:val="true"/>
      <w:bidi w:val="0"/>
      <w:spacing w:before="0" w:after="0"/>
      <w:jc w:val="start"/>
    </w:pPr>
    <w:rPr>
      <w:rFonts w:ascii="Liberation Serif" w:hAnsi="Liberation Serif" w:eastAsia="Liberation Serif" w:cs="Liberation Serif"/>
      <w:color w:val="auto"/>
      <w:kern w:val="0"/>
      <w:sz w:val="24"/>
      <w:szCs w:val="24"/>
      <w:lang w:val="pl-PL" w:eastAsia="zh-CN" w:bidi="hi-IN"/>
    </w:rPr>
  </w:style>
  <w:style w:type="paragraph" w:styleId="Title">
    <w:name w:val="Title"/>
    <w:basedOn w:val="normal1"/>
    <w:next w:val="normal1"/>
    <w:uiPriority w:val="10"/>
    <w:qFormat/>
    <w:pPr>
      <w:keepNext w:val="true"/>
      <w:keepLines/>
      <w:spacing w:before="480" w:after="120"/>
    </w:pPr>
    <w:rPr>
      <w:b/>
      <w:sz w:val="72"/>
      <w:szCs w:val="72"/>
    </w:rPr>
  </w:style>
  <w:style w:type="paragraph" w:styleId="Subtitle">
    <w:name w:val="Subtitle"/>
    <w:basedOn w:val="normal1"/>
    <w:next w:val="normal1"/>
    <w:uiPriority w:val="11"/>
    <w:qFormat/>
    <w:pPr>
      <w:keepNext w:val="true"/>
      <w:keepLines/>
      <w:spacing w:before="360" w:after="80"/>
    </w:pPr>
    <w:rPr>
      <w:rFonts w:ascii="Georgia" w:hAnsi="Georgia" w:eastAsia="Georgia" w:cs="Georgia"/>
      <w:i/>
      <w:color w:val="666666"/>
      <w:sz w:val="48"/>
      <w:szCs w:val="48"/>
    </w:rPr>
  </w:style>
  <w:style w:type="paragraph" w:styleId="Footer">
    <w:name w:val="footer"/>
    <w:basedOn w:val="Gwkaistopkauser"/>
    <w:pPr/>
    <w:rPr/>
  </w:style>
  <w:style w:type="paragraph" w:styleId="ListParagraph">
    <w:name w:val="List Paragraph"/>
    <w:basedOn w:val="Normal"/>
    <w:link w:val="AkapitzlistZnak"/>
    <w:uiPriority w:val="34"/>
    <w:qFormat/>
    <w:rsid w:val="00b266cb"/>
    <w:pPr>
      <w:spacing w:before="0" w:after="0"/>
      <w:ind w:start="720"/>
      <w:contextualSpacing/>
    </w:pPr>
    <w:rPr>
      <w:rFonts w:cs="Mangal"/>
      <w:szCs w:val="21"/>
    </w:rPr>
  </w:style>
  <w:style w:type="paragraph" w:styleId="CommentText">
    <w:name w:val="annotation text"/>
    <w:basedOn w:val="Normal"/>
    <w:link w:val="TekstkomentarzaZnak"/>
    <w:uiPriority w:val="99"/>
    <w:semiHidden/>
    <w:unhideWhenUsed/>
    <w:rsid w:val="00b97ce2"/>
    <w:pPr/>
    <w:rPr>
      <w:rFonts w:cs="Mangal"/>
      <w:sz w:val="20"/>
      <w:szCs w:val="18"/>
    </w:rPr>
  </w:style>
  <w:style w:type="paragraph" w:styleId="annotationsubject">
    <w:name w:val="annotation subject"/>
    <w:basedOn w:val="CommentText"/>
    <w:next w:val="CommentText"/>
    <w:link w:val="TematkomentarzaZnak"/>
    <w:uiPriority w:val="99"/>
    <w:semiHidden/>
    <w:unhideWhenUsed/>
    <w:qFormat/>
    <w:rsid w:val="00b97ce2"/>
    <w:pPr/>
    <w:rPr>
      <w:b/>
      <w:bCs/>
    </w:rPr>
  </w:style>
  <w:style w:type="paragraph" w:styleId="BalloonText">
    <w:name w:val="Balloon Text"/>
    <w:basedOn w:val="Normal"/>
    <w:link w:val="TekstdymkaZnak"/>
    <w:uiPriority w:val="99"/>
    <w:semiHidden/>
    <w:unhideWhenUsed/>
    <w:qFormat/>
    <w:rsid w:val="006811f6"/>
    <w:pPr/>
    <w:rPr>
      <w:rFonts w:ascii="Segoe UI" w:hAnsi="Segoe UI" w:cs="Mangal"/>
      <w:sz w:val="18"/>
      <w:szCs w:val="16"/>
    </w:rPr>
  </w:style>
  <w:style w:type="paragraph" w:styleId="Zawartoramki">
    <w:name w:val="Zawartość ramki"/>
    <w:basedOn w:val="Normal"/>
    <w:qFormat/>
    <w:pPr/>
    <w:rPr/>
  </w:style>
  <w:style w:type="paragraph" w:styleId="Zawartoramkiuser">
    <w:name w:val="Zawartość ramki (user)"/>
    <w:basedOn w:val="Normal"/>
    <w:qFormat/>
    <w:pPr/>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ela-Siatka1">
    <w:name w:val="Tabela - Siatka1"/>
    <w:basedOn w:val="Standardowy"/>
    <w:uiPriority w:val="59"/>
    <w:rsid w:val="0036138d"/>
    <w:rPr>
      <w:sz w:val="22"/>
      <w:szCs w:val="22"/>
      <w:lang w:eastAsia="pl-PL"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a-Siatka">
    <w:name w:val="Table Grid"/>
    <w:basedOn w:val="Standardowy"/>
    <w:uiPriority w:val="39"/>
    <w:rsid w:val="0036138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3.jpeg"/>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Relationship Id="rId3"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DCC34-147A-4CF8-8B1C-01259EBF8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Application>LibreOffice/26.2.5.2$Windows_X86_64 LibreOffice_project/cd7284b4cbbfeb507e630c1aac019f4157393acb</Application>
  <AppVersion>15.0000</AppVersion>
  <Pages>29</Pages>
  <Words>7171</Words>
  <Characters>49502</Characters>
  <CharactersWithSpaces>56047</CharactersWithSpaces>
  <Paragraphs>537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2026-08-14T07:48:00Z</dcterms:created>
  <dc:creator>Kinga Staszewska</dc:creator>
  <dc:description/>
  <dc:language>pl-PL</dc:language>
  <cp:lastModifiedBy>Magdalena Weremczuk</cp:lastModifiedBy>
  <dcterms:modified xsi:type="dcterms:W3CDTF">2026-08-18T14:25:32Z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