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B5EC" w14:textId="77777777" w:rsidR="003C77E1" w:rsidRPr="00FE3D9D" w:rsidRDefault="003C77E1" w:rsidP="007170A3">
      <w:pPr>
        <w:jc w:val="right"/>
        <w:rPr>
          <w:rFonts w:ascii="Arial" w:hAnsi="Arial" w:cs="Arial"/>
          <w:sz w:val="20"/>
          <w:szCs w:val="20"/>
        </w:rPr>
      </w:pPr>
    </w:p>
    <w:p w14:paraId="10822D6C" w14:textId="77777777" w:rsidR="00FE3E8F" w:rsidRDefault="00FE3E8F" w:rsidP="00771BF6">
      <w:pPr>
        <w:spacing w:after="113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742CC6" w14:textId="1569A240" w:rsidR="007170A3" w:rsidRPr="00FE3D9D" w:rsidRDefault="007170A3" w:rsidP="00771BF6">
      <w:pPr>
        <w:spacing w:after="113"/>
        <w:jc w:val="center"/>
        <w:rPr>
          <w:rFonts w:ascii="Arial" w:hAnsi="Arial" w:cs="Arial"/>
          <w:i/>
          <w:iCs/>
          <w:sz w:val="20"/>
          <w:szCs w:val="20"/>
        </w:rPr>
      </w:pPr>
      <w:r w:rsidRPr="00FE3D9D">
        <w:rPr>
          <w:rFonts w:ascii="Arial" w:hAnsi="Arial" w:cs="Arial"/>
          <w:b/>
          <w:bCs/>
          <w:sz w:val="20"/>
          <w:szCs w:val="20"/>
        </w:rPr>
        <w:t xml:space="preserve">WYMAGANE PRZEZ ZAMAWIAJĄCEGO PARAMETRY TECHNICZNE </w:t>
      </w:r>
      <w:r w:rsidR="00771BF6" w:rsidRPr="00FE3D9D">
        <w:rPr>
          <w:rFonts w:ascii="Arial" w:hAnsi="Arial" w:cs="Arial"/>
          <w:b/>
          <w:bCs/>
          <w:sz w:val="20"/>
          <w:szCs w:val="20"/>
        </w:rPr>
        <w:t>SPRZĘTU</w:t>
      </w:r>
    </w:p>
    <w:p w14:paraId="7BE69A31" w14:textId="77777777" w:rsidR="007170A3" w:rsidRPr="00FE3D9D" w:rsidRDefault="007170A3" w:rsidP="007170A3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D62850" w:rsidRPr="0068101F" w14:paraId="442DF7E2" w14:textId="77777777" w:rsidTr="00D62850">
        <w:trPr>
          <w:trHeight w:val="915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8B64A14" w14:textId="77777777" w:rsidR="007170A3" w:rsidRPr="0068101F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3B9CCE8D" w14:textId="6BC1BCC5" w:rsidR="007170A3" w:rsidRPr="0068101F" w:rsidRDefault="007170A3" w:rsidP="00FE3D9D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t>Wykaz parametrów technicznych wymaganych przez Zamawiającego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09ACC5D3" w14:textId="2A53CBE4" w:rsidR="007170A3" w:rsidRPr="0068101F" w:rsidRDefault="007170A3" w:rsidP="00FE3D9D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Parametry i dane techniczne oferowanego </w:t>
            </w:r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przez Wykonawcę</w:t>
            </w:r>
            <w:r w:rsidR="00FE3D9D" w:rsidRPr="00681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sprzętu</w:t>
            </w:r>
          </w:p>
        </w:tc>
      </w:tr>
      <w:tr w:rsidR="00D62850" w:rsidRPr="0068101F" w14:paraId="78D60CD9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328B76D7" w14:textId="77777777" w:rsidR="007170A3" w:rsidRPr="0068101F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2B5AD280" w14:textId="77777777" w:rsidR="007170A3" w:rsidRPr="0068101F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564A3B69" w14:textId="77777777" w:rsidR="007170A3" w:rsidRPr="0068101F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</w:t>
            </w:r>
          </w:p>
        </w:tc>
      </w:tr>
      <w:tr w:rsidR="00637210" w:rsidRPr="0068101F" w14:paraId="701C23AA" w14:textId="77777777" w:rsidTr="007F43C6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EC1E932" w14:textId="115D00D0" w:rsidR="00637210" w:rsidRPr="0068101F" w:rsidRDefault="00771BF6" w:rsidP="00771BF6">
            <w:pPr>
              <w:pStyle w:val="Zawartotabeli"/>
              <w:numPr>
                <w:ilvl w:val="0"/>
                <w:numId w:val="5"/>
              </w:numPr>
              <w:tabs>
                <w:tab w:val="left" w:pos="725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Obroża telemetryczna dla niedźwiedzi </w:t>
            </w:r>
          </w:p>
        </w:tc>
      </w:tr>
      <w:tr w:rsidR="00771BF6" w:rsidRPr="0068101F" w14:paraId="705E2F03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2911E62" w14:textId="4F5AD040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4473F31" w14:textId="52253227" w:rsidR="00771BF6" w:rsidRPr="0068101F" w:rsidRDefault="00771BF6" w:rsidP="00771BF6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Waga: do 1000 gram.</w:t>
            </w:r>
          </w:p>
        </w:tc>
        <w:tc>
          <w:tcPr>
            <w:tcW w:w="3187" w:type="dxa"/>
          </w:tcPr>
          <w:p w14:paraId="0C4FE704" w14:textId="77777777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1BF6" w:rsidRPr="0068101F" w14:paraId="640306FB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683E6685" w14:textId="7E08405D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CEFF3D4" w14:textId="3FA2C97C" w:rsidR="00771BF6" w:rsidRPr="0068101F" w:rsidRDefault="00771BF6" w:rsidP="00771BF6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 xml:space="preserve">Obudowa: wytrzymała, wodoodporna, odporna na uszkodzenia. </w:t>
            </w:r>
          </w:p>
        </w:tc>
        <w:tc>
          <w:tcPr>
            <w:tcW w:w="3187" w:type="dxa"/>
          </w:tcPr>
          <w:p w14:paraId="5C69DAFD" w14:textId="77777777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1BF6" w:rsidRPr="0068101F" w14:paraId="0420AF52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632FBAAD" w14:textId="3B67C58B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919637A" w14:textId="656BC011" w:rsidR="00771BF6" w:rsidRPr="0068101F" w:rsidRDefault="001A0AA7" w:rsidP="00771BF6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Pas: wytrzymały, odporny na rozciąganie, przetarcia, wilgoć, uszkodzenia mechaniczne, bezpieczny dla zwierząt.</w:t>
            </w:r>
          </w:p>
        </w:tc>
        <w:tc>
          <w:tcPr>
            <w:tcW w:w="3187" w:type="dxa"/>
          </w:tcPr>
          <w:p w14:paraId="1E0A16FD" w14:textId="77777777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1BF6" w:rsidRPr="0068101F" w14:paraId="667AA78B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4F2943C" w14:textId="156CF53E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92DAB86" w14:textId="77E87360" w:rsidR="00771BF6" w:rsidRPr="0068101F" w:rsidRDefault="001A0AA7" w:rsidP="00771BF6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Zakres temperatury pracy: nie mniejszy niż od –20°C do +50°C.</w:t>
            </w:r>
          </w:p>
        </w:tc>
        <w:tc>
          <w:tcPr>
            <w:tcW w:w="3187" w:type="dxa"/>
          </w:tcPr>
          <w:p w14:paraId="0819F28C" w14:textId="77777777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1BF6" w:rsidRPr="0068101F" w14:paraId="63EAEB2D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FB42801" w14:textId="6B0FC79D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D6F55DB" w14:textId="3500D416" w:rsidR="00771BF6" w:rsidRPr="0068101F" w:rsidRDefault="005E73A0" w:rsidP="00771BF6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Mechanizm odpięcia typu drop-off umożliwiający zdalne uruchomienie odpięcia.</w:t>
            </w:r>
          </w:p>
        </w:tc>
        <w:tc>
          <w:tcPr>
            <w:tcW w:w="3187" w:type="dxa"/>
          </w:tcPr>
          <w:p w14:paraId="033D5B79" w14:textId="77777777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1BF6" w:rsidRPr="0068101F" w14:paraId="6CD55941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3FE1450" w14:textId="5A3F331D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D5B12BD" w14:textId="7BE541D2" w:rsidR="00771BF6" w:rsidRPr="0068101F" w:rsidRDefault="00B24678" w:rsidP="00771BF6">
            <w:pPr>
              <w:pStyle w:val="Zawartotabeli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Wbudowany układ ładowania solarnego wspomagający zasilanie z głównych ogniw.</w:t>
            </w:r>
          </w:p>
        </w:tc>
        <w:tc>
          <w:tcPr>
            <w:tcW w:w="3187" w:type="dxa"/>
          </w:tcPr>
          <w:p w14:paraId="69EAB958" w14:textId="77777777" w:rsidR="00771BF6" w:rsidRPr="0068101F" w:rsidRDefault="00771BF6" w:rsidP="00771BF6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022141D8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FCE0F38" w14:textId="69DCA1ED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24678" w:rsidRPr="00B24678" w14:paraId="054DFF8D" w14:textId="77777777" w:rsidTr="00B246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2BFB20" w14:textId="77777777" w:rsidR="00B24678" w:rsidRPr="00DC462E" w:rsidRDefault="00B24678" w:rsidP="00B24678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1C5180B1" w14:textId="45BFA7AE" w:rsidR="00B24678" w:rsidRPr="00B24678" w:rsidRDefault="007F43C6" w:rsidP="00B24678">
            <w:pPr>
              <w:widowControl/>
              <w:rPr>
                <w:rFonts w:ascii="Arial" w:eastAsia="Times New Roman" w:hAnsi="Arial" w:cs="Arial"/>
                <w:vanish/>
                <w:sz w:val="20"/>
                <w:szCs w:val="20"/>
                <w:lang w:eastAsia="en-GB"/>
              </w:rPr>
            </w:pPr>
            <w:r w:rsidRPr="007F43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Deklarowany czas pracy bez ładowania solarnego – minimum 4 lata przy maks. 24 pozycjach GNSS i 12 transmisjach/dobę w 4G oraz standardowej pracy VHF.</w:t>
            </w:r>
          </w:p>
          <w:p w14:paraId="2F2AB3E2" w14:textId="463C8A03" w:rsidR="001A0AA7" w:rsidRPr="0068101F" w:rsidRDefault="001A0AA7" w:rsidP="001A0AA7">
            <w:pPr>
              <w:pStyle w:val="Zawartotabeli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87" w:type="dxa"/>
          </w:tcPr>
          <w:p w14:paraId="1443A518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4799E9DD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D5F4877" w14:textId="1E0980BE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6BFC15" w14:textId="78730EA4" w:rsidR="001A0AA7" w:rsidRPr="0068101F" w:rsidRDefault="00B24678" w:rsidP="001A0AA7">
            <w:pPr>
              <w:pStyle w:val="Zawartotabeli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Wielosystemowy odbiornik GNSS o czułości śledzenia nie gorszej niż –165 dBm.</w:t>
            </w:r>
          </w:p>
        </w:tc>
        <w:tc>
          <w:tcPr>
            <w:tcW w:w="3187" w:type="dxa"/>
          </w:tcPr>
          <w:p w14:paraId="08B29F67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4C627013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397BE52D" w14:textId="6D5FFF26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24678" w:rsidRPr="00B24678" w14:paraId="5115CA34" w14:textId="77777777" w:rsidTr="00B246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5A8E66" w14:textId="77777777" w:rsidR="00B24678" w:rsidRPr="00DC462E" w:rsidRDefault="00B24678" w:rsidP="00B24678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4BFAFD23" w14:textId="44671F95" w:rsidR="00B24678" w:rsidRPr="00B24678" w:rsidRDefault="007F43C6" w:rsidP="00B24678">
            <w:pPr>
              <w:widowControl/>
              <w:rPr>
                <w:rFonts w:ascii="Arial" w:eastAsia="Times New Roman" w:hAnsi="Arial" w:cs="Arial"/>
                <w:vanish/>
                <w:sz w:val="20"/>
                <w:szCs w:val="20"/>
                <w:lang w:eastAsia="en-GB"/>
              </w:rPr>
            </w:pPr>
            <w:r w:rsidRPr="007F43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Podstawowa transmisja danych przez 4G/LTE lub nowszą technologię.</w:t>
            </w:r>
          </w:p>
          <w:p w14:paraId="6113C776" w14:textId="1AC5697D" w:rsidR="001A0AA7" w:rsidRPr="0068101F" w:rsidRDefault="001A0AA7" w:rsidP="001A0AA7">
            <w:pPr>
              <w:pStyle w:val="Zawartotabeli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87" w:type="dxa"/>
          </w:tcPr>
          <w:p w14:paraId="4ED7EB15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211EF76E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590FFDED" w14:textId="635D0D75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58D5074" w14:textId="23E09D9A" w:rsidR="001A0AA7" w:rsidRPr="0068101F" w:rsidRDefault="00B24678" w:rsidP="001A0AA7">
            <w:pPr>
              <w:pStyle w:val="Zawartotabeli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Dodatkowa możliwość transmisji przez 2G albo inny uzupełniający kanał komunikacji o zwiększonym zasięgu.</w:t>
            </w:r>
          </w:p>
        </w:tc>
        <w:tc>
          <w:tcPr>
            <w:tcW w:w="3187" w:type="dxa"/>
          </w:tcPr>
          <w:p w14:paraId="29544670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01CF800D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31DB0CD2" w14:textId="20320D56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B87AB35" w14:textId="07337CC1" w:rsidR="001A0AA7" w:rsidRPr="0068101F" w:rsidRDefault="00B24678" w:rsidP="001A0AA7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Niezależna transmisja satelitarna zapewniająca pokrycie Polski, np. LEO-SAT lub rozwiązanie równoważne.</w:t>
            </w:r>
          </w:p>
        </w:tc>
        <w:tc>
          <w:tcPr>
            <w:tcW w:w="3187" w:type="dxa"/>
          </w:tcPr>
          <w:p w14:paraId="5EBFDEB4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30E97789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51BF0176" w14:textId="75261CDD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7A7E555" w14:textId="6889A82D" w:rsidR="001A0AA7" w:rsidRPr="0068101F" w:rsidRDefault="00B24678" w:rsidP="001A0AA7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Automatyczne zapisywanie danych przy braku łączności i ich przesłanie po odzyskaniu połączenia.</w:t>
            </w:r>
          </w:p>
        </w:tc>
        <w:tc>
          <w:tcPr>
            <w:tcW w:w="3187" w:type="dxa"/>
          </w:tcPr>
          <w:p w14:paraId="6F15C312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3FFC0BBE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10703257" w14:textId="4C03D522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13)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C76B9B5" w14:textId="672065E5" w:rsidR="001A0AA7" w:rsidRPr="0068101F" w:rsidRDefault="00B24678" w:rsidP="00B24678">
            <w:pPr>
              <w:tabs>
                <w:tab w:val="left" w:pos="703"/>
              </w:tabs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Niezależny nadajnik VHF umożliwiający lokalizację naziemną zwierzęcia lub obroży.</w:t>
            </w:r>
          </w:p>
        </w:tc>
        <w:tc>
          <w:tcPr>
            <w:tcW w:w="3187" w:type="dxa"/>
          </w:tcPr>
          <w:p w14:paraId="51B24B35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65FAB668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35B498C" w14:textId="6D5D1281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14)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0214B50" w14:textId="0E24A5DA" w:rsidR="001A0AA7" w:rsidRPr="0068101F" w:rsidRDefault="00B24678" w:rsidP="001A0AA7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Trzyosiowy akcelerometr z możliwością programowania parametrów rejestracji i zdalnego przesyłania danych.</w:t>
            </w:r>
          </w:p>
        </w:tc>
        <w:tc>
          <w:tcPr>
            <w:tcW w:w="3187" w:type="dxa"/>
          </w:tcPr>
          <w:p w14:paraId="38531288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033B4AB7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01914DC" w14:textId="59CC04F5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15)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D41DCD0" w14:textId="2F34FC4C" w:rsidR="001A0AA7" w:rsidRPr="0068101F" w:rsidRDefault="00B24678" w:rsidP="00B24678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Zdalnie regulowany interwał GNSS co najmniej od 5 minut do 1 pomiaru na 24 godziny.</w:t>
            </w:r>
          </w:p>
        </w:tc>
        <w:tc>
          <w:tcPr>
            <w:tcW w:w="3187" w:type="dxa"/>
          </w:tcPr>
          <w:p w14:paraId="42C10DCD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7F75B86D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14AE0EC6" w14:textId="2E62FCCC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16)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4796F8F" w14:textId="5FD2FFC9" w:rsidR="001A0AA7" w:rsidRPr="0068101F" w:rsidRDefault="00B24678" w:rsidP="001A0AA7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Zdalna konfiguracja harmonogramów pracy GNSS i transmisji.</w:t>
            </w:r>
          </w:p>
        </w:tc>
        <w:tc>
          <w:tcPr>
            <w:tcW w:w="3187" w:type="dxa"/>
          </w:tcPr>
          <w:p w14:paraId="71B9C98A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2D3C9556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30ECFE5F" w14:textId="5E9B4BF1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17)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EE75862" w14:textId="4FE2E071" w:rsidR="001A0AA7" w:rsidRPr="0068101F" w:rsidRDefault="00B24678" w:rsidP="001A0AA7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Rejestracja co najmniej: pozycji, czasu, wysokości, prędkości, kierunku, temperatury, danych ACC, poziomu baterii, jakości pozycji i informacji diagnostycznych.</w:t>
            </w:r>
          </w:p>
        </w:tc>
        <w:tc>
          <w:tcPr>
            <w:tcW w:w="3187" w:type="dxa"/>
          </w:tcPr>
          <w:p w14:paraId="5C366138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731AD2DC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904EF65" w14:textId="1FFCD0CF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lastRenderedPageBreak/>
              <w:t>18)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D60D380" w14:textId="62F920C5" w:rsidR="001A0AA7" w:rsidRPr="0068101F" w:rsidRDefault="00B24678" w:rsidP="00B24678">
            <w:pPr>
              <w:widowControl/>
              <w:tabs>
                <w:tab w:val="left" w:pos="1630"/>
              </w:tabs>
              <w:spacing w:line="32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Pamięć umożliwiająca przechowywanie danych przez co najmniej 12 miesięcy przy braku transmisji.</w:t>
            </w:r>
            <w:r w:rsidRPr="0068101F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3187" w:type="dxa"/>
          </w:tcPr>
          <w:p w14:paraId="669EBF39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7D0BADE0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2D7787DD" w14:textId="76FFB2AE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19)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DA3EB38" w14:textId="775CF9ED" w:rsidR="001A0AA7" w:rsidRPr="0068101F" w:rsidRDefault="00B24678" w:rsidP="001A0AA7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Dostęp do panelu internetowego lub rozwiązania równoważnego umożliwiającego podgląd danych, zmianę ustawień i diagnostykę.</w:t>
            </w:r>
          </w:p>
        </w:tc>
        <w:tc>
          <w:tcPr>
            <w:tcW w:w="3187" w:type="dxa"/>
          </w:tcPr>
          <w:p w14:paraId="7483BD8D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1AD8E852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3AA8D05" w14:textId="7CAC99C4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20)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0F0A300" w14:textId="063DD6B4" w:rsidR="001A0AA7" w:rsidRPr="0068101F" w:rsidRDefault="00B24678" w:rsidP="001A0AA7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Możliwość zdalnej konfiguracji parametrów GNSS, transmisji i akcelerometru.</w:t>
            </w:r>
          </w:p>
        </w:tc>
        <w:tc>
          <w:tcPr>
            <w:tcW w:w="3187" w:type="dxa"/>
          </w:tcPr>
          <w:p w14:paraId="6AAA1AF4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6D5FA4F3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36B44FF0" w14:textId="77559B90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E6B68E7" w14:textId="62352545" w:rsidR="00B24678" w:rsidRPr="0068101F" w:rsidRDefault="00B24678" w:rsidP="001A0AA7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Możliwość zapisu zestawów konfiguracji i zastosowania ich do wybranych lub wszystkich obroży.</w:t>
            </w:r>
          </w:p>
          <w:p w14:paraId="1403B450" w14:textId="77777777" w:rsidR="001A0AA7" w:rsidRPr="0068101F" w:rsidRDefault="001A0AA7" w:rsidP="00B24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7" w:type="dxa"/>
            <w:vAlign w:val="center"/>
          </w:tcPr>
          <w:p w14:paraId="39A44108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1C70B8CD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947DE57" w14:textId="1C7F6B2C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76AEB95" w14:textId="24C16B74" w:rsidR="001A0AA7" w:rsidRPr="0068101F" w:rsidRDefault="00B24678" w:rsidP="00B24678">
            <w:pPr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Eksport danych co najmniej do CSV, KMZ oraz SHP.</w:t>
            </w:r>
          </w:p>
        </w:tc>
        <w:tc>
          <w:tcPr>
            <w:tcW w:w="3187" w:type="dxa"/>
            <w:vAlign w:val="center"/>
          </w:tcPr>
          <w:p w14:paraId="3F077718" w14:textId="77777777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517E3908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233EDA5C" w14:textId="0B732EEE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23)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D4BC261" w14:textId="733944C8" w:rsidR="001A0AA7" w:rsidRPr="0068101F" w:rsidRDefault="00B24678" w:rsidP="001A0AA7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Automatyczny transfer danych do systemów Zamawiającego, np. poprzez API, SFTP, e-mail lub rozwiązanie równoważne.</w:t>
            </w:r>
          </w:p>
        </w:tc>
        <w:tc>
          <w:tcPr>
            <w:tcW w:w="3187" w:type="dxa"/>
            <w:vAlign w:val="center"/>
          </w:tcPr>
          <w:p w14:paraId="1E6CDD9B" w14:textId="3B570620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3967A215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2F508A52" w14:textId="25976C53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24)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FD74674" w14:textId="4FB7088F" w:rsidR="001A0AA7" w:rsidRPr="0068101F" w:rsidRDefault="00B24678" w:rsidP="001A0AA7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Aktualizacja oprogramowania sprzętowego urządzenia online, jeżeli jest obsługiwana przez oferowany model.</w:t>
            </w:r>
          </w:p>
        </w:tc>
        <w:tc>
          <w:tcPr>
            <w:tcW w:w="3187" w:type="dxa"/>
            <w:vAlign w:val="center"/>
          </w:tcPr>
          <w:p w14:paraId="40B6A1BD" w14:textId="231DFB40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0AA7" w:rsidRPr="0068101F" w14:paraId="70574547" w14:textId="77777777" w:rsidTr="007F43C6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FEE343F" w14:textId="1F29D6E9" w:rsidR="001A0AA7" w:rsidRPr="0068101F" w:rsidRDefault="007A4D28" w:rsidP="001A0AA7">
            <w:pPr>
              <w:pStyle w:val="Zawartotabeli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t>Obroża z modułem akustycznym i elektrycznym</w:t>
            </w:r>
          </w:p>
        </w:tc>
      </w:tr>
      <w:tr w:rsidR="001A0AA7" w:rsidRPr="0068101F" w14:paraId="48F1EE82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5F09A050" w14:textId="7E2537CF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F581015" w14:textId="3E59F239" w:rsidR="001A0AA7" w:rsidRPr="0068101F" w:rsidRDefault="007A4D28" w:rsidP="001A0AA7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Spełnienie wszystkich parametrów obroży telemetrycznej określonych w części I.</w:t>
            </w:r>
          </w:p>
        </w:tc>
        <w:tc>
          <w:tcPr>
            <w:tcW w:w="3187" w:type="dxa"/>
            <w:vAlign w:val="center"/>
          </w:tcPr>
          <w:p w14:paraId="406DA223" w14:textId="309D94FE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64C83F80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C5043C4" w14:textId="37789B24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8FF82EC" w14:textId="066F1CDC" w:rsidR="001A0AA7" w:rsidRPr="0068101F" w:rsidRDefault="007A4D28" w:rsidP="007A4D28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Moduł automatycznego generowania bodźca akustycznego i elektrycznego współpracujący z terenowymi nadajnikami radiowymi.</w:t>
            </w:r>
          </w:p>
        </w:tc>
        <w:tc>
          <w:tcPr>
            <w:tcW w:w="3187" w:type="dxa"/>
            <w:vAlign w:val="center"/>
          </w:tcPr>
          <w:p w14:paraId="1BBAB541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361722C4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203C1E3" w14:textId="0BCDCEB0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8BC6FB9" w14:textId="335FE5E5" w:rsidR="001A0AA7" w:rsidRPr="0068101F" w:rsidRDefault="007A4D28" w:rsidP="007A4D28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Możliwość pracy w trybie akustycznym, akustyczno-elektrycznym oraz całkowitego wyłączenia funkcji bodźców.</w:t>
            </w:r>
            <w:r w:rsidRPr="0068101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87" w:type="dxa"/>
            <w:vAlign w:val="center"/>
          </w:tcPr>
          <w:p w14:paraId="3C3771D7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0F9E98D0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C60444B" w14:textId="6978F088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428B820" w14:textId="46B023DA" w:rsidR="001A0AA7" w:rsidRPr="0068101F" w:rsidRDefault="007A4D28" w:rsidP="001A0AA7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Bodziec elektryczny uruchamiany dopiero po uprzednim wygenerowaniu sygnału lub sekwencji sygnałów akustycznych.</w:t>
            </w:r>
          </w:p>
        </w:tc>
        <w:tc>
          <w:tcPr>
            <w:tcW w:w="3187" w:type="dxa"/>
            <w:vAlign w:val="center"/>
          </w:tcPr>
          <w:p w14:paraId="092C9D63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57A98AD2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6BF0C7DB" w14:textId="595142F2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F300982" w14:textId="1F54DF8E" w:rsidR="001A0AA7" w:rsidRPr="0068101F" w:rsidRDefault="007A4D28" w:rsidP="001A0AA7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Możliwość konfiguracji parametrów sekwencji bodźców.</w:t>
            </w:r>
          </w:p>
        </w:tc>
        <w:tc>
          <w:tcPr>
            <w:tcW w:w="3187" w:type="dxa"/>
            <w:vAlign w:val="center"/>
          </w:tcPr>
          <w:p w14:paraId="40E977E6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094508B5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457CA3F" w14:textId="47FC6BCF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6F67E45" w14:textId="3C4734A5" w:rsidR="001A0AA7" w:rsidRPr="0068101F" w:rsidRDefault="007A4D28" w:rsidP="007A4D28">
            <w:pPr>
              <w:pStyle w:val="Zawartotabeli"/>
              <w:tabs>
                <w:tab w:val="left" w:pos="11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Energia bodźca elektrycznego regulowana, w zakresie nieprzekraczającym 0,5–1 J.</w:t>
            </w:r>
          </w:p>
        </w:tc>
        <w:tc>
          <w:tcPr>
            <w:tcW w:w="3187" w:type="dxa"/>
            <w:vAlign w:val="center"/>
          </w:tcPr>
          <w:p w14:paraId="2956FD6D" w14:textId="7D9EEB6F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0B35AD82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FA18185" w14:textId="6BB4C69F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1F2B99C" w14:textId="0DC33FCB" w:rsidR="001A0AA7" w:rsidRPr="0068101F" w:rsidRDefault="007A4D28" w:rsidP="001A0AA7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Bodziec akustyczny słyszalny dla niedźwiedzia w warunkach terenowych i odróżnialny od tła.</w:t>
            </w:r>
          </w:p>
        </w:tc>
        <w:tc>
          <w:tcPr>
            <w:tcW w:w="3187" w:type="dxa"/>
            <w:vAlign w:val="center"/>
          </w:tcPr>
          <w:p w14:paraId="07C77DE7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54A1A6A5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386BAD85" w14:textId="5476C06C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5EC8FC6" w14:textId="0F4A2696" w:rsidR="001A0AA7" w:rsidRPr="0068101F" w:rsidRDefault="007A4D28" w:rsidP="001A0AA7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Zestaw 20 terenowych nadajników radiowych współpracujących z obrożami.</w:t>
            </w:r>
          </w:p>
        </w:tc>
        <w:tc>
          <w:tcPr>
            <w:tcW w:w="3187" w:type="dxa"/>
            <w:vAlign w:val="center"/>
          </w:tcPr>
          <w:p w14:paraId="2F546B35" w14:textId="6CD12D73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24607F3B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3ED77BE" w14:textId="189F1870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817AA08" w14:textId="7AF41B48" w:rsidR="001A0AA7" w:rsidRPr="0068101F" w:rsidRDefault="007A4D28" w:rsidP="001A0AA7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Żywotność baterii nadajnika terenowego – minimum 6 miesięcy.</w:t>
            </w:r>
          </w:p>
        </w:tc>
        <w:tc>
          <w:tcPr>
            <w:tcW w:w="3187" w:type="dxa"/>
            <w:vAlign w:val="center"/>
          </w:tcPr>
          <w:p w14:paraId="3EE2F868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0629EA43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547EF6E" w14:textId="33E4CD45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3B91086" w14:textId="4BACCAE5" w:rsidR="001A0AA7" w:rsidRPr="0068101F" w:rsidRDefault="007A4D28" w:rsidP="001A0AA7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Urządzenie lub rozwiązanie umożliwiające terenowe testowanie rzeczywistego zasięgu nadajników.</w:t>
            </w:r>
          </w:p>
        </w:tc>
        <w:tc>
          <w:tcPr>
            <w:tcW w:w="3187" w:type="dxa"/>
            <w:vAlign w:val="center"/>
          </w:tcPr>
          <w:p w14:paraId="5DBBBC0B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2C00C422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1F883BE9" w14:textId="2C324CA8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86F210D" w14:textId="39A4F727" w:rsidR="001A0AA7" w:rsidRPr="0068101F" w:rsidRDefault="007A4D28" w:rsidP="001A0AA7">
            <w:pPr>
              <w:pStyle w:val="Zawartotabeli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Możliwość ograniczenia maksymalnej liczby bodźców elektrycznych podczas jednego wejścia do strefy lub w określonym czasie.</w:t>
            </w:r>
          </w:p>
        </w:tc>
        <w:tc>
          <w:tcPr>
            <w:tcW w:w="3187" w:type="dxa"/>
            <w:vAlign w:val="center"/>
          </w:tcPr>
          <w:p w14:paraId="6A53CD88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A7" w:rsidRPr="0068101F" w14:paraId="4715BBF0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7797208" w14:textId="5ADD18F1" w:rsidR="001A0AA7" w:rsidRPr="0068101F" w:rsidRDefault="001A0AA7" w:rsidP="001A0AA7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91889C8" w14:textId="494E7E6F" w:rsidR="001A0AA7" w:rsidRPr="0068101F" w:rsidRDefault="007A4D28" w:rsidP="007A4D28">
            <w:pPr>
              <w:pStyle w:val="Zawartotabeli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Cs/>
                <w:sz w:val="20"/>
                <w:szCs w:val="20"/>
              </w:rPr>
              <w:t>Rejestracja zadziałań modułu albo możliwość uzyskania informacji o jego aktywacji.</w:t>
            </w:r>
          </w:p>
        </w:tc>
        <w:tc>
          <w:tcPr>
            <w:tcW w:w="3187" w:type="dxa"/>
            <w:vAlign w:val="center"/>
          </w:tcPr>
          <w:p w14:paraId="0D6A6E4A" w14:textId="77777777" w:rsidR="001A0AA7" w:rsidRPr="0068101F" w:rsidRDefault="001A0AA7" w:rsidP="001A0AA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7FB8E00E" w14:textId="77777777" w:rsidTr="006672A5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0456599F" w14:textId="150E3408" w:rsidR="00DC462E" w:rsidRPr="0068101F" w:rsidRDefault="00DC462E" w:rsidP="00DC462E">
            <w:pPr>
              <w:pStyle w:val="Zawartotabeli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Abonament i usługi transmisji</w:t>
            </w:r>
          </w:p>
        </w:tc>
      </w:tr>
      <w:tr w:rsidR="00DC462E" w:rsidRPr="0068101F" w14:paraId="6550D914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2787B3C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31C9A45" w14:textId="5489333D" w:rsidR="00DC462E" w:rsidRPr="0068101F" w:rsidRDefault="00DC462E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Abonament dla wszystkich obroży do 31.12.20</w:t>
            </w:r>
            <w:r w:rsidR="00B96C28">
              <w:rPr>
                <w:rFonts w:ascii="Arial" w:hAnsi="Arial" w:cs="Arial"/>
                <w:sz w:val="20"/>
                <w:szCs w:val="20"/>
              </w:rPr>
              <w:t>27</w:t>
            </w:r>
            <w:r w:rsidRPr="00DC462E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3187" w:type="dxa"/>
            <w:vAlign w:val="center"/>
          </w:tcPr>
          <w:p w14:paraId="4B570B14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4D52899D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69A4B3CC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lastRenderedPageBreak/>
              <w:t>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E9289A6" w14:textId="005F359D" w:rsidR="00DC462E" w:rsidRPr="0068101F" w:rsidRDefault="00DC462E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Transmisja danych przez sieci komórkowe na terenie Polski w cenie abonamentu.</w:t>
            </w:r>
          </w:p>
        </w:tc>
        <w:tc>
          <w:tcPr>
            <w:tcW w:w="3187" w:type="dxa"/>
            <w:vAlign w:val="center"/>
          </w:tcPr>
          <w:p w14:paraId="06B79EC4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05F7D805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2761FA7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8A93EC8" w14:textId="4A77C0C5" w:rsidR="00DC462E" w:rsidRPr="00DC462E" w:rsidRDefault="00DC462E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Transmisja satelitarna w cenie abonamentu zgodnie z wymaganiami OPZ.</w:t>
            </w:r>
          </w:p>
        </w:tc>
        <w:tc>
          <w:tcPr>
            <w:tcW w:w="3187" w:type="dxa"/>
            <w:vAlign w:val="center"/>
          </w:tcPr>
          <w:p w14:paraId="4FDA54E6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75A29B11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1026F0D7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7186228" w14:textId="5AF8D31C" w:rsidR="00DC462E" w:rsidRPr="00DC462E" w:rsidRDefault="00DC462E" w:rsidP="00DC462E">
            <w:pPr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Dostęp do panelu internetowego i danych historycznych.</w:t>
            </w:r>
          </w:p>
        </w:tc>
        <w:tc>
          <w:tcPr>
            <w:tcW w:w="3187" w:type="dxa"/>
            <w:vAlign w:val="center"/>
          </w:tcPr>
          <w:p w14:paraId="246945AC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790EE5A0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A23D53B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B83497" w14:textId="5054DF92" w:rsidR="00DC462E" w:rsidRPr="00DC462E" w:rsidRDefault="00DC462E" w:rsidP="006672A5">
            <w:pPr>
              <w:tabs>
                <w:tab w:val="left" w:pos="970"/>
              </w:tabs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Przechowywanie danych przez cały okres obowiązywania abonamentu.</w:t>
            </w:r>
          </w:p>
        </w:tc>
        <w:tc>
          <w:tcPr>
            <w:tcW w:w="3187" w:type="dxa"/>
            <w:vAlign w:val="center"/>
          </w:tcPr>
          <w:p w14:paraId="74C65DF1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4FD0249F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B8C2DBA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BC3031F" w14:textId="4AE71D2C" w:rsidR="00DC462E" w:rsidRPr="00DC462E" w:rsidRDefault="00DC462E" w:rsidP="006672A5">
            <w:pPr>
              <w:pStyle w:val="Zawartotabeli"/>
              <w:tabs>
                <w:tab w:val="left" w:pos="11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Koszty aktywacji, SIM/eSIM, kont użytkowników i innych usług niezbędnych do działania zawarte w cenie.</w:t>
            </w:r>
          </w:p>
        </w:tc>
        <w:tc>
          <w:tcPr>
            <w:tcW w:w="3187" w:type="dxa"/>
            <w:vAlign w:val="center"/>
          </w:tcPr>
          <w:p w14:paraId="635BB232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48DBE4DC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F19B648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6A7C4E9" w14:textId="6992ED7B" w:rsidR="00DC462E" w:rsidRPr="00DC462E" w:rsidRDefault="00DC462E" w:rsidP="00DC462E">
            <w:pPr>
              <w:tabs>
                <w:tab w:val="left" w:pos="1060"/>
              </w:tabs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Brak dodatkowych opłat za zmianę ustawień i standardowe pobieranie danych.</w:t>
            </w:r>
          </w:p>
        </w:tc>
        <w:tc>
          <w:tcPr>
            <w:tcW w:w="3187" w:type="dxa"/>
            <w:vAlign w:val="center"/>
          </w:tcPr>
          <w:p w14:paraId="0D59CB60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32F2D8A2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36E7B499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20821E7" w14:textId="1A278A67" w:rsidR="00DC462E" w:rsidRPr="00DC462E" w:rsidRDefault="00DC462E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Dostęp do API, automatycznego eksportu lub rozwiązania równoważnego.</w:t>
            </w:r>
          </w:p>
        </w:tc>
        <w:tc>
          <w:tcPr>
            <w:tcW w:w="3187" w:type="dxa"/>
            <w:vAlign w:val="center"/>
          </w:tcPr>
          <w:p w14:paraId="3D099055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0858898D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296D8AD5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A73C7E5" w14:textId="59E15283" w:rsidR="00DC462E" w:rsidRPr="00DC462E" w:rsidRDefault="00DC462E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Zapewnienie ciągłości transmisji do 31.12.20</w:t>
            </w:r>
            <w:r w:rsidR="004F2D98">
              <w:rPr>
                <w:rFonts w:ascii="Arial" w:hAnsi="Arial" w:cs="Arial"/>
                <w:sz w:val="20"/>
                <w:szCs w:val="20"/>
              </w:rPr>
              <w:t>27</w:t>
            </w:r>
            <w:r w:rsidRPr="00DC462E">
              <w:rPr>
                <w:rFonts w:ascii="Arial" w:hAnsi="Arial" w:cs="Arial"/>
                <w:sz w:val="20"/>
                <w:szCs w:val="20"/>
              </w:rPr>
              <w:t xml:space="preserve"> r. pomimo zmian technologii stosowanych przez operatorów.</w:t>
            </w:r>
          </w:p>
        </w:tc>
        <w:tc>
          <w:tcPr>
            <w:tcW w:w="3187" w:type="dxa"/>
            <w:vAlign w:val="center"/>
          </w:tcPr>
          <w:p w14:paraId="76C89712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2E" w:rsidRPr="0068101F" w14:paraId="0884AC5C" w14:textId="77777777" w:rsidTr="006672A5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7A18B03" w14:textId="77777777" w:rsidR="00DC462E" w:rsidRPr="0068101F" w:rsidRDefault="00DC462E" w:rsidP="006672A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B5ED30D" w14:textId="43DBD0ED" w:rsidR="00DC462E" w:rsidRPr="00DC462E" w:rsidRDefault="00DC462E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62E">
              <w:rPr>
                <w:rFonts w:ascii="Arial" w:hAnsi="Arial" w:cs="Arial"/>
                <w:sz w:val="20"/>
                <w:szCs w:val="20"/>
              </w:rPr>
              <w:t>Wsparcie techniczne przez okres obowiązywania abonamentu.</w:t>
            </w:r>
          </w:p>
        </w:tc>
        <w:tc>
          <w:tcPr>
            <w:tcW w:w="3187" w:type="dxa"/>
            <w:vAlign w:val="center"/>
          </w:tcPr>
          <w:p w14:paraId="1FD34ED9" w14:textId="77777777" w:rsidR="00DC462E" w:rsidRPr="0068101F" w:rsidRDefault="00DC462E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4A481B22" w14:textId="77777777" w:rsidTr="007F43C6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5A2313F" w14:textId="602F94FF" w:rsidR="00EB3288" w:rsidRPr="0068101F" w:rsidRDefault="00EB3288" w:rsidP="00DC462E">
            <w:pPr>
              <w:pStyle w:val="Zawartotabeli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t>Odbiornik telemetryczny VHF</w:t>
            </w:r>
          </w:p>
        </w:tc>
      </w:tr>
      <w:tr w:rsidR="00EB3288" w:rsidRPr="0068101F" w14:paraId="7A37F2F0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B45D665" w14:textId="77777777" w:rsidR="00EB3288" w:rsidRPr="0068101F" w:rsidRDefault="00EB3288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13EC1DF" w14:textId="3010A048" w:rsidR="00EB3288" w:rsidRPr="0068101F" w:rsidRDefault="003755B7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Kompatybilność ze wszystkimi nadajnikami VHF zamontowanymi w oferowanych obrożach.</w:t>
            </w:r>
            <w:r w:rsidR="0068101F" w:rsidRPr="006810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6FA07867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6AAE08C1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F6FD434" w14:textId="77777777" w:rsidR="00EB3288" w:rsidRPr="0068101F" w:rsidRDefault="00EB3288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02CA1D7" w14:textId="22745B2D" w:rsidR="00EB3288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Zakres częstotliwości obejmujący częstotliwości pracy dostarczonych nadajników.</w:t>
            </w:r>
          </w:p>
        </w:tc>
        <w:tc>
          <w:tcPr>
            <w:tcW w:w="3187" w:type="dxa"/>
            <w:vAlign w:val="center"/>
          </w:tcPr>
          <w:p w14:paraId="1B496B82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7AF9644B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3192CC99" w14:textId="77777777" w:rsidR="00EB3288" w:rsidRPr="0068101F" w:rsidRDefault="00EB3288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7BFE66B" w14:textId="5386D99F" w:rsidR="00EB3288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Możliwość zapisania co najmniej 30 częstotliwości wraz z nazwami lub identyfikatorami.</w:t>
            </w:r>
          </w:p>
        </w:tc>
        <w:tc>
          <w:tcPr>
            <w:tcW w:w="3187" w:type="dxa"/>
            <w:vAlign w:val="center"/>
          </w:tcPr>
          <w:p w14:paraId="47F772BC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28B203F9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C8994D2" w14:textId="77777777" w:rsidR="00EB3288" w:rsidRPr="0068101F" w:rsidRDefault="00EB3288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51F14A1" w14:textId="55D5FB17" w:rsidR="00EB3288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Automatyczne skanowanie zapisanych częstotliwości.</w:t>
            </w:r>
          </w:p>
        </w:tc>
        <w:tc>
          <w:tcPr>
            <w:tcW w:w="3187" w:type="dxa"/>
            <w:vAlign w:val="center"/>
          </w:tcPr>
          <w:p w14:paraId="24674440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6B5CFE60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504F2E30" w14:textId="77777777" w:rsidR="00EB3288" w:rsidRPr="0068101F" w:rsidRDefault="00EB3288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E45CE18" w14:textId="4F806546" w:rsidR="00EB3288" w:rsidRPr="0068101F" w:rsidRDefault="0068101F" w:rsidP="0068101F">
            <w:pPr>
              <w:tabs>
                <w:tab w:val="left" w:pos="970"/>
              </w:tabs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Regulacja wzmocnienia umożliwiająca lokalizację nadajnika z dużej i małej odległości.</w:t>
            </w:r>
          </w:p>
        </w:tc>
        <w:tc>
          <w:tcPr>
            <w:tcW w:w="3187" w:type="dxa"/>
            <w:vAlign w:val="center"/>
          </w:tcPr>
          <w:p w14:paraId="42D4736D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72F9BD65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6997AAA6" w14:textId="77777777" w:rsidR="00EB3288" w:rsidRPr="0068101F" w:rsidRDefault="00EB3288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A7A9338" w14:textId="79E13377" w:rsidR="00EB3288" w:rsidRPr="0068101F" w:rsidRDefault="0068101F" w:rsidP="006672A5">
            <w:pPr>
              <w:pStyle w:val="Zawartotabeli"/>
              <w:tabs>
                <w:tab w:val="left" w:pos="11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Dźwiękowa i graficzna informacja o odebranym sygnale oraz wskaźnik jego siły.</w:t>
            </w:r>
          </w:p>
        </w:tc>
        <w:tc>
          <w:tcPr>
            <w:tcW w:w="3187" w:type="dxa"/>
            <w:vAlign w:val="center"/>
          </w:tcPr>
          <w:p w14:paraId="4B6EC148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20A8C9D3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71E3CE83" w14:textId="77777777" w:rsidR="00EB3288" w:rsidRPr="0068101F" w:rsidRDefault="00EB3288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767D7D" w14:textId="350D425F" w:rsidR="00EB3288" w:rsidRPr="0068101F" w:rsidRDefault="0068101F" w:rsidP="00EB3288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Czułość nie gorsza niż –130 dBm albo parametr równoważny zapewniający skuteczną lokalizację dostarczonych nadajników.</w:t>
            </w:r>
          </w:p>
        </w:tc>
        <w:tc>
          <w:tcPr>
            <w:tcW w:w="3187" w:type="dxa"/>
            <w:vAlign w:val="center"/>
          </w:tcPr>
          <w:p w14:paraId="1BB8EEAB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1EBFF9B8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65363DF" w14:textId="77777777" w:rsidR="00EB3288" w:rsidRPr="0068101F" w:rsidRDefault="00EB3288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82B08AD" w14:textId="03B1E17E" w:rsidR="00EB3288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Czas pracy co najmniej 15 godzin na jednym ładowaniu.</w:t>
            </w:r>
          </w:p>
        </w:tc>
        <w:tc>
          <w:tcPr>
            <w:tcW w:w="3187" w:type="dxa"/>
            <w:vAlign w:val="center"/>
          </w:tcPr>
          <w:p w14:paraId="35F8A433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31920AAF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5BBF2004" w14:textId="152BF9C1" w:rsidR="00EB3288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E3C30D0" w14:textId="2EFDC7E0" w:rsidR="00EB3288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Gniazdo słuchawkowe.</w:t>
            </w:r>
          </w:p>
        </w:tc>
        <w:tc>
          <w:tcPr>
            <w:tcW w:w="3187" w:type="dxa"/>
            <w:vAlign w:val="center"/>
          </w:tcPr>
          <w:p w14:paraId="762982F6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88" w:rsidRPr="0068101F" w14:paraId="295175DC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5A90E7B4" w14:textId="05E8CDB4" w:rsidR="00EB3288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415C294" w14:textId="7E8E6A7A" w:rsidR="00EB3288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Zakres temperatur pracy co najmniej od –20°C do +50°C.</w:t>
            </w:r>
          </w:p>
        </w:tc>
        <w:tc>
          <w:tcPr>
            <w:tcW w:w="3187" w:type="dxa"/>
            <w:vAlign w:val="center"/>
          </w:tcPr>
          <w:p w14:paraId="51D6679B" w14:textId="77777777" w:rsidR="00EB3288" w:rsidRPr="0068101F" w:rsidRDefault="00EB3288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4B77A972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138ADC00" w14:textId="4AF3B6C3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1269FA0" w14:textId="2C5E207F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Ładowarka i komplet wyposażenia niezbędnego do użytkowania.</w:t>
            </w:r>
          </w:p>
        </w:tc>
        <w:tc>
          <w:tcPr>
            <w:tcW w:w="3187" w:type="dxa"/>
            <w:vAlign w:val="center"/>
          </w:tcPr>
          <w:p w14:paraId="51C69CBC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327A2938" w14:textId="77777777" w:rsidTr="007F43C6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8878805" w14:textId="77348466" w:rsidR="0068101F" w:rsidRPr="0068101F" w:rsidRDefault="0068101F" w:rsidP="00DC462E">
            <w:pPr>
              <w:pStyle w:val="Zawartotabeli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236993947"/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t>Ręczna antena kierunkowa VHF</w:t>
            </w:r>
          </w:p>
        </w:tc>
      </w:tr>
      <w:tr w:rsidR="0068101F" w:rsidRPr="0068101F" w14:paraId="615673AF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138C176C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06B480E" w14:textId="4708A25C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Kompatybilność z dostarczonym odbiornikiem i nadajnikami obroży.</w:t>
            </w:r>
          </w:p>
        </w:tc>
        <w:tc>
          <w:tcPr>
            <w:tcW w:w="3187" w:type="dxa"/>
            <w:vAlign w:val="center"/>
          </w:tcPr>
          <w:p w14:paraId="2EB7EEF2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4C4C6683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CA0E7A3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3E33F51" w14:textId="5753A388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Zysk nie mniejszy niż 5 dBi.</w:t>
            </w:r>
          </w:p>
        </w:tc>
        <w:tc>
          <w:tcPr>
            <w:tcW w:w="3187" w:type="dxa"/>
            <w:vAlign w:val="center"/>
          </w:tcPr>
          <w:p w14:paraId="5000DDDE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384D26F4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2A0599C4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lastRenderedPageBreak/>
              <w:t>3)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3E8B671" w14:textId="40243064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Kierunkowość umożliwiająca określenie kierunku źródła sygnału.</w:t>
            </w:r>
          </w:p>
        </w:tc>
        <w:tc>
          <w:tcPr>
            <w:tcW w:w="3187" w:type="dxa"/>
            <w:vAlign w:val="center"/>
          </w:tcPr>
          <w:p w14:paraId="01ABD669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0097BA1B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2DC29F3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3420872" w14:textId="6581464A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Elastyczne elementy odporne na użytkowanie terenowe.</w:t>
            </w:r>
          </w:p>
        </w:tc>
        <w:tc>
          <w:tcPr>
            <w:tcW w:w="3187" w:type="dxa"/>
            <w:vAlign w:val="center"/>
          </w:tcPr>
          <w:p w14:paraId="274AEDF6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288A3B54" w14:textId="77777777" w:rsidTr="007F43C6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57CB5913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F2521BE" w14:textId="683E2DA9" w:rsidR="0068101F" w:rsidRPr="0068101F" w:rsidRDefault="0068101F" w:rsidP="006672A5">
            <w:pPr>
              <w:tabs>
                <w:tab w:val="left" w:pos="970"/>
              </w:tabs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Przewód i złącze kompatybilne z dostarczonym odbiornikiem.</w:t>
            </w:r>
          </w:p>
        </w:tc>
        <w:tc>
          <w:tcPr>
            <w:tcW w:w="3187" w:type="dxa"/>
            <w:vAlign w:val="center"/>
          </w:tcPr>
          <w:p w14:paraId="3E8C5449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ela-Siatka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68101F" w:rsidRPr="0068101F" w14:paraId="0DFA1DCC" w14:textId="77777777" w:rsidTr="008945FC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bookmarkEnd w:id="0"/>
          <w:p w14:paraId="10F123E1" w14:textId="60A98E54" w:rsidR="0068101F" w:rsidRPr="0068101F" w:rsidRDefault="0068101F" w:rsidP="00DC462E">
            <w:pPr>
              <w:pStyle w:val="Zawartotabeli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b/>
                <w:bCs/>
                <w:sz w:val="20"/>
                <w:szCs w:val="20"/>
              </w:rPr>
              <w:t>Antena samochodowa VHF</w:t>
            </w:r>
          </w:p>
        </w:tc>
      </w:tr>
      <w:tr w:rsidR="0068101F" w:rsidRPr="0068101F" w14:paraId="309CBBD5" w14:textId="77777777" w:rsidTr="008945FC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4F55D148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A4A9D83" w14:textId="4A5EF9FE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Kompatybilność z dostarczonym odbiornikiem i nadajnikami obroży.</w:t>
            </w:r>
          </w:p>
        </w:tc>
        <w:tc>
          <w:tcPr>
            <w:tcW w:w="3187" w:type="dxa"/>
            <w:vAlign w:val="center"/>
          </w:tcPr>
          <w:p w14:paraId="0B8962B7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35EEBAF2" w14:textId="77777777" w:rsidTr="008945FC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7DE9A72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1D7C682" w14:textId="7265EF4F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Zysk nie mniejszy niż 6 dB albo parametr równoważny.</w:t>
            </w:r>
          </w:p>
        </w:tc>
        <w:tc>
          <w:tcPr>
            <w:tcW w:w="3187" w:type="dxa"/>
            <w:vAlign w:val="center"/>
          </w:tcPr>
          <w:p w14:paraId="4DE71A74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64460EB3" w14:textId="77777777" w:rsidTr="008945FC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2286A87D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2FA7D55" w14:textId="7AED3C5D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Możliwość wykrywania i monitorowania sygnału VHF podczas przemieszczania się pojazdu.</w:t>
            </w:r>
          </w:p>
        </w:tc>
        <w:tc>
          <w:tcPr>
            <w:tcW w:w="3187" w:type="dxa"/>
            <w:vAlign w:val="center"/>
          </w:tcPr>
          <w:p w14:paraId="7EA6E903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1B1AB1A5" w14:textId="77777777" w:rsidTr="008945FC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6EAED78B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48FECA0" w14:textId="1477F3D9" w:rsidR="0068101F" w:rsidRPr="0068101F" w:rsidRDefault="0068101F" w:rsidP="006672A5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Mocowanie umożliwiające montaż na samochodzie, np. magnetyczne.</w:t>
            </w:r>
          </w:p>
        </w:tc>
        <w:tc>
          <w:tcPr>
            <w:tcW w:w="3187" w:type="dxa"/>
            <w:vAlign w:val="center"/>
          </w:tcPr>
          <w:p w14:paraId="60759D26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571BA035" w14:textId="77777777" w:rsidTr="008945FC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6A1DBD90" w14:textId="77777777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FE271D" w14:textId="6D903297" w:rsidR="0068101F" w:rsidRPr="0068101F" w:rsidRDefault="0068101F" w:rsidP="006672A5">
            <w:pPr>
              <w:tabs>
                <w:tab w:val="left" w:pos="970"/>
              </w:tabs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Kabel ze złączem kompatybilnym z odbiornikiem, długość minimum 150 cm.</w:t>
            </w:r>
          </w:p>
        </w:tc>
        <w:tc>
          <w:tcPr>
            <w:tcW w:w="3187" w:type="dxa"/>
            <w:vAlign w:val="center"/>
          </w:tcPr>
          <w:p w14:paraId="5E2F494B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01F" w:rsidRPr="0068101F" w14:paraId="5BE95DB3" w14:textId="77777777" w:rsidTr="008945FC">
        <w:trPr>
          <w:trHeight w:val="567"/>
          <w:jc w:val="center"/>
        </w:trPr>
        <w:tc>
          <w:tcPr>
            <w:tcW w:w="603" w:type="dxa"/>
            <w:shd w:val="clear" w:color="auto" w:fill="F2F2F2" w:themeFill="background1" w:themeFillShade="F2"/>
          </w:tcPr>
          <w:p w14:paraId="00F25808" w14:textId="3727479A" w:rsidR="0068101F" w:rsidRPr="0068101F" w:rsidRDefault="0068101F" w:rsidP="006672A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C27E50C" w14:textId="48E3996E" w:rsidR="0068101F" w:rsidRPr="0068101F" w:rsidRDefault="0068101F" w:rsidP="006672A5">
            <w:pPr>
              <w:tabs>
                <w:tab w:val="left" w:pos="970"/>
              </w:tabs>
              <w:rPr>
                <w:rFonts w:ascii="Arial" w:hAnsi="Arial" w:cs="Arial"/>
                <w:sz w:val="20"/>
                <w:szCs w:val="20"/>
              </w:rPr>
            </w:pPr>
            <w:r w:rsidRPr="0068101F">
              <w:rPr>
                <w:rFonts w:ascii="Arial" w:hAnsi="Arial" w:cs="Arial"/>
                <w:sz w:val="20"/>
                <w:szCs w:val="20"/>
              </w:rPr>
              <w:t>Maksymalny wymiar anteny – 1 m.</w:t>
            </w:r>
          </w:p>
        </w:tc>
        <w:tc>
          <w:tcPr>
            <w:tcW w:w="3187" w:type="dxa"/>
            <w:vAlign w:val="center"/>
          </w:tcPr>
          <w:p w14:paraId="518AFBC4" w14:textId="77777777" w:rsidR="0068101F" w:rsidRPr="0068101F" w:rsidRDefault="0068101F" w:rsidP="006672A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DC81CC" w14:textId="77777777" w:rsidR="0068101F" w:rsidRPr="00FE3D9D" w:rsidRDefault="0068101F" w:rsidP="0068101F">
      <w:pPr>
        <w:autoSpaceDE w:val="0"/>
        <w:jc w:val="both"/>
        <w:rPr>
          <w:rFonts w:ascii="Arial" w:eastAsia="ArialMT" w:hAnsi="Arial" w:cs="Arial"/>
          <w:sz w:val="20"/>
          <w:szCs w:val="20"/>
        </w:rPr>
      </w:pPr>
    </w:p>
    <w:p w14:paraId="069D4BDA" w14:textId="77777777" w:rsidR="00771BF6" w:rsidRPr="00FE3D9D" w:rsidRDefault="00771BF6" w:rsidP="007B42B0">
      <w:pPr>
        <w:autoSpaceDE w:val="0"/>
        <w:jc w:val="both"/>
        <w:rPr>
          <w:rFonts w:ascii="Arial" w:eastAsia="ArialMT" w:hAnsi="Arial" w:cs="Arial"/>
          <w:sz w:val="20"/>
          <w:szCs w:val="20"/>
        </w:rPr>
      </w:pPr>
    </w:p>
    <w:p w14:paraId="6811F603" w14:textId="77777777" w:rsidR="0068101F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0"/>
          <w:szCs w:val="20"/>
        </w:rPr>
      </w:pPr>
      <w:r w:rsidRPr="00FE3D9D">
        <w:rPr>
          <w:rFonts w:ascii="Arial" w:eastAsia="ArialMT" w:hAnsi="Arial" w:cs="Arial"/>
          <w:b/>
          <w:bCs/>
          <w:sz w:val="20"/>
          <w:szCs w:val="20"/>
        </w:rPr>
        <w:t xml:space="preserve"> </w:t>
      </w:r>
    </w:p>
    <w:p w14:paraId="6B66F9BC" w14:textId="77777777" w:rsidR="0068101F" w:rsidRDefault="0068101F" w:rsidP="007B42B0">
      <w:pPr>
        <w:autoSpaceDE w:val="0"/>
        <w:jc w:val="both"/>
        <w:rPr>
          <w:rFonts w:ascii="Arial" w:eastAsia="ArialMT" w:hAnsi="Arial" w:cs="Arial"/>
          <w:b/>
          <w:bCs/>
          <w:sz w:val="20"/>
          <w:szCs w:val="20"/>
        </w:rPr>
      </w:pPr>
    </w:p>
    <w:p w14:paraId="6A2C42A4" w14:textId="1417AD7B" w:rsidR="007B42B0" w:rsidRPr="00FE3D9D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0"/>
          <w:szCs w:val="20"/>
        </w:rPr>
      </w:pPr>
      <w:r w:rsidRPr="00FE3D9D">
        <w:rPr>
          <w:rFonts w:ascii="Arial" w:eastAsia="ArialMT" w:hAnsi="Arial" w:cs="Arial"/>
          <w:b/>
          <w:bCs/>
          <w:sz w:val="20"/>
          <w:szCs w:val="20"/>
        </w:rPr>
        <w:t>Wykonawca w kolumnie nr 3 powyższej tabeli winien wpisać przy każdym parametrze słowo „TAK” jako potwierdzenie spełnienia parametru wymaganego przez Zamawiającego lub „NIE” jeśli nie spełnia parametru wymaganego lub wpisać dane cyfrowe / literow</w:t>
      </w:r>
      <w:r w:rsidR="000F66A3" w:rsidRPr="00FE3D9D">
        <w:rPr>
          <w:rFonts w:ascii="Arial" w:eastAsia="ArialMT" w:hAnsi="Arial" w:cs="Arial"/>
          <w:b/>
          <w:bCs/>
          <w:sz w:val="20"/>
          <w:szCs w:val="20"/>
        </w:rPr>
        <w:t xml:space="preserve">e / symbole / opisy informujące </w:t>
      </w:r>
      <w:r w:rsidRPr="00FE3D9D">
        <w:rPr>
          <w:rFonts w:ascii="Arial" w:eastAsia="ArialMT" w:hAnsi="Arial" w:cs="Arial"/>
          <w:b/>
          <w:bCs/>
          <w:sz w:val="20"/>
          <w:szCs w:val="20"/>
        </w:rPr>
        <w:t>o oferowanym przez siebie parametrze.</w:t>
      </w:r>
    </w:p>
    <w:p w14:paraId="3F056C83" w14:textId="77777777" w:rsidR="007B42B0" w:rsidRPr="00FE3D9D" w:rsidRDefault="007B42B0" w:rsidP="007B42B0">
      <w:pPr>
        <w:autoSpaceDE w:val="0"/>
        <w:jc w:val="both"/>
        <w:rPr>
          <w:rFonts w:ascii="Arial" w:eastAsia="ArialMT" w:hAnsi="Arial" w:cs="Arial"/>
          <w:sz w:val="20"/>
          <w:szCs w:val="20"/>
        </w:rPr>
      </w:pPr>
    </w:p>
    <w:p w14:paraId="4E20BCC0" w14:textId="77777777" w:rsidR="007B42B0" w:rsidRPr="00FE3D9D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0"/>
          <w:szCs w:val="20"/>
          <w:u w:val="single"/>
        </w:rPr>
      </w:pPr>
      <w:r w:rsidRPr="00FE3D9D">
        <w:rPr>
          <w:rFonts w:ascii="Arial" w:eastAsia="ArialMT" w:hAnsi="Arial" w:cs="Arial"/>
          <w:b/>
          <w:bCs/>
          <w:sz w:val="20"/>
          <w:szCs w:val="20"/>
          <w:u w:val="single"/>
        </w:rPr>
        <w:t>Niespełnienie któregokolwiek parametru będzie skutkować odrzuceniem oferty.</w:t>
      </w:r>
    </w:p>
    <w:p w14:paraId="2DF2FF25" w14:textId="77777777" w:rsidR="00E56FC1" w:rsidRPr="00FE3D9D" w:rsidRDefault="00E56FC1" w:rsidP="00E56FC1">
      <w:pPr>
        <w:rPr>
          <w:rFonts w:ascii="Arial" w:hAnsi="Arial" w:cs="Arial"/>
          <w:sz w:val="20"/>
          <w:szCs w:val="20"/>
        </w:rPr>
      </w:pPr>
    </w:p>
    <w:p w14:paraId="3318A5F3" w14:textId="77777777" w:rsidR="00FA0131" w:rsidRPr="00FE3D9D" w:rsidRDefault="00FA0131" w:rsidP="00FA0131">
      <w:pPr>
        <w:widowControl/>
        <w:spacing w:line="360" w:lineRule="auto"/>
        <w:rPr>
          <w:rFonts w:ascii="Arial" w:hAnsi="Arial" w:cs="Arial"/>
          <w:sz w:val="20"/>
          <w:szCs w:val="20"/>
        </w:rPr>
      </w:pPr>
    </w:p>
    <w:p w14:paraId="1A24B598" w14:textId="77777777" w:rsidR="00B87FBA" w:rsidRPr="00FE3D9D" w:rsidRDefault="00B87FBA" w:rsidP="00FA0131">
      <w:pPr>
        <w:widowControl/>
        <w:spacing w:line="360" w:lineRule="auto"/>
        <w:rPr>
          <w:rFonts w:ascii="Arial" w:hAnsi="Arial" w:cs="Arial"/>
          <w:sz w:val="20"/>
          <w:szCs w:val="20"/>
        </w:rPr>
      </w:pPr>
    </w:p>
    <w:p w14:paraId="6732467B" w14:textId="77777777" w:rsidR="00B87FBA" w:rsidRPr="00FE3D9D" w:rsidRDefault="00B87FBA" w:rsidP="00FA0131">
      <w:pPr>
        <w:widowControl/>
        <w:spacing w:line="360" w:lineRule="auto"/>
        <w:rPr>
          <w:rFonts w:ascii="Arial" w:hAnsi="Arial" w:cs="Arial"/>
          <w:sz w:val="20"/>
          <w:szCs w:val="20"/>
        </w:rPr>
      </w:pPr>
    </w:p>
    <w:p w14:paraId="7A0710D2" w14:textId="77777777" w:rsidR="00B87FBA" w:rsidRPr="00FE3D9D" w:rsidRDefault="00B87FBA" w:rsidP="00FA0131">
      <w:pPr>
        <w:widowControl/>
        <w:spacing w:line="360" w:lineRule="auto"/>
        <w:rPr>
          <w:rFonts w:ascii="Arial" w:hAnsi="Arial" w:cs="Arial"/>
          <w:sz w:val="20"/>
          <w:szCs w:val="20"/>
        </w:rPr>
      </w:pPr>
    </w:p>
    <w:p w14:paraId="091CCAD7" w14:textId="77777777" w:rsidR="00B87FBA" w:rsidRPr="00FE3D9D" w:rsidRDefault="00B87FBA" w:rsidP="00FA0131">
      <w:pPr>
        <w:widowControl/>
        <w:spacing w:line="360" w:lineRule="auto"/>
        <w:rPr>
          <w:rFonts w:ascii="Arial" w:hAnsi="Arial" w:cs="Arial"/>
          <w:sz w:val="20"/>
          <w:szCs w:val="20"/>
        </w:rPr>
      </w:pPr>
    </w:p>
    <w:p w14:paraId="33907F24" w14:textId="14599D00" w:rsidR="00B87FBA" w:rsidRPr="00FE3D9D" w:rsidRDefault="00B87FBA" w:rsidP="00B87FBA">
      <w:pPr>
        <w:jc w:val="center"/>
        <w:rPr>
          <w:rFonts w:ascii="Arial" w:hAnsi="Arial" w:cs="Arial"/>
          <w:sz w:val="20"/>
          <w:szCs w:val="20"/>
        </w:rPr>
      </w:pPr>
      <w:r w:rsidRPr="00FE3D9D">
        <w:rPr>
          <w:rFonts w:ascii="Arial" w:hAnsi="Arial" w:cs="Arial"/>
          <w:sz w:val="20"/>
          <w:szCs w:val="20"/>
        </w:rPr>
        <w:t xml:space="preserve">                                                                              ………………………………………………..</w:t>
      </w:r>
    </w:p>
    <w:p w14:paraId="496A509C" w14:textId="77777777" w:rsidR="00B87FBA" w:rsidRPr="00FE3D9D" w:rsidRDefault="00B87FBA" w:rsidP="00B87FBA">
      <w:pPr>
        <w:jc w:val="right"/>
        <w:rPr>
          <w:rFonts w:ascii="Arial" w:hAnsi="Arial" w:cs="Arial"/>
          <w:sz w:val="20"/>
          <w:szCs w:val="20"/>
        </w:rPr>
      </w:pPr>
      <w:r w:rsidRPr="00FE3D9D">
        <w:rPr>
          <w:rFonts w:ascii="Arial" w:hAnsi="Arial" w:cs="Arial"/>
          <w:sz w:val="20"/>
          <w:szCs w:val="20"/>
        </w:rPr>
        <w:t>podpis Wykonawcy lub osoby upoważnionej</w:t>
      </w:r>
    </w:p>
    <w:p w14:paraId="0EA343EC" w14:textId="77777777" w:rsidR="00B87FBA" w:rsidRPr="00FE3D9D" w:rsidRDefault="00B87FBA" w:rsidP="00B87FBA">
      <w:pPr>
        <w:rPr>
          <w:rFonts w:ascii="Arial" w:hAnsi="Arial" w:cs="Arial"/>
          <w:sz w:val="20"/>
          <w:szCs w:val="20"/>
        </w:rPr>
      </w:pPr>
    </w:p>
    <w:p w14:paraId="287160A5" w14:textId="77777777" w:rsidR="00B87FBA" w:rsidRPr="00FE3D9D" w:rsidRDefault="00B87FBA" w:rsidP="00B87FBA">
      <w:pPr>
        <w:rPr>
          <w:rFonts w:ascii="Arial" w:hAnsi="Arial" w:cs="Arial"/>
          <w:sz w:val="20"/>
          <w:szCs w:val="20"/>
        </w:rPr>
      </w:pPr>
    </w:p>
    <w:p w14:paraId="42C5ADCD" w14:textId="20955E5A" w:rsidR="00B87FBA" w:rsidRPr="00FE3D9D" w:rsidRDefault="00B87FBA" w:rsidP="00B87FBA">
      <w:pPr>
        <w:widowControl/>
        <w:tabs>
          <w:tab w:val="left" w:pos="567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62D2E2CC" w14:textId="77777777" w:rsidR="00B87FBA" w:rsidRPr="00FE3D9D" w:rsidRDefault="00B87FBA" w:rsidP="00FA0131">
      <w:pPr>
        <w:widowControl/>
        <w:spacing w:line="360" w:lineRule="auto"/>
        <w:rPr>
          <w:rFonts w:ascii="Arial" w:hAnsi="Arial" w:cs="Arial"/>
          <w:sz w:val="20"/>
          <w:szCs w:val="20"/>
        </w:rPr>
      </w:pPr>
    </w:p>
    <w:p w14:paraId="5548EA4A" w14:textId="77777777" w:rsidR="00B87FBA" w:rsidRPr="00FE3D9D" w:rsidRDefault="00B87FBA" w:rsidP="00FA0131">
      <w:pPr>
        <w:widowControl/>
        <w:spacing w:line="360" w:lineRule="auto"/>
        <w:rPr>
          <w:rFonts w:ascii="Arial" w:hAnsi="Arial" w:cs="Arial"/>
          <w:sz w:val="20"/>
          <w:szCs w:val="20"/>
        </w:rPr>
      </w:pPr>
    </w:p>
    <w:p w14:paraId="333FFF5A" w14:textId="77777777" w:rsidR="00FA0131" w:rsidRPr="00FE3D9D" w:rsidRDefault="00FA0131" w:rsidP="00FA0131">
      <w:pPr>
        <w:widowControl/>
        <w:spacing w:line="360" w:lineRule="auto"/>
        <w:rPr>
          <w:rFonts w:ascii="Arial" w:hAnsi="Arial" w:cs="Arial"/>
          <w:sz w:val="20"/>
          <w:szCs w:val="20"/>
        </w:rPr>
      </w:pPr>
    </w:p>
    <w:p w14:paraId="3488B937" w14:textId="53A31A97" w:rsidR="00FA0131" w:rsidRPr="00FE3D9D" w:rsidRDefault="00FA0131" w:rsidP="00FA0131">
      <w:pPr>
        <w:widowControl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FE3D9D">
        <w:rPr>
          <w:rFonts w:ascii="Arial" w:hAnsi="Arial" w:cs="Arial"/>
          <w:i/>
          <w:iCs/>
          <w:sz w:val="20"/>
          <w:szCs w:val="20"/>
        </w:rPr>
        <w:t>Dokument należy podpisać kwalifikowanym podpisem elektronicznym lub podpisem zaufanym lub podpisem osobistym.</w:t>
      </w:r>
    </w:p>
    <w:p w14:paraId="6D972E0B" w14:textId="2482E1AA" w:rsidR="000F66A3" w:rsidRPr="00FE3D9D" w:rsidRDefault="000F66A3" w:rsidP="00FA0131">
      <w:pPr>
        <w:pStyle w:val="NormalnyWeb"/>
        <w:spacing w:before="0" w:beforeAutospacing="0" w:after="0" w:line="360" w:lineRule="auto"/>
        <w:rPr>
          <w:rFonts w:ascii="Arial" w:hAnsi="Arial" w:cs="Arial"/>
          <w:b/>
          <w:bCs/>
          <w:sz w:val="20"/>
          <w:szCs w:val="20"/>
        </w:rPr>
      </w:pPr>
    </w:p>
    <w:sectPr w:rsidR="000F66A3" w:rsidRPr="00FE3D9D" w:rsidSect="001577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0809" w14:textId="77777777" w:rsidR="00A2546E" w:rsidRDefault="00A2546E" w:rsidP="007170A3">
      <w:r>
        <w:separator/>
      </w:r>
    </w:p>
  </w:endnote>
  <w:endnote w:type="continuationSeparator" w:id="0">
    <w:p w14:paraId="723FDC35" w14:textId="77777777" w:rsidR="00A2546E" w:rsidRDefault="00A2546E" w:rsidP="007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swiss"/>
    <w:pitch w:val="default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7817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B4A272" w14:textId="685BA10B" w:rsidR="00C80DD5" w:rsidRDefault="00C80DD5">
            <w:pPr>
              <w:pStyle w:val="Stopka"/>
              <w:jc w:val="right"/>
            </w:pPr>
            <w:r w:rsidRPr="00C80DD5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FE3D9D">
              <w:rPr>
                <w:rFonts w:ascii="Lato" w:hAnsi="Lato"/>
                <w:b/>
                <w:bCs/>
                <w:noProof/>
                <w:sz w:val="18"/>
                <w:szCs w:val="18"/>
              </w:rPr>
              <w:t>4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C80DD5">
              <w:rPr>
                <w:rFonts w:ascii="Lato" w:hAnsi="Lato"/>
                <w:sz w:val="18"/>
                <w:szCs w:val="18"/>
              </w:rPr>
              <w:t xml:space="preserve"> z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FE3D9D">
              <w:rPr>
                <w:rFonts w:ascii="Lato" w:hAnsi="Lato"/>
                <w:b/>
                <w:bCs/>
                <w:noProof/>
                <w:sz w:val="18"/>
                <w:szCs w:val="18"/>
              </w:rPr>
              <w:t>4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C8D8FD" w14:textId="77777777" w:rsidR="00C80DD5" w:rsidRDefault="00C80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8DA0" w14:textId="77777777" w:rsidR="00A2546E" w:rsidRDefault="00A2546E" w:rsidP="007170A3">
      <w:r>
        <w:separator/>
      </w:r>
    </w:p>
  </w:footnote>
  <w:footnote w:type="continuationSeparator" w:id="0">
    <w:p w14:paraId="1D802C3B" w14:textId="77777777" w:rsidR="00A2546E" w:rsidRDefault="00A2546E" w:rsidP="007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B839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39331219" w14:textId="78483F60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73EAF53B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1E917B97" w14:textId="497E00CD" w:rsidR="007170A3" w:rsidRPr="008F1712" w:rsidRDefault="007170A3" w:rsidP="00B42509">
    <w:pPr>
      <w:pStyle w:val="Nagwek"/>
      <w:jc w:val="right"/>
      <w:rPr>
        <w:rFonts w:ascii="Lato" w:hAnsi="Lato"/>
        <w:sz w:val="22"/>
        <w:szCs w:val="22"/>
      </w:rPr>
    </w:pPr>
    <w:r w:rsidRPr="008F1712">
      <w:rPr>
        <w:rFonts w:ascii="Lato" w:hAnsi="Lato"/>
        <w:sz w:val="22"/>
        <w:szCs w:val="22"/>
      </w:rPr>
      <w:t xml:space="preserve">Załącznik nr </w:t>
    </w:r>
    <w:r w:rsidR="00E30A63">
      <w:rPr>
        <w:rFonts w:ascii="Lato" w:hAnsi="Lato"/>
        <w:sz w:val="22"/>
        <w:szCs w:val="22"/>
      </w:rPr>
      <w:t>4</w:t>
    </w:r>
    <w:r w:rsidRPr="008F1712">
      <w:rPr>
        <w:rFonts w:ascii="Lato" w:hAnsi="Lato"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98FA" w14:textId="77777777" w:rsidR="007940E6" w:rsidRDefault="007940E6">
    <w:pPr>
      <w:pStyle w:val="Nagwek"/>
    </w:pPr>
  </w:p>
  <w:p w14:paraId="6921098E" w14:textId="75ADD846" w:rsidR="007940E6" w:rsidRDefault="001577EC">
    <w:pPr>
      <w:pStyle w:val="Nagwek"/>
    </w:pPr>
    <w:r>
      <w:rPr>
        <w:noProof/>
      </w:rPr>
      <w:drawing>
        <wp:inline distT="0" distB="0" distL="0" distR="0" wp14:anchorId="3F9DA8DA" wp14:editId="4A282B41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9D115" w14:textId="08670660" w:rsidR="007940E6" w:rsidRPr="007940E6" w:rsidRDefault="007940E6" w:rsidP="007940E6">
    <w:pPr>
      <w:pStyle w:val="Nagwek"/>
      <w:tabs>
        <w:tab w:val="clear" w:pos="4536"/>
        <w:tab w:val="clear" w:pos="9072"/>
        <w:tab w:val="left" w:pos="6732"/>
      </w:tabs>
      <w:jc w:val="right"/>
      <w:rPr>
        <w:rFonts w:ascii="Arial" w:hAnsi="Arial" w:cs="Arial"/>
      </w:rPr>
    </w:pPr>
    <w:r w:rsidRPr="007940E6">
      <w:rPr>
        <w:rFonts w:ascii="Arial" w:hAnsi="Arial" w:cs="Arial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15F007C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BD062C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F16E9E8"/>
    <w:lvl w:ilvl="0" w:tplc="FFFFFFFF">
      <w:start w:val="9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190CDE6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6EF438C"/>
    <w:lvl w:ilvl="0" w:tplc="FFFFFFFF">
      <w:start w:val="2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265383A"/>
    <w:multiLevelType w:val="hybridMultilevel"/>
    <w:tmpl w:val="7BA85976"/>
    <w:lvl w:ilvl="0" w:tplc="F7E80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DF0567"/>
    <w:multiLevelType w:val="hybridMultilevel"/>
    <w:tmpl w:val="634CD5BC"/>
    <w:lvl w:ilvl="0" w:tplc="1A2A3C4A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55FC0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27AD5A2B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C1EEC"/>
    <w:multiLevelType w:val="hybridMultilevel"/>
    <w:tmpl w:val="6AA84192"/>
    <w:lvl w:ilvl="0" w:tplc="0F92A812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52782"/>
    <w:multiLevelType w:val="hybridMultilevel"/>
    <w:tmpl w:val="58AE9D26"/>
    <w:lvl w:ilvl="0" w:tplc="7F984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B19D6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7622C"/>
    <w:multiLevelType w:val="hybridMultilevel"/>
    <w:tmpl w:val="C2B04E48"/>
    <w:lvl w:ilvl="0" w:tplc="CC6A883A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31120"/>
    <w:multiLevelType w:val="hybridMultilevel"/>
    <w:tmpl w:val="2FA88DD6"/>
    <w:lvl w:ilvl="0" w:tplc="780C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6033B"/>
    <w:multiLevelType w:val="hybridMultilevel"/>
    <w:tmpl w:val="176A91D4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D3048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B153F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4573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75E43"/>
    <w:multiLevelType w:val="hybridMultilevel"/>
    <w:tmpl w:val="222677CC"/>
    <w:lvl w:ilvl="0" w:tplc="F17E2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83C5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A50FF"/>
    <w:multiLevelType w:val="hybridMultilevel"/>
    <w:tmpl w:val="3C34E72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195932">
    <w:abstractNumId w:val="20"/>
  </w:num>
  <w:num w:numId="2" w16cid:durableId="1261527811">
    <w:abstractNumId w:val="25"/>
  </w:num>
  <w:num w:numId="3" w16cid:durableId="825819567">
    <w:abstractNumId w:val="11"/>
  </w:num>
  <w:num w:numId="4" w16cid:durableId="1472668721">
    <w:abstractNumId w:val="17"/>
  </w:num>
  <w:num w:numId="5" w16cid:durableId="949774662">
    <w:abstractNumId w:val="26"/>
  </w:num>
  <w:num w:numId="6" w16cid:durableId="564337122">
    <w:abstractNumId w:val="1"/>
  </w:num>
  <w:num w:numId="7" w16cid:durableId="1105268594">
    <w:abstractNumId w:val="2"/>
  </w:num>
  <w:num w:numId="8" w16cid:durableId="1452359492">
    <w:abstractNumId w:val="3"/>
  </w:num>
  <w:num w:numId="9" w16cid:durableId="1157841419">
    <w:abstractNumId w:val="4"/>
  </w:num>
  <w:num w:numId="10" w16cid:durableId="1190145074">
    <w:abstractNumId w:val="5"/>
  </w:num>
  <w:num w:numId="11" w16cid:durableId="1678531466">
    <w:abstractNumId w:val="6"/>
  </w:num>
  <w:num w:numId="12" w16cid:durableId="1059788774">
    <w:abstractNumId w:val="14"/>
  </w:num>
  <w:num w:numId="13" w16cid:durableId="1527408465">
    <w:abstractNumId w:val="13"/>
  </w:num>
  <w:num w:numId="14" w16cid:durableId="173302738">
    <w:abstractNumId w:val="19"/>
  </w:num>
  <w:num w:numId="15" w16cid:durableId="1723360482">
    <w:abstractNumId w:val="7"/>
  </w:num>
  <w:num w:numId="16" w16cid:durableId="1610626731">
    <w:abstractNumId w:val="8"/>
  </w:num>
  <w:num w:numId="17" w16cid:durableId="1525363122">
    <w:abstractNumId w:val="9"/>
  </w:num>
  <w:num w:numId="18" w16cid:durableId="1190145393">
    <w:abstractNumId w:val="21"/>
  </w:num>
  <w:num w:numId="19" w16cid:durableId="1213614983">
    <w:abstractNumId w:val="0"/>
  </w:num>
  <w:num w:numId="20" w16cid:durableId="2146005317">
    <w:abstractNumId w:val="10"/>
  </w:num>
  <w:num w:numId="21" w16cid:durableId="44718340">
    <w:abstractNumId w:val="27"/>
  </w:num>
  <w:num w:numId="22" w16cid:durableId="919171500">
    <w:abstractNumId w:val="15"/>
  </w:num>
  <w:num w:numId="23" w16cid:durableId="798111923">
    <w:abstractNumId w:val="18"/>
  </w:num>
  <w:num w:numId="24" w16cid:durableId="2015837424">
    <w:abstractNumId w:val="12"/>
  </w:num>
  <w:num w:numId="25" w16cid:durableId="982151319">
    <w:abstractNumId w:val="23"/>
  </w:num>
  <w:num w:numId="26" w16cid:durableId="962662479">
    <w:abstractNumId w:val="22"/>
  </w:num>
  <w:num w:numId="27" w16cid:durableId="1834253302">
    <w:abstractNumId w:val="24"/>
  </w:num>
  <w:num w:numId="28" w16cid:durableId="7837729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D2"/>
    <w:rsid w:val="0001248A"/>
    <w:rsid w:val="000327F6"/>
    <w:rsid w:val="00044D96"/>
    <w:rsid w:val="00080523"/>
    <w:rsid w:val="0009696A"/>
    <w:rsid w:val="000C5A6A"/>
    <w:rsid w:val="000C6DD2"/>
    <w:rsid w:val="000C7E71"/>
    <w:rsid w:val="000E5D5A"/>
    <w:rsid w:val="000E7F4E"/>
    <w:rsid w:val="000F66A3"/>
    <w:rsid w:val="0013048D"/>
    <w:rsid w:val="00155090"/>
    <w:rsid w:val="001577EC"/>
    <w:rsid w:val="001675B9"/>
    <w:rsid w:val="001807F6"/>
    <w:rsid w:val="001A0AA7"/>
    <w:rsid w:val="001A293B"/>
    <w:rsid w:val="001A7B41"/>
    <w:rsid w:val="001D1E11"/>
    <w:rsid w:val="002276CE"/>
    <w:rsid w:val="00247AB0"/>
    <w:rsid w:val="002530DA"/>
    <w:rsid w:val="00264D7E"/>
    <w:rsid w:val="002762F4"/>
    <w:rsid w:val="002E060A"/>
    <w:rsid w:val="002F5868"/>
    <w:rsid w:val="0031440B"/>
    <w:rsid w:val="003755B7"/>
    <w:rsid w:val="003A6BF6"/>
    <w:rsid w:val="003C77E1"/>
    <w:rsid w:val="003D260C"/>
    <w:rsid w:val="003E5D87"/>
    <w:rsid w:val="003F0289"/>
    <w:rsid w:val="00423E64"/>
    <w:rsid w:val="00424B5B"/>
    <w:rsid w:val="00452E4F"/>
    <w:rsid w:val="00463510"/>
    <w:rsid w:val="00465E3D"/>
    <w:rsid w:val="004B36A2"/>
    <w:rsid w:val="004D668E"/>
    <w:rsid w:val="004E40E8"/>
    <w:rsid w:val="004E782B"/>
    <w:rsid w:val="004F2D98"/>
    <w:rsid w:val="00501F60"/>
    <w:rsid w:val="005274FD"/>
    <w:rsid w:val="00540941"/>
    <w:rsid w:val="00571FDC"/>
    <w:rsid w:val="005C2E2B"/>
    <w:rsid w:val="005C2FEF"/>
    <w:rsid w:val="005C43A2"/>
    <w:rsid w:val="005E73A0"/>
    <w:rsid w:val="00606EF7"/>
    <w:rsid w:val="00612940"/>
    <w:rsid w:val="00630F36"/>
    <w:rsid w:val="00637210"/>
    <w:rsid w:val="00673678"/>
    <w:rsid w:val="0068101F"/>
    <w:rsid w:val="0069467B"/>
    <w:rsid w:val="006950AB"/>
    <w:rsid w:val="006C4FE4"/>
    <w:rsid w:val="006C5ABF"/>
    <w:rsid w:val="006D5995"/>
    <w:rsid w:val="006D5F58"/>
    <w:rsid w:val="006D78DF"/>
    <w:rsid w:val="006F60B9"/>
    <w:rsid w:val="007170A3"/>
    <w:rsid w:val="00722911"/>
    <w:rsid w:val="007303B1"/>
    <w:rsid w:val="00753544"/>
    <w:rsid w:val="00755388"/>
    <w:rsid w:val="00771BF6"/>
    <w:rsid w:val="007940E6"/>
    <w:rsid w:val="00795663"/>
    <w:rsid w:val="007A42C2"/>
    <w:rsid w:val="007A4D28"/>
    <w:rsid w:val="007A5322"/>
    <w:rsid w:val="007A7C28"/>
    <w:rsid w:val="007B39B3"/>
    <w:rsid w:val="007B42B0"/>
    <w:rsid w:val="007F43C6"/>
    <w:rsid w:val="0080544E"/>
    <w:rsid w:val="00807504"/>
    <w:rsid w:val="00814106"/>
    <w:rsid w:val="0081724E"/>
    <w:rsid w:val="008451CE"/>
    <w:rsid w:val="008515D3"/>
    <w:rsid w:val="00891485"/>
    <w:rsid w:val="008945FC"/>
    <w:rsid w:val="008C01A2"/>
    <w:rsid w:val="008D5878"/>
    <w:rsid w:val="008F1712"/>
    <w:rsid w:val="0091364F"/>
    <w:rsid w:val="00914F6D"/>
    <w:rsid w:val="00925CAA"/>
    <w:rsid w:val="0093293A"/>
    <w:rsid w:val="00964A55"/>
    <w:rsid w:val="009C2A15"/>
    <w:rsid w:val="00A2546E"/>
    <w:rsid w:val="00A261D8"/>
    <w:rsid w:val="00A47790"/>
    <w:rsid w:val="00A60402"/>
    <w:rsid w:val="00A656F9"/>
    <w:rsid w:val="00A77A8F"/>
    <w:rsid w:val="00A9184E"/>
    <w:rsid w:val="00AD2F82"/>
    <w:rsid w:val="00AE158E"/>
    <w:rsid w:val="00AE5172"/>
    <w:rsid w:val="00B10242"/>
    <w:rsid w:val="00B11EFA"/>
    <w:rsid w:val="00B16F63"/>
    <w:rsid w:val="00B234F3"/>
    <w:rsid w:val="00B24678"/>
    <w:rsid w:val="00B348F6"/>
    <w:rsid w:val="00B42509"/>
    <w:rsid w:val="00B47077"/>
    <w:rsid w:val="00B7450D"/>
    <w:rsid w:val="00B813E5"/>
    <w:rsid w:val="00B87FBA"/>
    <w:rsid w:val="00B96C28"/>
    <w:rsid w:val="00BB4B38"/>
    <w:rsid w:val="00BE2898"/>
    <w:rsid w:val="00BE434A"/>
    <w:rsid w:val="00C04FB3"/>
    <w:rsid w:val="00C22571"/>
    <w:rsid w:val="00C76513"/>
    <w:rsid w:val="00C80DD5"/>
    <w:rsid w:val="00CA61E7"/>
    <w:rsid w:val="00CB5942"/>
    <w:rsid w:val="00CC1F58"/>
    <w:rsid w:val="00D35198"/>
    <w:rsid w:val="00D62850"/>
    <w:rsid w:val="00D6584B"/>
    <w:rsid w:val="00D751B8"/>
    <w:rsid w:val="00DC462E"/>
    <w:rsid w:val="00DD2BA2"/>
    <w:rsid w:val="00DE657D"/>
    <w:rsid w:val="00DE7D55"/>
    <w:rsid w:val="00E22724"/>
    <w:rsid w:val="00E30A63"/>
    <w:rsid w:val="00E56FC1"/>
    <w:rsid w:val="00E729FE"/>
    <w:rsid w:val="00EB3288"/>
    <w:rsid w:val="00EB5780"/>
    <w:rsid w:val="00EC76EB"/>
    <w:rsid w:val="00F02F5F"/>
    <w:rsid w:val="00F40BAC"/>
    <w:rsid w:val="00F4212E"/>
    <w:rsid w:val="00F83A67"/>
    <w:rsid w:val="00FA0131"/>
    <w:rsid w:val="00FE3D9D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6F42"/>
  <w15:chartTrackingRefBased/>
  <w15:docId w15:val="{461B8334-697D-40C0-A4A9-BB0369A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0A3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0A3"/>
  </w:style>
  <w:style w:type="paragraph" w:styleId="Stopka">
    <w:name w:val="footer"/>
    <w:basedOn w:val="Normalny"/>
    <w:link w:val="Stopka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0A3"/>
  </w:style>
  <w:style w:type="table" w:styleId="Tabela-Siatka">
    <w:name w:val="Table Grid"/>
    <w:basedOn w:val="Standardowy"/>
    <w:uiPriority w:val="39"/>
    <w:rsid w:val="0071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7170A3"/>
    <w:pPr>
      <w:suppressLineNumbers/>
    </w:pPr>
  </w:style>
  <w:style w:type="paragraph" w:styleId="Podpis">
    <w:name w:val="Signature"/>
    <w:basedOn w:val="Normalny"/>
    <w:link w:val="PodpisZnak"/>
    <w:rsid w:val="00914F6D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rsid w:val="00914F6D"/>
    <w:rPr>
      <w:rFonts w:ascii="Times New Roman" w:eastAsia="Lucida Sans Unicode" w:hAnsi="Times New Roman" w:cs="Tahoma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6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F66A3"/>
    <w:pPr>
      <w:widowControl/>
      <w:spacing w:before="100" w:beforeAutospacing="1" w:after="142" w:line="276" w:lineRule="auto"/>
    </w:pPr>
    <w:rPr>
      <w:rFonts w:eastAsia="Times New Roman" w:cs="Times New Roman"/>
    </w:rPr>
  </w:style>
  <w:style w:type="character" w:customStyle="1" w:styleId="RTFNum26">
    <w:name w:val="RTF_Num 2 6"/>
    <w:rsid w:val="00771BF6"/>
  </w:style>
  <w:style w:type="character" w:customStyle="1" w:styleId="RTFNum25">
    <w:name w:val="RTF_Num 2 5"/>
    <w:rsid w:val="00771BF6"/>
  </w:style>
  <w:style w:type="table" w:customStyle="1" w:styleId="Tabela-Siatka1">
    <w:name w:val="Tabela - Siatka1"/>
    <w:basedOn w:val="Standardowy"/>
    <w:next w:val="Tabela-Siatka"/>
    <w:uiPriority w:val="39"/>
    <w:rsid w:val="0068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3829-8CA2-4EF1-8F24-05B02674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Beata Knutel</cp:lastModifiedBy>
  <cp:revision>5</cp:revision>
  <dcterms:created xsi:type="dcterms:W3CDTF">2026-08-07T11:46:00Z</dcterms:created>
  <dcterms:modified xsi:type="dcterms:W3CDTF">2026-08-18T09:13:00Z</dcterms:modified>
</cp:coreProperties>
</file>