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Glowny1"/>
        <w:keepNext w:val="true"/>
        <w:spacing w:lineRule="auto" w:line="276" w:before="120" w:after="120"/>
        <w:jc w:val="center"/>
        <w:rPr>
          <w:rFonts w:ascii="Calibri" w:hAnsi="Calibri" w:cs="Arial"/>
          <w:b/>
          <w:sz w:val="24"/>
          <w:szCs w:val="24"/>
        </w:rPr>
      </w:pPr>
      <w:r>
        <w:rPr>
          <w:rFonts w:cs="Arial" w:ascii="Calibri" w:hAnsi="Calibri"/>
          <w:b/>
          <w:sz w:val="24"/>
          <w:szCs w:val="24"/>
        </w:rPr>
        <w:t>OPIS PRZEDMIOTU ZAMÓWIENIA</w:t>
      </w:r>
    </w:p>
    <w:p>
      <w:pPr>
        <w:pStyle w:val="Normal"/>
        <w:widowControl w:val="false"/>
        <w:numPr>
          <w:ilvl w:val="0"/>
          <w:numId w:val="1"/>
        </w:numPr>
        <w:spacing w:lineRule="auto" w:line="276"/>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Przedmiotem zamówienia są sukcesywne dostawy papierosów do sklepu Stacji Paliw Miejskiego Zakładu Komunikacji - Puławy  Sp. z o. o. w Puławach.</w:t>
      </w:r>
    </w:p>
    <w:p>
      <w:pPr>
        <w:pStyle w:val="Normal"/>
        <w:widowControl w:val="false"/>
        <w:numPr>
          <w:ilvl w:val="0"/>
          <w:numId w:val="1"/>
        </w:numPr>
        <w:spacing w:lineRule="auto" w:line="276"/>
        <w:rPr>
          <w:rFonts w:ascii="Calibri" w:hAnsi="Calibri" w:cs="Calibri" w:asciiTheme="minorHAnsi" w:cstheme="minorHAnsi" w:hAnsiTheme="minorHAnsi"/>
          <w:sz w:val="20"/>
          <w:szCs w:val="20"/>
        </w:rPr>
      </w:pPr>
      <w:r>
        <w:rPr>
          <w:rFonts w:ascii="Calibri" w:hAnsi="Calibri"/>
          <w:sz w:val="20"/>
          <w:szCs w:val="20"/>
        </w:rPr>
        <w:t>Asortyment zamawianych papierosów jest zawarty w Formularzu Ofertowym, który stanowi załącznik Nr 1 do niniejszej SWZ.</w:t>
      </w:r>
    </w:p>
    <w:p>
      <w:pPr>
        <w:pStyle w:val="Normal"/>
        <w:widowControl w:val="false"/>
        <w:numPr>
          <w:ilvl w:val="0"/>
          <w:numId w:val="1"/>
        </w:numPr>
        <w:spacing w:lineRule="auto" w:line="276"/>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Zamawiający nie dopuszcza możliwość składania ofert częściowych.</w:t>
      </w:r>
      <w:r>
        <w:rPr>
          <w:rFonts w:ascii="Calibri" w:hAnsi="Calibri"/>
          <w:sz w:val="20"/>
          <w:szCs w:val="20"/>
        </w:rPr>
        <w:t xml:space="preserve"> </w:t>
      </w:r>
    </w:p>
    <w:p>
      <w:pPr>
        <w:pStyle w:val="Normal"/>
        <w:widowControl w:val="false"/>
        <w:numPr>
          <w:ilvl w:val="0"/>
          <w:numId w:val="1"/>
        </w:numPr>
        <w:spacing w:lineRule="auto" w:line="276"/>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Określone w Formularzu Ofertowym ilości asortymentu podane zostały jedynie szacunkowo, na potrzeby porównania ofert złożonych w niniejszym postępowaniu oraz wyliczenia ceny oferty. </w:t>
      </w:r>
    </w:p>
    <w:p>
      <w:pPr>
        <w:pStyle w:val="Normal"/>
        <w:widowControl w:val="false"/>
        <w:numPr>
          <w:ilvl w:val="0"/>
          <w:numId w:val="1"/>
        </w:numPr>
        <w:spacing w:lineRule="auto" w:line="276"/>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Zamówienia będą składane sukcesywnie w ilościach i asortymencie zgodnymi z bieżącymi potrzebami Zamawiającego. Zamawiający zastrzega sobie:</w:t>
      </w:r>
    </w:p>
    <w:p>
      <w:pPr>
        <w:pStyle w:val="ListParagraph"/>
        <w:widowControl w:val="false"/>
        <w:numPr>
          <w:ilvl w:val="1"/>
          <w:numId w:val="1"/>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możliwość rezygnacji z poszczególnych pozycji wskazanego asortymentu,</w:t>
      </w:r>
    </w:p>
    <w:p>
      <w:pPr>
        <w:pStyle w:val="ListParagraph"/>
        <w:widowControl w:val="false"/>
        <w:numPr>
          <w:ilvl w:val="1"/>
          <w:numId w:val="1"/>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możliwość swobodnego zwiększenia lub zmniejszenia zadeklarowanych szacunkowych ilości każdej pozycji asortymentu.  </w:t>
      </w:r>
    </w:p>
    <w:p>
      <w:pPr>
        <w:pStyle w:val="ListParagraph"/>
        <w:numPr>
          <w:ilvl w:val="3"/>
          <w:numId w:val="2"/>
        </w:numPr>
        <w:tabs>
          <w:tab w:val="clear" w:pos="708"/>
          <w:tab w:val="left" w:pos="426" w:leader="none"/>
          <w:tab w:val="left" w:pos="2925" w:leader="none"/>
          <w:tab w:val="left" w:pos="4545" w:leader="none"/>
        </w:tabs>
        <w:spacing w:lineRule="auto" w:line="276"/>
        <w:ind w:hanging="2880" w:left="288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Zamówienie należy zrealizować w terminie 12</w:t>
      </w:r>
      <w:bookmarkStart w:id="0" w:name="_GoBack"/>
      <w:bookmarkEnd w:id="0"/>
      <w:r>
        <w:rPr>
          <w:rFonts w:cs="Calibri" w:ascii="Calibri" w:hAnsi="Calibri" w:asciiTheme="minorHAnsi" w:cstheme="minorHAnsi" w:hAnsiTheme="minorHAnsi"/>
          <w:sz w:val="20"/>
          <w:szCs w:val="20"/>
        </w:rPr>
        <w:t xml:space="preserve"> miesięcy od daty podpisania umowy.</w:t>
      </w:r>
    </w:p>
    <w:p>
      <w:pPr>
        <w:pStyle w:val="ListParagraph"/>
        <w:numPr>
          <w:ilvl w:val="3"/>
          <w:numId w:val="2"/>
        </w:numPr>
        <w:tabs>
          <w:tab w:val="clear" w:pos="708"/>
          <w:tab w:val="left" w:pos="426" w:leader="none"/>
          <w:tab w:val="left" w:pos="2925" w:leader="none"/>
          <w:tab w:val="left" w:pos="4545" w:leader="none"/>
        </w:tabs>
        <w:spacing w:lineRule="auto" w:line="276"/>
        <w:ind w:hanging="2880" w:left="288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Wymagania stawiane Wykonawcy.</w:t>
      </w:r>
    </w:p>
    <w:p>
      <w:pPr>
        <w:pStyle w:val="ListParagraph"/>
        <w:numPr>
          <w:ilvl w:val="1"/>
          <w:numId w:val="3"/>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Wykonawca jest odpowiedzialny za jakość przedmiotu zamówienia. Dostarczane produkty winny odpowiadać normom i standardom określonym w odpowiednich przepisach.</w:t>
      </w:r>
    </w:p>
    <w:p>
      <w:pPr>
        <w:pStyle w:val="ListParagraph"/>
        <w:numPr>
          <w:ilvl w:val="1"/>
          <w:numId w:val="3"/>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Dostawa przedmiotu zamówienia będzie odbywała się na koszt i ryzyko Wykonawcy, do Stacji Paliw Zamawiającego w Puławach przy ul. Dęblińskiej 2A. </w:t>
      </w:r>
    </w:p>
    <w:p>
      <w:pPr>
        <w:pStyle w:val="ListParagraph"/>
        <w:numPr>
          <w:ilvl w:val="1"/>
          <w:numId w:val="3"/>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Realizacja zamówienia następować będzie według faktycznych potrzeb Zamawiającego, na podstawie zamówień częściowych. Zamawiający będzie składał zamówienia częściowe telefonicznie lub drogą elektroniczną. Dostawy zamówionej partii przedmiotu zamówienia odbywać się będą do godziny 15:00 w ciągu 2 dni roboczych od dnia złożenia zamówienia.</w:t>
      </w:r>
    </w:p>
    <w:p>
      <w:pPr>
        <w:pStyle w:val="ListParagraph"/>
        <w:numPr>
          <w:ilvl w:val="1"/>
          <w:numId w:val="3"/>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Dostawca będzie mógł zmienić ceny w przypadku zmiany stawki podatku VAT, podatku akcyzowego  oraz cen u producenta.                                                                                                                                                 Zmiana cen papierosów będzie odbywała się automatycznie i nie wymaga aneksu do umowy.</w:t>
      </w:r>
    </w:p>
    <w:p>
      <w:pPr>
        <w:pStyle w:val="ListParagraph"/>
        <w:numPr>
          <w:ilvl w:val="1"/>
          <w:numId w:val="3"/>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Warunki płatności: przelewem bankowym w terminie 14 dni od daty dostarczenia do siedziby Zamawiającego prawidłowo wystawionej faktury VAT dla całej realizowanej jednorazowo dostawy, na konto podane w fakturze, pod warunkiem, że dostarczony towar jest zgodny z zamówieniem. Jako dzień dokonania płatności przyjmuje się dzień obciążenia konta Zamawiającego.</w:t>
      </w:r>
    </w:p>
    <w:p>
      <w:pPr>
        <w:pStyle w:val="ListParagraph"/>
        <w:widowControl w:val="false"/>
        <w:numPr>
          <w:ilvl w:val="3"/>
          <w:numId w:val="2"/>
        </w:numPr>
        <w:tabs>
          <w:tab w:val="clear" w:pos="708"/>
          <w:tab w:val="left" w:pos="426" w:leader="none"/>
        </w:tabs>
        <w:spacing w:lineRule="auto" w:line="276"/>
        <w:ind w:hanging="2880" w:left="2880"/>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Wymagania dotyczące papierosów:</w:t>
      </w:r>
    </w:p>
    <w:p>
      <w:pPr>
        <w:pStyle w:val="ListParagraph"/>
        <w:widowControl w:val="false"/>
        <w:numPr>
          <w:ilvl w:val="1"/>
          <w:numId w:val="4"/>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Banderole akcyzy na opakowaniach muszą spełniać wymogi określone w obowiązującej ustawie o podatku akcyzowym.</w:t>
      </w:r>
    </w:p>
    <w:p>
      <w:pPr>
        <w:pStyle w:val="ListParagraph"/>
        <w:widowControl w:val="false"/>
        <w:numPr>
          <w:ilvl w:val="1"/>
          <w:numId w:val="4"/>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Zamawiający zastrzega, że wykonawca zobowiązany jest przyjąć papierosy, które utraciły ważność znaków akcyzy i zwrócić taką samą ilość z ważnymi znakami akcyzy.</w:t>
      </w:r>
    </w:p>
    <w:p>
      <w:pPr>
        <w:pStyle w:val="ListParagraph"/>
        <w:widowControl w:val="false"/>
        <w:numPr>
          <w:ilvl w:val="1"/>
          <w:numId w:val="4"/>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 xml:space="preserve">W Formularzu Ofertowym wskazano nazwy handlowe papierosów, z uwagi na przeznaczenie ich do dalszej odsprzedaży. Zamawiający dopuszcza złożenie ofert równoważnych, tzn. zaoferowanie papierosów o innych nazwach handlowych niż określone przez Zamawiającego, pod warunkiem, że będą posiadały parametry, w szczególności dotyczące smaku, aromatu, zawartości substancji smolistych, nikotyny oraz tlenku węgla, nie gorsze niż artykuły opisane i wymienione przez Zamawiającego. W przypadku gdy wykonawca będzie oferował wyrób równoważny, ma obowiązek zaznaczyć ten fakt w Formularzu Ofertowym – załączniku Nr 1 do SIWZ, wpisując asortyment równoważny.  Wykonawca, który powołuje się na rozwiązania równoważne jest obowiązany udowodnić w złożonej ofercie, że równoważny wyrób tytoniowy nie jest gorszy od określonego przez Zamawiającego. W przypadku oferowania artykułów równoważnych wykonawca do oferty załącza </w:t>
      </w:r>
      <w:r>
        <w:rPr>
          <w:rFonts w:eastAsia="Tahoma" w:cs="Calibri" w:ascii="Calibri" w:hAnsi="Calibri" w:asciiTheme="minorHAnsi" w:cstheme="minorHAnsi" w:hAnsiTheme="minorHAnsi"/>
          <w:sz w:val="20"/>
          <w:szCs w:val="20"/>
        </w:rPr>
        <w:t>szczegółową specyfikację w odniesieniu do składu, z której w sposób nie budzący żadnej wątpliwości winno wynikać, iż oferowany przedmiot zamówienia jest o takich samych lub lepszych parametrach jakościowych w odniesieniu do przedmiotu zamówienia określonego przez Zamawiającego.</w:t>
      </w:r>
    </w:p>
    <w:p>
      <w:pPr>
        <w:pStyle w:val="ListParagraph"/>
        <w:widowControl w:val="false"/>
        <w:numPr>
          <w:ilvl w:val="1"/>
          <w:numId w:val="4"/>
        </w:numPr>
        <w:spacing w:lineRule="auto" w:line="276"/>
        <w:ind w:hanging="567" w:left="993"/>
        <w:rPr>
          <w:rFonts w:ascii="Calibri" w:hAnsi="Calibri" w:cs="Calibri" w:asciiTheme="minorHAnsi" w:cstheme="minorHAnsi" w:hAnsiTheme="minorHAnsi"/>
          <w:sz w:val="20"/>
          <w:szCs w:val="20"/>
        </w:rPr>
      </w:pPr>
      <w:r>
        <w:rPr>
          <w:rFonts w:cs="Calibri" w:ascii="Calibri" w:hAnsi="Calibri" w:asciiTheme="minorHAnsi" w:cstheme="minorHAnsi" w:hAnsiTheme="minorHAnsi"/>
          <w:sz w:val="20"/>
          <w:szCs w:val="20"/>
        </w:rPr>
        <w:t>Wykonawca udzieli Zamawiającemu dla każdej z pozycji asortymentu stałego procentowego opustu  od ceny nadrukowanej przez producenta na paczce papierosów. Opust będzie stały przez cały okres obowiązywania umowy. Dopuszcza się możliwość zaoferowania różnego opustu na poszczególne pozycje asortymentu.</w:t>
      </w:r>
    </w:p>
    <w:p>
      <w:pPr>
        <w:pStyle w:val="NoSpacing"/>
        <w:numPr>
          <w:ilvl w:val="0"/>
          <w:numId w:val="4"/>
        </w:numPr>
        <w:spacing w:lineRule="auto" w:line="276"/>
        <w:ind w:hanging="426" w:left="426"/>
        <w:rPr>
          <w:rFonts w:cs="Calibri" w:cstheme="minorHAnsi"/>
          <w:color w:val="000000"/>
          <w:sz w:val="20"/>
          <w:szCs w:val="20"/>
        </w:rPr>
      </w:pPr>
      <w:r>
        <w:rPr>
          <w:sz w:val="20"/>
          <w:szCs w:val="20"/>
        </w:rPr>
        <w:t>Szczegółowe warunki dostaw określono w załączniku Nr 4 do niniejszej SWZ.</w:t>
      </w:r>
    </w:p>
    <w:sectPr>
      <w:headerReference w:type="default" r:id="rId2"/>
      <w:footerReference w:type="default" r:id="rId3"/>
      <w:type w:val="nextPage"/>
      <w:pgSz w:w="11906" w:h="16838"/>
      <w:pgMar w:left="1417" w:right="1417" w:gutter="0" w:header="708" w:top="1417" w:footer="708"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Tahoma">
    <w:charset w:val="01"/>
    <w:family w:val="roman"/>
    <w:pitch w:val="variable"/>
  </w:font>
  <w:font w:name="Times New Roman">
    <w:charset w:val="01"/>
    <w:family w:val="roman"/>
    <w:pitch w:val="variable"/>
  </w:font>
  <w:font w:name="Century Gothic">
    <w:charset w:val="01"/>
    <w:family w:val="roman"/>
    <w:pitch w:val="variable"/>
  </w:font>
  <w:font w:name="Liberation Sans">
    <w:altName w:val="Arial"/>
    <w:charset w:val="01"/>
    <w:family w:val="swiss"/>
    <w:pitch w:val="variable"/>
  </w:font>
  <w:font w:name="Verdana">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bottom w:val="single" w:sz="4" w:space="1" w:color="000000"/>
      </w:pBdr>
      <w:jc w:val="center"/>
      <w:rPr>
        <w:rStyle w:val="Pagenumber"/>
        <w:rFonts w:ascii="Calibri" w:hAnsi="Calibri" w:asciiTheme="minorHAnsi" w:hAnsiTheme="minorHAnsi"/>
        <w:sz w:val="20"/>
        <w:szCs w:val="20"/>
      </w:rPr>
    </w:pPr>
    <w:r>
      <w:rPr>
        <w:rStyle w:val="Pagenumber"/>
        <w:rFonts w:ascii="Calibri" w:hAnsi="Calibri" w:asciiTheme="minorHAnsi" w:hAnsiTheme="minorHAnsi"/>
        <w:sz w:val="20"/>
        <w:szCs w:val="20"/>
      </w:rPr>
      <w:t xml:space="preserve">Strona </w:t>
    </w:r>
    <w:r>
      <w:rPr>
        <w:rStyle w:val="Pagenumber"/>
        <w:rFonts w:ascii="Calibri" w:hAnsi="Calibri"/>
        <w:sz w:val="20"/>
        <w:szCs w:val="20"/>
      </w:rPr>
      <w:fldChar w:fldCharType="begin"/>
    </w:r>
    <w:r>
      <w:rPr>
        <w:rStyle w:val="Pagenumber"/>
        <w:sz w:val="20"/>
        <w:szCs w:val="20"/>
        <w:rFonts w:ascii="Calibri" w:hAnsi="Calibri"/>
      </w:rPr>
      <w:instrText xml:space="preserve"> PAGE </w:instrText>
    </w:r>
    <w:r>
      <w:rPr>
        <w:rStyle w:val="Pagenumber"/>
        <w:sz w:val="20"/>
        <w:szCs w:val="20"/>
        <w:rFonts w:ascii="Calibri" w:hAnsi="Calibri"/>
      </w:rPr>
      <w:fldChar w:fldCharType="separate"/>
    </w:r>
    <w:r>
      <w:rPr>
        <w:rStyle w:val="Pagenumber"/>
        <w:sz w:val="20"/>
        <w:szCs w:val="20"/>
        <w:rFonts w:ascii="Calibri" w:hAnsi="Calibri"/>
      </w:rPr>
      <w:t>2</w:t>
    </w:r>
    <w:r>
      <w:rPr>
        <w:rStyle w:val="Pagenumber"/>
        <w:sz w:val="20"/>
        <w:szCs w:val="20"/>
        <w:rFonts w:ascii="Calibri" w:hAnsi="Calibri"/>
      </w:rPr>
      <w:fldChar w:fldCharType="end"/>
    </w:r>
    <w:r>
      <w:rPr>
        <w:rStyle w:val="Pagenumber"/>
        <w:rFonts w:ascii="Calibri" w:hAnsi="Calibri" w:asciiTheme="minorHAnsi" w:hAnsiTheme="minorHAnsi"/>
        <w:sz w:val="20"/>
        <w:szCs w:val="20"/>
      </w:rPr>
      <w:t xml:space="preserve"> z </w:t>
    </w:r>
    <w:r>
      <w:rPr>
        <w:rStyle w:val="Pagenumber"/>
        <w:rFonts w:ascii="Calibri" w:hAnsi="Calibri"/>
        <w:sz w:val="20"/>
        <w:szCs w:val="20"/>
      </w:rPr>
      <w:fldChar w:fldCharType="begin"/>
    </w:r>
    <w:r>
      <w:rPr>
        <w:rStyle w:val="Pagenumber"/>
        <w:sz w:val="20"/>
        <w:szCs w:val="20"/>
        <w:rFonts w:ascii="Calibri" w:hAnsi="Calibri"/>
      </w:rPr>
      <w:instrText xml:space="preserve"> NUMPAGES </w:instrText>
    </w:r>
    <w:r>
      <w:rPr>
        <w:rStyle w:val="Pagenumber"/>
        <w:sz w:val="20"/>
        <w:szCs w:val="20"/>
        <w:rFonts w:ascii="Calibri" w:hAnsi="Calibri"/>
      </w:rPr>
      <w:fldChar w:fldCharType="separate"/>
    </w:r>
    <w:r>
      <w:rPr>
        <w:rStyle w:val="Pagenumber"/>
        <w:sz w:val="20"/>
        <w:szCs w:val="20"/>
        <w:rFonts w:ascii="Calibri" w:hAnsi="Calibri"/>
      </w:rPr>
      <w:t>2</w:t>
    </w:r>
    <w:r>
      <w:rPr>
        <w:rStyle w:val="Pagenumber"/>
        <w:sz w:val="20"/>
        <w:szCs w:val="20"/>
        <w:rFonts w:ascii="Calibri" w:hAnsi="Calibri"/>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alloonText"/>
      <w:pBdr>
        <w:bottom w:val="single" w:sz="4" w:space="1" w:color="000000"/>
      </w:pBdr>
      <w:spacing w:lineRule="auto" w:line="276"/>
      <w:rPr>
        <w:rFonts w:ascii="Calibri" w:hAnsi="Calibri" w:cs="Calibri"/>
        <w:b/>
      </w:rPr>
    </w:pPr>
    <w:r>
      <w:rPr>
        <w:rFonts w:cs="Calibri" w:ascii="Calibri" w:hAnsi="Calibri"/>
        <w:b/>
        <w:bCs/>
        <w:iCs/>
        <w:sz w:val="20"/>
        <w:szCs w:val="20"/>
      </w:rPr>
      <w:t>Oznaczenie postępowania: TT/2026/0</w:t>
    </w:r>
    <w:r>
      <w:rPr>
        <w:rFonts w:cs="Calibri" w:ascii="Calibri" w:hAnsi="Calibri"/>
        <w:b/>
        <w:bCs/>
        <w:iCs/>
        <w:sz w:val="20"/>
        <w:szCs w:val="20"/>
      </w:rPr>
      <w:t>9</w:t>
    </w:r>
    <w:r>
      <w:rPr>
        <w:rFonts w:cs="Calibri" w:ascii="Calibri" w:hAnsi="Calibri"/>
        <w:b/>
        <w:bCs/>
        <w:iCs/>
        <w:sz w:val="20"/>
        <w:szCs w:val="20"/>
      </w:rPr>
      <w:t xml:space="preserve">                                                                                       </w:t>
    </w:r>
    <w:r>
      <w:rPr>
        <w:rFonts w:cs="Arial" w:ascii="Calibri" w:hAnsi="Calibri"/>
        <w:b/>
        <w:sz w:val="20"/>
        <w:szCs w:val="20"/>
      </w:rPr>
      <w:t>Załącznik nr 2 do SWZ</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97"/>
        </w:tabs>
        <w:ind w:left="397" w:hanging="397"/>
      </w:pPr>
      <w:rPr>
        <w:sz w:val="20"/>
        <w:i w:val="false"/>
        <w:b w:val="false"/>
        <w:rFonts w:ascii="Calibri" w:hAnsi="Calibri"/>
      </w:rPr>
    </w:lvl>
    <w:lvl w:ilvl="1">
      <w:start w:val="1"/>
      <w:numFmt w:val="decimal"/>
      <w:lvlText w:val="%1.%2."/>
      <w:lvlJc w:val="left"/>
      <w:pPr>
        <w:tabs>
          <w:tab w:val="num" w:pos="0"/>
        </w:tabs>
        <w:ind w:left="1070" w:hanging="360"/>
      </w:pPr>
      <w:rPr>
        <w:b w:val="false"/>
      </w:rPr>
    </w:lvl>
    <w:lvl w:ilvl="2">
      <w:start w:val="1"/>
      <w:numFmt w:val="decimal"/>
      <w:lvlText w:val="%1.%2.%3."/>
      <w:lvlJc w:val="left"/>
      <w:pPr>
        <w:tabs>
          <w:tab w:val="num" w:pos="0"/>
        </w:tabs>
        <w:ind w:left="720" w:hanging="720"/>
      </w:pPr>
      <w:rPr>
        <w:sz w:val="20"/>
        <w:szCs w:val="20"/>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
    <w:lvl w:ilvl="0">
      <w:start w:val="1"/>
      <w:numFmt w:val="decimal"/>
      <w:lvlText w:val="%1)"/>
      <w:lvlJc w:val="left"/>
      <w:pPr>
        <w:tabs>
          <w:tab w:val="num" w:pos="2880"/>
        </w:tabs>
        <w:ind w:left="2880" w:hanging="360"/>
      </w:pPr>
      <w:rPr>
        <w:sz w:val="18"/>
        <w:i w:val="false"/>
        <w:b w:val="false"/>
        <w:szCs w:val="18"/>
        <w:rFonts w:ascii="Verdana" w:hAnsi="Verdana"/>
      </w:rPr>
    </w:lvl>
    <w:lvl w:ilvl="1">
      <w:start w:val="3"/>
      <w:numFmt w:val="decimal"/>
      <w:lvlText w:val="%2."/>
      <w:lvlJc w:val="left"/>
      <w:pPr>
        <w:tabs>
          <w:tab w:val="num" w:pos="1440"/>
        </w:tabs>
        <w:ind w:left="1440" w:hanging="360"/>
      </w:pPr>
      <w:rPr>
        <w:sz w:val="20"/>
        <w:i w:val="false"/>
        <w:b w:val="false"/>
        <w:szCs w:val="18"/>
      </w:rPr>
    </w:lvl>
    <w:lvl w:ilvl="2">
      <w:start w:val="1"/>
      <w:numFmt w:val="decimal"/>
      <w:lvlText w:val="%3."/>
      <w:lvlJc w:val="left"/>
      <w:pPr>
        <w:tabs>
          <w:tab w:val="num" w:pos="2340"/>
        </w:tabs>
        <w:ind w:left="2340" w:hanging="360"/>
      </w:pPr>
      <w:rPr>
        <w:sz w:val="20"/>
        <w:i w:val="false"/>
        <w:b w:val="false"/>
        <w:szCs w:val="18"/>
        <w:rFonts w:ascii="Calibri" w:hAnsi="Calibri"/>
      </w:rPr>
    </w:lvl>
    <w:lvl w:ilvl="3">
      <w:start w:val="6"/>
      <w:numFmt w:val="decimal"/>
      <w:lvlText w:val="%4."/>
      <w:lvlJc w:val="left"/>
      <w:pPr>
        <w:tabs>
          <w:tab w:val="num" w:pos="2880"/>
        </w:tabs>
        <w:ind w:left="2880" w:hanging="360"/>
      </w:pPr>
      <w:rPr>
        <w:sz w:val="20"/>
        <w:i w:val="false"/>
        <w:b w:val="false"/>
        <w:szCs w:val="18"/>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7"/>
      <w:numFmt w:val="decimal"/>
      <w:lvlText w:val="%1."/>
      <w:lvlJc w:val="left"/>
      <w:pPr>
        <w:tabs>
          <w:tab w:val="num" w:pos="0"/>
        </w:tabs>
        <w:ind w:left="360" w:hanging="360"/>
      </w:pPr>
      <w:rPr/>
    </w:lvl>
    <w:lvl w:ilvl="1">
      <w:start w:val="1"/>
      <w:numFmt w:val="decimal"/>
      <w:lvlText w:val="%1.%2."/>
      <w:lvlJc w:val="left"/>
      <w:pPr>
        <w:tabs>
          <w:tab w:val="num" w:pos="0"/>
        </w:tabs>
        <w:ind w:left="1353" w:hanging="360"/>
      </w:pPr>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038" w:hanging="108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384" w:hanging="1440"/>
      </w:pPr>
      <w:rPr/>
    </w:lvl>
  </w:abstractNum>
  <w:abstractNum w:abstractNumId="4">
    <w:lvl w:ilvl="0">
      <w:start w:val="8"/>
      <w:numFmt w:val="decimal"/>
      <w:lvlText w:val="%1."/>
      <w:lvlJc w:val="left"/>
      <w:pPr>
        <w:tabs>
          <w:tab w:val="num" w:pos="0"/>
        </w:tabs>
        <w:ind w:left="360" w:hanging="360"/>
      </w:pPr>
      <w:rPr/>
    </w:lvl>
    <w:lvl w:ilvl="1">
      <w:start w:val="1"/>
      <w:numFmt w:val="decimal"/>
      <w:lvlText w:val="%1.%2."/>
      <w:lvlJc w:val="left"/>
      <w:pPr>
        <w:tabs>
          <w:tab w:val="num" w:pos="0"/>
        </w:tabs>
        <w:ind w:left="1353" w:hanging="360"/>
      </w:pPr>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3699" w:hanging="72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045" w:hanging="1080"/>
      </w:pPr>
      <w:rPr/>
    </w:lvl>
    <w:lvl w:ilvl="6">
      <w:start w:val="1"/>
      <w:numFmt w:val="decimal"/>
      <w:lvlText w:val="%1.%2.%3.%4.%5.%6.%7."/>
      <w:lvlJc w:val="left"/>
      <w:pPr>
        <w:tabs>
          <w:tab w:val="num" w:pos="0"/>
        </w:tabs>
        <w:ind w:left="7038" w:hanging="1080"/>
      </w:pPr>
      <w:rPr/>
    </w:lvl>
    <w:lvl w:ilvl="7">
      <w:start w:val="1"/>
      <w:numFmt w:val="decimal"/>
      <w:lvlText w:val="%1.%2.%3.%4.%5.%6.%7.%8."/>
      <w:lvlJc w:val="left"/>
      <w:pPr>
        <w:tabs>
          <w:tab w:val="num" w:pos="0"/>
        </w:tabs>
        <w:ind w:left="8391" w:hanging="1440"/>
      </w:pPr>
      <w:rPr/>
    </w:lvl>
    <w:lvl w:ilvl="8">
      <w:start w:val="1"/>
      <w:numFmt w:val="decimal"/>
      <w:lvlText w:val="%1.%2.%3.%4.%5.%6.%7.%8.%9."/>
      <w:lvlJc w:val="left"/>
      <w:pPr>
        <w:tabs>
          <w:tab w:val="num" w:pos="0"/>
        </w:tabs>
        <w:ind w:left="9384" w:hanging="144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902a2"/>
    <w:pPr>
      <w:widowControl/>
      <w:suppressAutoHyphens w:val="true"/>
      <w:bidi w:val="0"/>
      <w:spacing w:before="0" w:after="0"/>
      <w:jc w:val="left"/>
    </w:pPr>
    <w:rPr>
      <w:rFonts w:ascii="Arial" w:hAnsi="Arial" w:eastAsia="Times New Roman" w:cs="Arial"/>
      <w:color w:val="auto"/>
      <w:kern w:val="0"/>
      <w:sz w:val="22"/>
      <w:szCs w:val="24"/>
      <w:lang w:eastAsia="pl-PL" w:val="pl-PL" w:bidi="ar-SA"/>
    </w:rPr>
  </w:style>
  <w:style w:type="paragraph" w:styleId="Heading1">
    <w:name w:val="Heading 1"/>
    <w:basedOn w:val="Normal"/>
    <w:next w:val="Normal"/>
    <w:link w:val="Nagwek1Znak"/>
    <w:qFormat/>
    <w:rsid w:val="003902a2"/>
    <w:pPr>
      <w:keepNext w:val="true"/>
      <w:pBdr>
        <w:top w:val="single" w:sz="4" w:space="1" w:color="000000"/>
        <w:left w:val="single" w:sz="4" w:space="4" w:color="000000"/>
        <w:bottom w:val="single" w:sz="4" w:space="1" w:color="000000"/>
        <w:right w:val="single" w:sz="4" w:space="4" w:color="000000"/>
      </w:pBdr>
      <w:jc w:val="center"/>
      <w:outlineLvl w:val="0"/>
    </w:pPr>
    <w:rPr>
      <w:b/>
      <w:sz w:val="32"/>
      <w:szCs w:val="20"/>
    </w:rPr>
  </w:style>
  <w:style w:type="character" w:styleId="DefaultParagraphFont" w:default="1">
    <w:name w:val="Default Paragraph Font"/>
    <w:uiPriority w:val="1"/>
    <w:semiHidden/>
    <w:unhideWhenUsed/>
    <w:qFormat/>
    <w:rPr/>
  </w:style>
  <w:style w:type="character" w:styleId="Nagwek1Znak" w:customStyle="1">
    <w:name w:val="Nagłówek 1 Znak"/>
    <w:basedOn w:val="DefaultParagraphFont"/>
    <w:qFormat/>
    <w:rsid w:val="003902a2"/>
    <w:rPr>
      <w:rFonts w:ascii="Arial" w:hAnsi="Arial" w:eastAsia="Times New Roman" w:cs="Arial"/>
      <w:b/>
      <w:sz w:val="32"/>
      <w:szCs w:val="20"/>
      <w:lang w:eastAsia="pl-PL"/>
    </w:rPr>
  </w:style>
  <w:style w:type="character" w:styleId="NagwekZnak" w:customStyle="1">
    <w:name w:val="Nagłówek Znak"/>
    <w:basedOn w:val="DefaultParagraphFont"/>
    <w:uiPriority w:val="99"/>
    <w:qFormat/>
    <w:rsid w:val="00d31515"/>
    <w:rPr>
      <w:rFonts w:ascii="Arial" w:hAnsi="Arial" w:eastAsia="Times New Roman" w:cs="Arial"/>
      <w:szCs w:val="24"/>
      <w:lang w:eastAsia="pl-PL"/>
    </w:rPr>
  </w:style>
  <w:style w:type="character" w:styleId="StopkaZnak" w:customStyle="1">
    <w:name w:val="Stopka Znak"/>
    <w:basedOn w:val="DefaultParagraphFont"/>
    <w:uiPriority w:val="99"/>
    <w:qFormat/>
    <w:rsid w:val="00d31515"/>
    <w:rPr>
      <w:rFonts w:ascii="Arial" w:hAnsi="Arial" w:eastAsia="Times New Roman" w:cs="Arial"/>
      <w:szCs w:val="24"/>
      <w:lang w:eastAsia="pl-PL"/>
    </w:rPr>
  </w:style>
  <w:style w:type="character" w:styleId="TekstdymkaZnak" w:customStyle="1">
    <w:name w:val="Tekst dymka Znak"/>
    <w:basedOn w:val="DefaultParagraphFont"/>
    <w:link w:val="BalloonText"/>
    <w:semiHidden/>
    <w:qFormat/>
    <w:rsid w:val="00d31515"/>
    <w:rPr>
      <w:rFonts w:ascii="Tahoma" w:hAnsi="Tahoma" w:eastAsia="Times New Roman" w:cs="Times New Roman"/>
      <w:sz w:val="16"/>
      <w:szCs w:val="16"/>
      <w:lang w:eastAsia="pl-PL"/>
    </w:rPr>
  </w:style>
  <w:style w:type="character" w:styleId="TekstpodstawowyZnak" w:customStyle="1">
    <w:name w:val="Tekst podstawowy Znak"/>
    <w:basedOn w:val="DefaultParagraphFont"/>
    <w:qFormat/>
    <w:rsid w:val="001473c7"/>
    <w:rPr>
      <w:rFonts w:ascii="Times New Roman" w:hAnsi="Times New Roman" w:eastAsia="Times New Roman" w:cs="Times New Roman"/>
      <w:sz w:val="24"/>
      <w:szCs w:val="20"/>
      <w:lang w:eastAsia="pl-PL"/>
    </w:rPr>
  </w:style>
  <w:style w:type="character" w:styleId="FontStyle140" w:customStyle="1">
    <w:name w:val="Font Style140"/>
    <w:uiPriority w:val="99"/>
    <w:qFormat/>
    <w:rsid w:val="000811ed"/>
    <w:rPr>
      <w:rFonts w:ascii="Century Gothic" w:hAnsi="Century Gothic" w:cs="Century Gothic"/>
      <w:color w:val="000000"/>
      <w:sz w:val="18"/>
      <w:szCs w:val="18"/>
    </w:rPr>
  </w:style>
  <w:style w:type="character" w:styleId="Pagenumber">
    <w:name w:val="page number"/>
    <w:basedOn w:val="DefaultParagraphFont"/>
    <w:qFormat/>
    <w:rsid w:val="002d2c9c"/>
    <w:rPr/>
  </w:style>
  <w:style w:type="paragraph" w:styleId="Nagwek">
    <w:name w:val="Nagłówek"/>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link w:val="TekstpodstawowyZnak"/>
    <w:rsid w:val="001473c7"/>
    <w:pPr>
      <w:jc w:val="both"/>
    </w:pPr>
    <w:rPr>
      <w:rFonts w:ascii="Times New Roman" w:hAnsi="Times New Roman" w:cs="Times New Roman"/>
      <w:sz w:val="24"/>
      <w:szCs w:val="20"/>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ks" w:customStyle="1">
    <w:name w:val="Indeks"/>
    <w:basedOn w:val="Normal"/>
    <w:qFormat/>
    <w:pPr>
      <w:suppressLineNumbers/>
    </w:pPr>
    <w:rPr>
      <w:rFonts w:cs="Arial Unicode MS"/>
    </w:rPr>
  </w:style>
  <w:style w:type="paragraph" w:styleId="Gwkaistopka" w:customStyle="1">
    <w:name w:val="Główka i stopka"/>
    <w:basedOn w:val="Normal"/>
    <w:qFormat/>
    <w:pPr/>
    <w:rPr/>
  </w:style>
  <w:style w:type="paragraph" w:styleId="Header">
    <w:name w:val="Header"/>
    <w:basedOn w:val="Normal"/>
    <w:next w:val="BodyText"/>
    <w:link w:val="NagwekZnak"/>
    <w:uiPriority w:val="99"/>
    <w:unhideWhenUsed/>
    <w:rsid w:val="00d31515"/>
    <w:pPr>
      <w:tabs>
        <w:tab w:val="clear" w:pos="708"/>
        <w:tab w:val="center" w:pos="4536" w:leader="none"/>
        <w:tab w:val="right" w:pos="9072" w:leader="none"/>
      </w:tabs>
    </w:pPr>
    <w:rPr/>
  </w:style>
  <w:style w:type="paragraph" w:styleId="Caption1">
    <w:name w:val="caption1"/>
    <w:basedOn w:val="Normal"/>
    <w:qFormat/>
    <w:pPr>
      <w:suppressLineNumbers/>
      <w:spacing w:before="120" w:after="120"/>
    </w:pPr>
    <w:rPr>
      <w:rFonts w:cs="Arial Unicode MS"/>
      <w:i/>
      <w:iCs/>
      <w:sz w:val="24"/>
    </w:rPr>
  </w:style>
  <w:style w:type="paragraph" w:styleId="Footer">
    <w:name w:val="Footer"/>
    <w:basedOn w:val="Normal"/>
    <w:link w:val="StopkaZnak"/>
    <w:unhideWhenUsed/>
    <w:rsid w:val="00d31515"/>
    <w:pPr>
      <w:tabs>
        <w:tab w:val="clear" w:pos="708"/>
        <w:tab w:val="center" w:pos="4536" w:leader="none"/>
        <w:tab w:val="right" w:pos="9072" w:leader="none"/>
      </w:tabs>
    </w:pPr>
    <w:rPr/>
  </w:style>
  <w:style w:type="paragraph" w:styleId="BalloonText">
    <w:name w:val="Balloon Text"/>
    <w:basedOn w:val="Normal"/>
    <w:link w:val="TekstdymkaZnak"/>
    <w:semiHidden/>
    <w:qFormat/>
    <w:rsid w:val="00d31515"/>
    <w:pPr>
      <w:widowControl w:val="false"/>
    </w:pPr>
    <w:rPr>
      <w:rFonts w:ascii="Tahoma" w:hAnsi="Tahoma" w:cs="Times New Roman"/>
      <w:sz w:val="16"/>
      <w:szCs w:val="16"/>
    </w:rPr>
  </w:style>
  <w:style w:type="paragraph" w:styleId="Glowny1" w:customStyle="1">
    <w:name w:val="glowny1"/>
    <w:basedOn w:val="Normal"/>
    <w:qFormat/>
    <w:rsid w:val="00d31515"/>
    <w:pPr>
      <w:spacing w:before="240" w:after="120"/>
      <w:jc w:val="both"/>
    </w:pPr>
    <w:rPr>
      <w:rFonts w:ascii="Verdana" w:hAnsi="Verdana" w:cs="Times New Roman"/>
      <w:caps/>
      <w:szCs w:val="22"/>
    </w:rPr>
  </w:style>
  <w:style w:type="paragraph" w:styleId="ListParagraph">
    <w:name w:val="List Paragraph"/>
    <w:basedOn w:val="Normal"/>
    <w:uiPriority w:val="34"/>
    <w:qFormat/>
    <w:rsid w:val="00e47c42"/>
    <w:pPr>
      <w:spacing w:before="0" w:after="0"/>
      <w:ind w:left="720"/>
      <w:contextualSpacing/>
    </w:pPr>
    <w:rPr/>
  </w:style>
  <w:style w:type="paragraph" w:styleId="NoSpacing">
    <w:name w:val="No Spacing"/>
    <w:uiPriority w:val="1"/>
    <w:qFormat/>
    <w:rsid w:val="000811ed"/>
    <w:pPr>
      <w:widowControl/>
      <w:suppressAutoHyphens w:val="true"/>
      <w:bidi w:val="0"/>
      <w:spacing w:before="0" w:after="0"/>
      <w:jc w:val="left"/>
    </w:pPr>
    <w:rPr>
      <w:rFonts w:cs="Times New Roman" w:ascii="Calibri" w:hAnsi="Calibri" w:eastAsia="Calibri" w:asciiTheme="minorHAnsi" w:eastAsiaTheme="minorHAnsi" w:hAnsiTheme="minorHAnsi"/>
      <w:color w:val="auto"/>
      <w:kern w:val="0"/>
      <w:sz w:val="22"/>
      <w:szCs w:val="22"/>
      <w:lang w:val="pl-PL" w:eastAsia="en-US" w:bidi="ar-SA"/>
    </w:rPr>
  </w:style>
  <w:style w:type="paragraph" w:styleId="Style19" w:customStyle="1">
    <w:name w:val="Style19"/>
    <w:basedOn w:val="Normal"/>
    <w:uiPriority w:val="99"/>
    <w:qFormat/>
    <w:rsid w:val="000811ed"/>
    <w:pPr>
      <w:widowControl w:val="false"/>
      <w:spacing w:lineRule="exact" w:line="250"/>
      <w:ind w:hanging="475"/>
      <w:jc w:val="both"/>
    </w:pPr>
    <w:rPr>
      <w:rFonts w:ascii="Century Gothic" w:hAnsi="Century Gothic" w:cs="Times New Roman"/>
      <w:sz w:val="24"/>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13036-9297-49A6-AE0B-A856B011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LibreOffice/7.6.2.1$MacOSX_X86_64 LibreOffice_project/56f7684011345957bbf33a7ee678afaf4d2ba333</Application>
  <AppVersion>15.0000</AppVersion>
  <Pages>2</Pages>
  <Words>544</Words>
  <Characters>3632</Characters>
  <CharactersWithSpaces>4373</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2026-07-22T11:54:00Z</dcterms:created>
  <dc:creator>user</dc:creator>
  <dc:description/>
  <dc:language>pl-PL</dc:language>
  <cp:lastModifiedBy/>
  <cp:lastPrinted>2024-07-09T06:07:00Z</cp:lastPrinted>
  <dcterms:modified xsi:type="dcterms:W3CDTF">2026-08-18T14:20:10Z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