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60"/>
        <w:jc w:val="both"/>
        <w:rPr>
          <w:i/>
          <w:iCs/>
          <w:sz w:val="16"/>
          <w:szCs w:val="16"/>
        </w:rPr>
      </w:pPr>
      <w:r>
        <w:rPr>
          <w:i/>
          <w:iCs/>
          <w:sz w:val="16"/>
          <w:szCs w:val="16"/>
        </w:rPr>
      </w:r>
    </w:p>
    <w:p>
      <w:pPr>
        <w:pStyle w:val="Normal"/>
        <w:spacing w:lineRule="auto" w:line="276" w:before="160" w:after="120"/>
        <w:jc w:val="center"/>
        <w:rPr/>
      </w:pPr>
      <w:r>
        <w:rPr>
          <w:b/>
          <w:bCs/>
          <w:sz w:val="24"/>
          <w:szCs w:val="24"/>
        </w:rPr>
        <w:t>ZAŁĄCZNIK NR 1 DO SWZ</w:t>
      </w:r>
    </w:p>
    <w:p>
      <w:pPr>
        <w:pStyle w:val="Normal"/>
        <w:spacing w:lineRule="auto" w:line="276" w:before="160" w:after="120"/>
        <w:jc w:val="center"/>
        <w:rPr/>
      </w:pPr>
      <w:r>
        <w:rPr>
          <w:b/>
          <w:bCs/>
          <w:sz w:val="24"/>
          <w:szCs w:val="24"/>
        </w:rPr>
        <w:t>OPIS PRZEDMIOTU ZAMÓWIENIA</w:t>
      </w:r>
    </w:p>
    <w:p>
      <w:pPr>
        <w:pStyle w:val="Normal"/>
        <w:spacing w:lineRule="auto" w:line="276" w:before="120" w:after="120"/>
        <w:jc w:val="both"/>
        <w:rPr>
          <w:b/>
          <w:bCs/>
        </w:rPr>
      </w:pPr>
      <w:r>
        <w:rPr>
          <w:b/>
          <w:bCs/>
        </w:rPr>
      </w:r>
    </w:p>
    <w:p>
      <w:pPr>
        <w:pStyle w:val="Normal"/>
        <w:spacing w:lineRule="auto" w:line="276" w:before="120" w:after="120"/>
        <w:jc w:val="both"/>
        <w:rPr>
          <w:b/>
          <w:bCs/>
        </w:rPr>
      </w:pPr>
      <w:r>
        <w:rPr>
          <w:b/>
          <w:bCs/>
        </w:rPr>
        <w:t>NAZWA ZAMÓWIENIA:</w:t>
      </w:r>
    </w:p>
    <w:p>
      <w:pPr>
        <w:pStyle w:val="Normal"/>
        <w:numPr>
          <w:ilvl w:val="0"/>
          <w:numId w:val="1"/>
        </w:numPr>
        <w:spacing w:lineRule="auto" w:line="276" w:before="0" w:after="80"/>
        <w:jc w:val="both"/>
        <w:rPr/>
      </w:pPr>
      <w:r>
        <w:rPr/>
        <w:t xml:space="preserve">Realizacja usług społecznych dla uczestników projektu pn.: „Centrum Usług Społecznych </w:t>
        <w:br/>
        <w:t>w Nowogardzie” – Realizacja pakietu edukacyjnego dla seniorów.</w:t>
      </w:r>
    </w:p>
    <w:p>
      <w:pPr>
        <w:pStyle w:val="Normal"/>
        <w:numPr>
          <w:ilvl w:val="0"/>
          <w:numId w:val="1"/>
        </w:numPr>
        <w:spacing w:lineRule="auto" w:line="276" w:before="0" w:after="80"/>
        <w:jc w:val="both"/>
        <w:rPr/>
      </w:pPr>
      <w:r>
        <w:rPr/>
        <w:t>Przedmiotem zamówienia jest realizacja pakietu edukacyjnego dla seniorów.</w:t>
      </w:r>
    </w:p>
    <w:p>
      <w:pPr>
        <w:pStyle w:val="Normal"/>
        <w:numPr>
          <w:ilvl w:val="0"/>
          <w:numId w:val="1"/>
        </w:numPr>
        <w:spacing w:lineRule="auto" w:line="276" w:before="0" w:after="80"/>
        <w:jc w:val="both"/>
        <w:rPr/>
      </w:pPr>
      <w:r>
        <w:rPr/>
        <w:t>Termin realizacji zamówienia do 30.06.2028 r. Termin odpowiada dacie zakończenia okresu realizacji Projektu. Zasady rozliczenia końcowego, uwzględniające okres kwalifikowalności wydatków, określa wzór umowy stanowiący załącznik nr 10 do SWZ; Wykonawca zobowiązany jest przekazywać dokumentację realizacji usługi na bieżąco, w terminach określonych w tym wzorze.</w:t>
      </w:r>
    </w:p>
    <w:p>
      <w:pPr>
        <w:pStyle w:val="Normal"/>
        <w:numPr>
          <w:ilvl w:val="0"/>
          <w:numId w:val="1"/>
        </w:numPr>
        <w:spacing w:lineRule="auto" w:line="276" w:before="0" w:after="80"/>
        <w:jc w:val="both"/>
        <w:rPr/>
      </w:pPr>
      <w:r>
        <w:rPr/>
        <w:t>Stosowane w niniejszym dokumencie określenie „godzina dydaktyczna” i/lub „godzina” oznacza jednostkę czasu równą 45 minut.</w:t>
      </w:r>
    </w:p>
    <w:p>
      <w:pPr>
        <w:pStyle w:val="Normal"/>
        <w:numPr>
          <w:ilvl w:val="0"/>
          <w:numId w:val="0"/>
        </w:numPr>
        <w:spacing w:lineRule="auto" w:line="276" w:before="0" w:after="80"/>
        <w:ind w:hanging="0" w:start="720"/>
        <w:jc w:val="both"/>
        <w:rPr/>
      </w:pPr>
      <w:r>
        <w:rPr/>
      </w:r>
    </w:p>
    <w:p>
      <w:pPr>
        <w:pStyle w:val="Normal"/>
        <w:spacing w:lineRule="auto" w:line="276" w:before="120" w:after="120"/>
        <w:jc w:val="center"/>
        <w:rPr/>
      </w:pPr>
      <w:r>
        <w:rPr>
          <w:b/>
          <w:bCs/>
        </w:rPr>
        <w:t>PAKIET EDUKACYJNY DLA SENIORÓW</w:t>
      </w:r>
    </w:p>
    <w:p>
      <w:pPr>
        <w:pStyle w:val="Normal"/>
        <w:spacing w:lineRule="auto" w:line="276" w:before="120" w:after="120"/>
        <w:jc w:val="center"/>
        <w:rPr/>
      </w:pPr>
      <w:r>
        <w:rPr>
          <w:b/>
          <w:bCs/>
        </w:rPr>
        <w:t>INFORMACJE OGÓLNE</w:t>
      </w:r>
    </w:p>
    <w:p>
      <w:pPr>
        <w:pStyle w:val="Normal"/>
        <w:numPr>
          <w:ilvl w:val="0"/>
          <w:numId w:val="2"/>
        </w:numPr>
        <w:spacing w:lineRule="auto" w:line="276" w:before="0" w:after="80"/>
        <w:jc w:val="both"/>
        <w:rPr/>
      </w:pPr>
      <w:r>
        <w:rPr/>
        <w:t>Zamawiający zapewnia salę na potrzeby realizacji usługi.</w:t>
      </w:r>
    </w:p>
    <w:p>
      <w:pPr>
        <w:pStyle w:val="Normal"/>
        <w:numPr>
          <w:ilvl w:val="0"/>
          <w:numId w:val="2"/>
        </w:numPr>
        <w:spacing w:lineRule="auto" w:line="276" w:before="0" w:after="80"/>
        <w:jc w:val="both"/>
        <w:rPr/>
      </w:pPr>
      <w:r>
        <w:rPr/>
        <w:t xml:space="preserve">Wykonawca zobowiązany jest do oznakowania wszystkich materiałów dydaktycznych oraz wszelkiej dokumentacji związanej z realizacją i rozliczeniem zadania zgodnie z aktualnymi zasadami informacji i promocji obowiązującymi dla projektów realizowanych w ramach umów podpisanych od 1 stycznia 2024 r. Oznakowanie powinno uwzględniać wszystkie wymagane elementy identyfikacyjne, w tym logotypy i informacje o współfinansowaniu, zgodnie z wytycznymi określonymi w Podręczniku Beneficjenta w zakresie informacji </w:t>
        <w:br/>
        <w:t xml:space="preserve">i promocji Funduszy Europejskich na lata 2021–2027, udostępnionym przez Instytucję Zarządzającą. Wykonawca zobowiązuje się do stosowania w materiałach jednolitej </w:t>
        <w:br/>
        <w:t xml:space="preserve">i zgodnej z wytycznymi identyfikacji wizualnej, tak aby zapewnić ich pełną zgodność </w:t>
        <w:br/>
        <w:t xml:space="preserve">z obowiązującymi standardami. </w:t>
      </w:r>
    </w:p>
    <w:p>
      <w:pPr>
        <w:pStyle w:val="Normal"/>
        <w:spacing w:lineRule="auto" w:line="276" w:before="0" w:after="80"/>
        <w:ind w:start="840"/>
        <w:jc w:val="both"/>
        <w:rPr/>
      </w:pPr>
      <w:hyperlink r:id="rId2">
        <w:r>
          <w:rPr>
            <w:rStyle w:val="Hyperlink"/>
          </w:rPr>
          <w:t>https://www.funduszeeuropejskie.gov.pl/media/117275/Podrecznik_beneficjenta_info-promo_21-27.pdf</w:t>
        </w:r>
      </w:hyperlink>
    </w:p>
    <w:p>
      <w:pPr>
        <w:pStyle w:val="Normal"/>
        <w:numPr>
          <w:ilvl w:val="0"/>
          <w:numId w:val="2"/>
        </w:numPr>
        <w:spacing w:lineRule="auto" w:line="276" w:before="0" w:after="80"/>
        <w:jc w:val="both"/>
        <w:rPr/>
      </w:pPr>
      <w:r>
        <w:rPr/>
        <w:t xml:space="preserve">Dokumentacja realizacji usługi musi być prowadzona rzetelnie i na bieżąco. Dokumentacja przekazywana będzie Zamawiającemu przez Wykonawcę w sposób i w terminach wskazanych w Projektowanych postanowieniach umowy (załącznik nr 10 do SWZ) oraz </w:t>
        <w:br/>
        <w:t>w niniejszym opisie przedmiotu zamówienia. Zamawiający zastrzega sobie, w każdym czasie w okresie realizacji danego zadania, prawo do wglądu w dokumentację zadania oraz prawo do żądania kserokopii dowolnej części dokumentacji danego zadania.</w:t>
      </w:r>
    </w:p>
    <w:p>
      <w:pPr>
        <w:pStyle w:val="Normal"/>
        <w:numPr>
          <w:ilvl w:val="0"/>
          <w:numId w:val="2"/>
        </w:numPr>
        <w:spacing w:lineRule="auto" w:line="276" w:before="0" w:after="80"/>
        <w:jc w:val="both"/>
        <w:rPr/>
      </w:pPr>
      <w:r>
        <w:rPr/>
        <w:t xml:space="preserve">Wykonawca zapewnia Koordynatora – osobę pełniącą funkcję koordynatora zamówienia, odpowiedzialną za organizację usług szkoleniowych, która w imieniu Wykonawcy koordynuje realizację umowy w sprawie zamówienia publicznego. Funkcji koordynatora  </w:t>
        <w:br/>
        <w:t xml:space="preserve">nie może pełnić osoba zatrudniona w charakterze trenera / szkoleniowca. Koordynator  </w:t>
        <w:br/>
        <w:t>w szczególności odpowiada za:</w:t>
      </w:r>
    </w:p>
    <w:p>
      <w:pPr>
        <w:pStyle w:val="Normal"/>
        <w:numPr>
          <w:ilvl w:val="0"/>
          <w:numId w:val="3"/>
        </w:numPr>
        <w:spacing w:lineRule="auto" w:line="276" w:before="0" w:after="80"/>
        <w:ind w:hanging="240" w:start="720"/>
        <w:jc w:val="both"/>
        <w:rPr/>
      </w:pPr>
      <w:r>
        <w:rPr/>
        <w:t>prawidłową koordynację i obsługę organizacyjną realizacji umowy oraz współpracę ze strony Wykonawcy,</w:t>
      </w:r>
    </w:p>
    <w:p>
      <w:pPr>
        <w:pStyle w:val="Normal"/>
        <w:numPr>
          <w:ilvl w:val="0"/>
          <w:numId w:val="3"/>
        </w:numPr>
        <w:spacing w:lineRule="auto" w:line="276" w:before="0" w:after="80"/>
        <w:ind w:hanging="240" w:start="720"/>
        <w:jc w:val="both"/>
        <w:rPr/>
      </w:pPr>
      <w:r>
        <w:rPr/>
        <w:t>koordynator zobowiązany jest do niezwłocznego informowania Zamawiającego o wszelkich trudnościach pojawiających się w toku realizacji zamówienia, w szczególności zagrażających jego prawidłowemu lub terminowemu wykonaniu oraz udzielenia pełnej informacji na temat stanu realizacji Przedmiotu umowy, postępu i zakresu wykonania zadań,</w:t>
      </w:r>
    </w:p>
    <w:p>
      <w:pPr>
        <w:pStyle w:val="Normal"/>
        <w:numPr>
          <w:ilvl w:val="0"/>
          <w:numId w:val="3"/>
        </w:numPr>
        <w:spacing w:lineRule="auto" w:line="276" w:before="0" w:after="80"/>
        <w:ind w:hanging="240" w:start="720"/>
        <w:jc w:val="both"/>
        <w:rPr/>
      </w:pPr>
      <w:r>
        <w:rPr/>
        <w:t>koordynator odpowiada za terminowy przepływ dokumentacji do Zamawiającego,</w:t>
      </w:r>
    </w:p>
    <w:p>
      <w:pPr>
        <w:pStyle w:val="Normal"/>
        <w:numPr>
          <w:ilvl w:val="0"/>
          <w:numId w:val="3"/>
        </w:numPr>
        <w:spacing w:lineRule="auto" w:line="276" w:before="0" w:after="80"/>
        <w:ind w:hanging="240" w:start="720"/>
        <w:jc w:val="both"/>
        <w:rPr/>
      </w:pPr>
      <w:r>
        <w:rPr/>
        <w:t>koordynator wspiera Zamawiającego w trakcie ewentualnych kontroli projektu ze strony Instytucji Pośredniczącej i/lub Instytucji Zarządzającej, udzielając wszelkich wyjaśnień dotyczących realizacji usługi,</w:t>
      </w:r>
    </w:p>
    <w:p>
      <w:pPr>
        <w:pStyle w:val="Normal"/>
        <w:numPr>
          <w:ilvl w:val="0"/>
          <w:numId w:val="3"/>
        </w:numPr>
        <w:spacing w:lineRule="auto" w:line="276" w:before="0" w:after="80"/>
        <w:ind w:hanging="240" w:start="720"/>
        <w:jc w:val="both"/>
        <w:rPr/>
      </w:pPr>
      <w:r>
        <w:rPr/>
        <w:t xml:space="preserve">koordynator reprezentuje Wykonawcę w kontaktach z Zamawiającym oraz uczestniczy  </w:t>
        <w:br/>
        <w:t>w procedurze odbioru realizowanej usługi,</w:t>
      </w:r>
    </w:p>
    <w:p>
      <w:pPr>
        <w:pStyle w:val="Normal"/>
        <w:numPr>
          <w:ilvl w:val="0"/>
          <w:numId w:val="3"/>
        </w:numPr>
        <w:spacing w:lineRule="auto" w:line="276" w:before="0" w:after="80"/>
        <w:ind w:hanging="240" w:start="720"/>
        <w:jc w:val="both"/>
        <w:rPr/>
      </w:pPr>
      <w:r>
        <w:rPr/>
        <w:t>koordynator przedstawia Zamawiającemu harmonogram/harmonogramy realizacji zamówienia uwzględniający/ce zasady i terminy realizacji zadań zawarte w opisie przedmiotu zamówienia oraz Projektowanych postanowieniach umowy,</w:t>
      </w:r>
    </w:p>
    <w:p>
      <w:pPr>
        <w:pStyle w:val="Normal"/>
        <w:numPr>
          <w:ilvl w:val="0"/>
          <w:numId w:val="3"/>
        </w:numPr>
        <w:spacing w:lineRule="auto" w:line="276" w:before="0" w:after="80"/>
        <w:ind w:hanging="240" w:start="720"/>
        <w:jc w:val="both"/>
        <w:rPr/>
      </w:pPr>
      <w:r>
        <w:rPr/>
        <w:t xml:space="preserve">koordynator w terminie 21 dni po podpisaniu umowy w sprawie zamówienia publicznego przedstawi Zamawiającemu harmonogram realizacji usług ze wskazaniem godzin i osoby prowadzącej dane szkolenie/warsztaty, uwzględniający zasady  </w:t>
        <w:br/>
        <w:t>i terminy realizacji zadań zawarte w niniejszym opisie przedmiotu zamówienia, Zamawiający dopuszcza możliwość korekt i zmian w harmonogramie w drodze pisemnych uzgodnień stron, przy czym każda zmiana harmonogramu wymaga uprzedniej akceptacji Zamawiającego.</w:t>
      </w:r>
    </w:p>
    <w:p>
      <w:pPr>
        <w:pStyle w:val="Normal"/>
        <w:numPr>
          <w:ilvl w:val="0"/>
          <w:numId w:val="3"/>
        </w:numPr>
        <w:spacing w:lineRule="auto" w:line="276" w:before="0" w:after="80"/>
        <w:ind w:hanging="240" w:start="720"/>
        <w:jc w:val="both"/>
        <w:rPr/>
      </w:pPr>
      <w:r>
        <w:rPr/>
        <w:t>koordynator pozostaje dostępny dla Zamawiającego drogą telefoniczną, mailową co najmniej 2 godziny dziennie w dni robocze, w godzinach pracy Zamawiającego tj. w przedziale godzin 7:30–15:30.</w:t>
      </w:r>
    </w:p>
    <w:p>
      <w:pPr>
        <w:pStyle w:val="Normal"/>
        <w:numPr>
          <w:ilvl w:val="0"/>
          <w:numId w:val="2"/>
        </w:numPr>
        <w:spacing w:lineRule="auto" w:line="276" w:before="0" w:after="80"/>
        <w:jc w:val="both"/>
        <w:rPr/>
      </w:pPr>
      <w:r>
        <w:rPr/>
        <w:t xml:space="preserve">Wykonawca zobowiązany jest do zapewnienia kadry trenerskiej posiadającej kwalifikacje, wiedzę oraz doświadczenie adekwatne do zakresu i tematyki realizowanych zajęć. Trenerzy powinni dysponować kompetencjami merytorycznymi i praktycznymi umożliwiającymi prowadzenie warsztatów na wysokim poziomie, z uwzględnieniem specyfiki grupy docelowej oraz celów poszczególnych zadań. Osoby prowadzące zajęcia powinny posiadać przygotowanie zawodowe i umiejętności odpowiadające charakterowi powierzonych im zadań oraz stosować metody pracy dostosowane do wieku, potrzeb </w:t>
        <w:br/>
        <w:t xml:space="preserve">i możliwości uczestników. Szczegółowy opis wymaganych kwalifikacji i kompetencji kadry przewidzianej do realizacji usługi znajduje się w dalszej części niniejszego opisu przedmiotu zamówienia. Wykonawca zobowiązany jest zapewnić, aby osoby prowadzące zajęcia spełniały wymagania wynikające z zasad kwalifikowalności wydatków, tj. posiadały wykształcenie wyższe/zawodowe lub certyfikat/zaświadczenie/inne uprawnienia umożliwiające przeprowadzenie danego wsparcia, przy czym minimalne doświadczenie zawodowe w danej dziedzinie nie może być krótsze niż 2 lata. Powyższy wymóg określa minimalny standard; jeżeli dla danego zadania określono w dalszej części opisu przedmiotu zamówienia lub w warunkach udziału w postępowaniu wymagania szczegółowe (w tym wymóg wykształcenia wyższego kierunkowego), stosuje się wymagania szczegółowe. Sposób liczenia okresu doświadczenia określa pkt 3.1.4.3 SWZ. Warsztaty prowadzi osoba wskazana imiennie w Formularzu ofertowym; jej zmiana jest dopuszczalna wyłącznie  </w:t>
        <w:br/>
        <w:t xml:space="preserve">na zasadach określonych we wzorze umowy, na osobę o kwalifikacjach i doświadczeniu nie niższych niż zadeklarowane. Spełnianie powyższych wymagań podlega weryfikacji przez Zamawiającego przed zawarciem umowy oraz na każdym etapie jej realizacji. Przed zawarciem umowy Wykonawca przedłoży Zamawiającemu dokumenty potwierdzające kwalifikacje i doświadczenie osoby skierowanej do prowadzenia warsztatów. Obowiązek ten jest odrębny od złożenia wykazu osób jako podmiotowego środka dowodowego  </w:t>
        <w:br/>
        <w:t xml:space="preserve">na potwierdzenie spełniania warunków udziału (składanego na wezwanie zgodnie z SWZ). W przypadku zmiany tej osoby w trakcie realizacji umowy Wykonawca przedłoży dokumenty dotyczące nowej osoby najpóźniej na 7 dni przed rozpoczęciem przez nią zajęć; nowa osoba musi posiadać kwalifikacje i doświadczenie nie niższe niż zadeklarowane  </w:t>
        <w:br/>
        <w:t xml:space="preserve">w ofercie i spełniać wymagania określone w opisie przedmiotu zamówienia, a zmiana wymaga uprzedniej akceptacji Zamawiającego.  </w:t>
      </w:r>
    </w:p>
    <w:p>
      <w:pPr>
        <w:pStyle w:val="Normal"/>
        <w:numPr>
          <w:ilvl w:val="0"/>
          <w:numId w:val="2"/>
        </w:numPr>
        <w:spacing w:lineRule="auto" w:line="276" w:before="0" w:after="80"/>
        <w:jc w:val="both"/>
        <w:rPr/>
      </w:pPr>
      <w:r>
        <w:rPr/>
        <w:t xml:space="preserve">Wykonawca zobowiązany jest do wystawienia każdemu uczestnikowi szkolenia imiennego certyfikatu potwierdzającego ukończenie zajęć. Dokument ten powinien zawierać </w:t>
        <w:br/>
        <w:t>w szczególności informacje dotyczące tematyki szkolenia oraz jego całkowitego wymiaru godzin. Certyfikaty muszą być sporządzone w sposób czytelny, zgodny z obowiązującymi standardami oraz przekazane uczestnikom po zakończeniu szkolenia.</w:t>
      </w:r>
    </w:p>
    <w:p>
      <w:pPr>
        <w:pStyle w:val="Normal"/>
        <w:numPr>
          <w:ilvl w:val="0"/>
          <w:numId w:val="2"/>
        </w:numPr>
        <w:spacing w:lineRule="auto" w:line="276" w:before="0" w:after="80"/>
        <w:jc w:val="both"/>
        <w:rPr/>
      </w:pPr>
      <w:r>
        <w:rPr/>
        <w:t>Wykonawca zobowiązany jest do przeprowadzenia pełnej ewaluacji zajęć, obejmującej ocenę szkolenia zarówno przed jego rozpoczęciem, jak i po jego zakończeniu. Ewaluacja realizowana będzie z wykorzystaniem ankiet ex ante i ex post, przygotowanych w oparciu o wytyczne oraz ustalenia przekazane przez Zamawiającego. Celem ankiety ex ante jest rozpoznanie oczekiwań, poziomu wiedzy oraz potrzeb uczestników przed rozpoczęciem zajęć, natomiast ankieta ex post umożliwia ocenę efektywności szkolenia, stopnia osiągnięcia zakładanych celów oraz satysfakcji uczestników po jego zakończeniu. Dodatkowo uczestnicy dokonają oceny zajęć poprzez wypełnienie ankiety ogólnej, która pozwoli na zebranie opinii dotyczących jakości merytorycznej, organizacji oraz sposobu prowadzenia szkolenia. Wszystkie zebrane wyniki pozwolą na całościową analizę przebiegu zajęć oraz ich wpływu na uczestników.</w:t>
      </w:r>
    </w:p>
    <w:p>
      <w:pPr>
        <w:pStyle w:val="Normal"/>
        <w:numPr>
          <w:ilvl w:val="0"/>
          <w:numId w:val="2"/>
        </w:numPr>
        <w:spacing w:lineRule="auto" w:line="276" w:before="0" w:after="80"/>
        <w:jc w:val="both"/>
        <w:rPr/>
      </w:pPr>
      <w:r>
        <w:rPr/>
        <w:t xml:space="preserve">Zamawiający zastrzega sobie prawo dokonywania kontroli realizacji zamówienia, </w:t>
        <w:br/>
        <w:t>a Wykonawca zobowiązany jest do zapewnienia możliwości udziału w szkoleniach osobom kontrolującym wskazanym przez Zamawiającego, w szczególności poprzez zapewnienie możliwości obserwacji przebiegu warsztatów i wglądu do materiałów szkoleniowych. Udział osób kontrolujących ma charakter obserwacyjny i nie wiąże się z obowiązkiem zapewnienia im świadczeń przewidzianych dla uczestników warsztatów, w szczególności wyżywienia, przerwy kawowej ani materiałów szkoleniowych.</w:t>
      </w:r>
    </w:p>
    <w:p>
      <w:pPr>
        <w:pStyle w:val="Normal"/>
        <w:numPr>
          <w:ilvl w:val="0"/>
          <w:numId w:val="2"/>
        </w:numPr>
        <w:spacing w:lineRule="auto" w:line="276" w:before="0" w:after="80"/>
        <w:jc w:val="both"/>
        <w:rPr/>
      </w:pPr>
      <w:r>
        <w:rPr/>
        <w:t xml:space="preserve">Wykonawca w terminie do 30 dni od zakończenia realizacji usługi przygotuje i przedłoży Zamawiającemu dokumentację realizacji usługi zgodnie z wytycznymi określonymi </w:t>
        <w:br/>
        <w:t xml:space="preserve">w niniejszym opisie przedmiotu zamówienia. Przekazanie dokumentacji następuje </w:t>
        <w:br/>
        <w:t>w związku ze zgłoszeniem realizacji zadania do odbioru.</w:t>
      </w:r>
    </w:p>
    <w:p>
      <w:pPr>
        <w:pStyle w:val="Normal"/>
        <w:numPr>
          <w:ilvl w:val="0"/>
          <w:numId w:val="2"/>
        </w:numPr>
        <w:spacing w:lineRule="auto" w:line="276" w:before="0" w:after="80"/>
        <w:jc w:val="both"/>
        <w:rPr/>
      </w:pPr>
      <w:r>
        <w:rPr/>
        <w:t xml:space="preserve">Wykonawca zobowiązany jest do realizacji warsztatów zgodnie z zasadą równości szans </w:t>
        <w:br/>
        <w:t>i niedyskryminacji, w tym dostępności dla osób z niepełnosprawnościami.</w:t>
      </w:r>
    </w:p>
    <w:p>
      <w:pPr>
        <w:pStyle w:val="Normal"/>
        <w:numPr>
          <w:ilvl w:val="0"/>
          <w:numId w:val="2"/>
        </w:numPr>
        <w:spacing w:lineRule="auto" w:line="276" w:before="0" w:after="80"/>
        <w:jc w:val="both"/>
        <w:rPr/>
      </w:pPr>
      <w:r>
        <w:rPr/>
        <w:t xml:space="preserve">Wykonawca realizuje zamówienie z zapewnieniem dostępności dla osób ze szczególnymi potrzebami, zgodnie ze Standardami dostępności dla polityki spójności 2021–2027 (standard szkoleniowy oraz standard informacyjno-promocyjny w zakresie informacji pisanej), w zakresie pozostającym w jego gestii, tj. w zakresie sposobu prowadzenia zajęć, wsparcia uczestników oraz przygotowania materiałów i informacji; zapewnienie dostępności architektonicznej miejsca realizacji zajęć nie obciąża Wykonawcy i należy  </w:t>
        <w:br/>
        <w:t xml:space="preserve">do Zamawiającego. Wykonawca zapewnia w szczególności: a) w przypadku udziału osób  </w:t>
        <w:br/>
        <w:t xml:space="preserve">z niepełnosprawnościami zapewnia się wsparcie na wyrównywanie szans (m.in. asystenta osoby z niepełnosprawnością, tłumacza-przewodnika, technologie asystujące), elastyczność form wsparcia (wydłużony czas zajęć, krótsze sesje, częstsze i dłuższe przerwy) oraz warunki sprzyjające bezpieczeństwu psychicznemu uczestników;  </w:t>
        <w:br/>
        <w:t xml:space="preserve">b) materiały przekazywane uczestnikom są przygotowane w sposób dostępny  </w:t>
        <w:br/>
        <w:t xml:space="preserve">i udostępniane  co najmniej w wersji elektronicznej: prostym językiem, czcionką bezszeryfową (np. Arial, Verdana, Tahoma) o rozmiarze nie mniejszym niż 12 punktów,  </w:t>
        <w:br/>
        <w:t xml:space="preserve">z interlinią 1,15–1,5, tekstem wyrównanym do lewej (bez justowania), z zachowaniem kontrastu tekstu do tła,  z zastosowaniem stylów nagłówkowych, a pliki PDF — z warstwą tekstową i tagami struktury; c) prezentacje multimedialne stosowane podczas zajęć spełniają kryteria dostępności: czcionka bezszeryfowa nie mniejsza niż 18 punktów, unikalne tytuły slajdów, kontrast tekstu do tła, tekst alternatywny dla grafik, ograniczona ilość tekstu na slajdzie;  d) zapewnia się możliwość udziału z psem asystującym;  </w:t>
        <w:br/>
        <w:t xml:space="preserve">e) komunikacja  z uczestnikami odbywa się co najmniej dwoma kanałami (np. telefon  </w:t>
        <w:br/>
        <w:t>i poczta elektroniczna).</w:t>
      </w:r>
    </w:p>
    <w:p>
      <w:pPr>
        <w:pStyle w:val="Normal"/>
        <w:spacing w:lineRule="auto" w:line="276" w:before="0" w:after="80"/>
        <w:ind w:start="840"/>
        <w:jc w:val="both"/>
        <w:rPr/>
      </w:pPr>
      <w:r>
        <w:rPr/>
      </w:r>
    </w:p>
    <w:p>
      <w:pPr>
        <w:pStyle w:val="Normal"/>
        <w:spacing w:lineRule="auto" w:line="276" w:before="200" w:after="120"/>
        <w:jc w:val="both"/>
        <w:rPr/>
      </w:pPr>
      <w:r>
        <w:rPr>
          <w:b/>
          <w:bCs/>
        </w:rPr>
        <w:t>Realizacja pakietu edukacyjnego dla seniorów</w:t>
      </w:r>
    </w:p>
    <w:p>
      <w:pPr>
        <w:pStyle w:val="Normal"/>
        <w:spacing w:lineRule="auto" w:line="276" w:before="0" w:after="120"/>
        <w:jc w:val="both"/>
        <w:rPr/>
      </w:pPr>
      <w:r>
        <w:rPr>
          <w:b/>
          <w:bCs/>
        </w:rPr>
        <w:t>I. Przedmiot zamówienia</w:t>
      </w:r>
    </w:p>
    <w:p>
      <w:pPr>
        <w:pStyle w:val="Normal"/>
        <w:numPr>
          <w:ilvl w:val="0"/>
          <w:numId w:val="4"/>
        </w:numPr>
        <w:spacing w:lineRule="auto" w:line="276" w:before="0" w:after="80"/>
        <w:jc w:val="both"/>
        <w:rPr/>
      </w:pPr>
      <w:r>
        <w:rPr/>
        <w:t>Przedmiotem zamówienia jest kompleksowa realizacja pakietu edukacyjnego dla seniorów funkcjonujących w ramach utworzonego w projekcie Klubu Seniora. Zamówienie obejmuje przeprowadzenie specjalistycznych warsztatów edukacyjnych poświęconych bezpieczeństwu osób starszych w życiu codziennym. Celem warsztatów jest zwiększenie świadomości i kompetencji seniorów w zakresie unikania zagrożeń, których mogą doświadczać na co dzień, w szczególności związanych z:</w:t>
      </w:r>
    </w:p>
    <w:p>
      <w:pPr>
        <w:pStyle w:val="Normal"/>
        <w:numPr>
          <w:ilvl w:val="0"/>
          <w:numId w:val="5"/>
        </w:numPr>
        <w:spacing w:lineRule="auto" w:line="276" w:before="0" w:after="80"/>
        <w:jc w:val="both"/>
        <w:rPr/>
      </w:pPr>
      <w:r>
        <w:rPr/>
        <w:t xml:space="preserve">ryzykiem stania się ofiarą różnego rodzaju oszustw (telefonicznych, internetowych,  </w:t>
        <w:br/>
        <w:t>„na wnuczka”, „na policjanta”, finansowych i innych),</w:t>
      </w:r>
    </w:p>
    <w:p>
      <w:pPr>
        <w:pStyle w:val="Normal"/>
        <w:numPr>
          <w:ilvl w:val="0"/>
          <w:numId w:val="5"/>
        </w:numPr>
        <w:spacing w:lineRule="auto" w:line="276" w:before="0" w:after="80"/>
        <w:jc w:val="both"/>
        <w:rPr/>
      </w:pPr>
      <w:r>
        <w:rPr/>
        <w:t>zagrożeniami zdrowotnymi wynikającymi z nieprawidłowego stosowania lub łączenia leków,</w:t>
      </w:r>
    </w:p>
    <w:p>
      <w:pPr>
        <w:pStyle w:val="Normal"/>
        <w:numPr>
          <w:ilvl w:val="0"/>
          <w:numId w:val="5"/>
        </w:numPr>
        <w:spacing w:lineRule="auto" w:line="276" w:before="0" w:after="80"/>
        <w:jc w:val="both"/>
        <w:rPr/>
      </w:pPr>
      <w:r>
        <w:rPr/>
        <w:t>potrzebą monitorowania stanu zdrowia z użyciem nowoczesnych narzędzi wspierających bezpieczeństwo (m.in. opasek życia),</w:t>
      </w:r>
    </w:p>
    <w:p>
      <w:pPr>
        <w:pStyle w:val="Normal"/>
        <w:numPr>
          <w:ilvl w:val="0"/>
          <w:numId w:val="5"/>
        </w:numPr>
        <w:spacing w:lineRule="auto" w:line="276" w:before="0" w:after="80"/>
        <w:jc w:val="both"/>
        <w:rPr/>
      </w:pPr>
      <w:r>
        <w:rPr/>
        <w:t xml:space="preserve">zagrożeniami występującymi w środowisku domowym, w tym zatruciem czadem  </w:t>
        <w:br/>
        <w:t>lub gazem oraz sposobami ich zapobiegania.</w:t>
      </w:r>
    </w:p>
    <w:p>
      <w:pPr>
        <w:pStyle w:val="Normal"/>
        <w:spacing w:lineRule="auto" w:line="276" w:before="0" w:after="120"/>
        <w:ind w:start="336"/>
        <w:jc w:val="both"/>
        <w:rPr/>
      </w:pPr>
      <w:r>
        <w:rPr/>
        <w:t>W ramach warsztatów każdy uczestnik zostanie wyposażony w indywidualny zestaw poprawiający bezpieczeństwo, zawierający:</w:t>
      </w:r>
    </w:p>
    <w:p>
      <w:pPr>
        <w:pStyle w:val="Normal"/>
        <w:spacing w:lineRule="auto" w:line="276" w:before="0" w:after="80"/>
        <w:ind w:hanging="240" w:start="720"/>
        <w:jc w:val="both"/>
        <w:rPr/>
      </w:pPr>
      <w:r>
        <w:rPr/>
        <w:t>1) opaskę życia – lokalizator GPS w formie zegarka dla seniora, wyposażony w funkcję alarmu SOS,</w:t>
      </w:r>
    </w:p>
    <w:p>
      <w:pPr>
        <w:pStyle w:val="Normal"/>
        <w:spacing w:lineRule="auto" w:line="276" w:before="0" w:after="80"/>
        <w:ind w:hanging="240" w:start="720"/>
        <w:jc w:val="both"/>
        <w:rPr/>
      </w:pPr>
      <w:r>
        <w:rPr/>
        <w:t>2) czujnik czadu i gazu – urządzenie wykrywające tlenek węgla (czad) oraz gaz.</w:t>
      </w:r>
    </w:p>
    <w:p>
      <w:pPr>
        <w:pStyle w:val="Normal"/>
        <w:spacing w:lineRule="auto" w:line="276" w:before="0" w:after="80"/>
        <w:ind w:hanging="240" w:start="720"/>
        <w:jc w:val="both"/>
        <w:rPr/>
      </w:pPr>
      <w:r>
        <w:rPr/>
      </w:r>
    </w:p>
    <w:p>
      <w:pPr>
        <w:pStyle w:val="Normal"/>
        <w:spacing w:lineRule="auto" w:line="276" w:before="0" w:after="120"/>
        <w:jc w:val="both"/>
        <w:rPr/>
      </w:pPr>
      <w:r>
        <w:rPr>
          <w:b/>
          <w:bCs/>
        </w:rPr>
        <w:t>II. Zakres realizacji zamówienia</w:t>
      </w:r>
    </w:p>
    <w:p>
      <w:pPr>
        <w:pStyle w:val="Normal"/>
        <w:numPr>
          <w:ilvl w:val="0"/>
          <w:numId w:val="6"/>
        </w:numPr>
        <w:spacing w:lineRule="auto" w:line="276" w:before="0" w:after="80"/>
        <w:ind w:hanging="240" w:start="360"/>
        <w:jc w:val="both"/>
        <w:rPr/>
      </w:pPr>
      <w:r>
        <w:rPr/>
        <w:t>Wymiar godzinowy oraz liczba uczestników:</w:t>
      </w:r>
    </w:p>
    <w:p>
      <w:pPr>
        <w:pStyle w:val="Normal"/>
        <w:numPr>
          <w:ilvl w:val="0"/>
          <w:numId w:val="7"/>
        </w:numPr>
        <w:spacing w:lineRule="auto" w:line="276" w:before="0" w:after="80"/>
        <w:ind w:hanging="240" w:start="720"/>
        <w:jc w:val="both"/>
        <w:rPr/>
      </w:pPr>
      <w:r>
        <w:rPr/>
        <w:t>łączny wymiar zajęć: 120 godzin dydaktycznych (60 godzin dydaktycznych na grupę – 10 dni szkoleniowych po 6 godzin dydaktycznych),</w:t>
      </w:r>
    </w:p>
    <w:p>
      <w:pPr>
        <w:pStyle w:val="Normal"/>
        <w:numPr>
          <w:ilvl w:val="0"/>
          <w:numId w:val="7"/>
        </w:numPr>
        <w:spacing w:lineRule="auto" w:line="276" w:before="0" w:after="80"/>
        <w:ind w:hanging="240" w:start="720"/>
        <w:jc w:val="both"/>
        <w:rPr/>
      </w:pPr>
      <w:r>
        <w:rPr/>
        <w:t>liczba grup: 2, liczba uczestników w grupie: średnio 10 osób (łącznie do 20 osób),</w:t>
      </w:r>
    </w:p>
    <w:p>
      <w:pPr>
        <w:pStyle w:val="Normal"/>
        <w:numPr>
          <w:ilvl w:val="0"/>
          <w:numId w:val="7"/>
        </w:numPr>
        <w:spacing w:lineRule="auto" w:line="276" w:before="0" w:after="80"/>
        <w:ind w:hanging="240" w:start="720"/>
        <w:jc w:val="both"/>
        <w:rPr/>
      </w:pPr>
      <w:r>
        <w:rPr/>
        <w:t xml:space="preserve">zajęcia szkoleniowe dla danej grupy w jednym dniu szkoleniowym nie mogą trwać mniej niż 6 godzin dydaktycznych. Wykonawca zobowiązany jest uwzględnić powyższy wymóg przy planowaniu harmonogramu szkolenia. </w:t>
      </w:r>
    </w:p>
    <w:p>
      <w:pPr>
        <w:pStyle w:val="Normal"/>
        <w:spacing w:lineRule="auto" w:line="276" w:before="0" w:after="80"/>
        <w:ind w:hanging="240" w:start="360"/>
        <w:jc w:val="both"/>
        <w:rPr/>
      </w:pPr>
      <w:r>
        <w:rPr/>
        <w:t>2. Materiały warsztatowe:</w:t>
      </w:r>
    </w:p>
    <w:p>
      <w:pPr>
        <w:pStyle w:val="Normal"/>
        <w:numPr>
          <w:ilvl w:val="0"/>
          <w:numId w:val="8"/>
        </w:numPr>
        <w:spacing w:lineRule="auto" w:line="276" w:before="0" w:after="80"/>
        <w:ind w:hanging="240" w:start="720"/>
        <w:jc w:val="both"/>
        <w:rPr/>
      </w:pPr>
      <w:r>
        <w:rPr/>
        <w:t>Wykonawca zapewni każdemu uczestnikowi komplet materiałów szkoleniowych dostosowanych do możliwości percepcyjnych osób starszych (m.in. powiększona czcionka), obejmujący: skrypt tematyczny, teczkę, notes, długopis.</w:t>
      </w:r>
    </w:p>
    <w:p>
      <w:pPr>
        <w:pStyle w:val="Normal"/>
        <w:numPr>
          <w:ilvl w:val="0"/>
          <w:numId w:val="8"/>
        </w:numPr>
        <w:spacing w:lineRule="auto" w:line="276" w:before="0" w:after="80"/>
        <w:ind w:hanging="240" w:start="720"/>
        <w:jc w:val="both"/>
        <w:rPr/>
      </w:pPr>
      <w:r>
        <w:rPr/>
        <w:t>Liczba kompletów materiałów: 20 sztuk.</w:t>
      </w:r>
    </w:p>
    <w:p>
      <w:pPr>
        <w:pStyle w:val="Normal"/>
        <w:numPr>
          <w:ilvl w:val="0"/>
          <w:numId w:val="8"/>
        </w:numPr>
        <w:spacing w:lineRule="auto" w:line="276" w:before="0" w:after="80"/>
        <w:ind w:hanging="240" w:start="720"/>
        <w:jc w:val="both"/>
        <w:rPr/>
      </w:pPr>
      <w:r>
        <w:rPr/>
        <w:t>Materiały warsztatowe przechodzą na własność uczestników.</w:t>
      </w:r>
    </w:p>
    <w:p>
      <w:pPr>
        <w:pStyle w:val="Normal"/>
        <w:spacing w:lineRule="auto" w:line="276" w:before="0" w:after="80"/>
        <w:ind w:hanging="240" w:start="360"/>
        <w:jc w:val="both"/>
        <w:rPr/>
      </w:pPr>
      <w:r>
        <w:rPr/>
        <w:t>3. Wyżywienie uczestników:</w:t>
      </w:r>
    </w:p>
    <w:p>
      <w:pPr>
        <w:pStyle w:val="Normal"/>
        <w:spacing w:lineRule="auto" w:line="276" w:before="0" w:after="80"/>
        <w:ind w:hanging="240" w:start="720"/>
        <w:jc w:val="both"/>
        <w:rPr/>
      </w:pPr>
      <w:r>
        <w:rPr/>
        <w:t>a) Wykonawca zapewni każdemu uczestnikowi obiad dwudaniowy (zupa oraz drugie danie – mięsne lub wegetariańskie do wyboru, z możliwością uwzględnienia potrzeb dietetycznych uczestników, np. wersje lekkostrawne) oraz napój podczas każdego dnia warsztatowego.</w:t>
      </w:r>
    </w:p>
    <w:p>
      <w:pPr>
        <w:pStyle w:val="Normal"/>
        <w:spacing w:lineRule="auto" w:line="276" w:before="0" w:after="80"/>
        <w:ind w:hanging="240" w:start="720"/>
        <w:jc w:val="both"/>
        <w:rPr/>
      </w:pPr>
      <w:r>
        <w:rPr/>
        <w:t xml:space="preserve">b) Wykonawca zapewni każdemu uczestnikowi przerwę kawową obejmującą: kawę, herbatę, wodę, mleko, cukier, cytrynę, drobne słodkie i/lub słone przekąski (np. ciastka, paluszki  </w:t>
        <w:br/>
        <w:t>lub owoce) podczas każdego dnia warsztatowego.</w:t>
      </w:r>
    </w:p>
    <w:p>
      <w:pPr>
        <w:pStyle w:val="Normal"/>
        <w:spacing w:lineRule="auto" w:line="276" w:before="0" w:after="80"/>
        <w:ind w:hanging="240" w:start="720"/>
        <w:jc w:val="both"/>
        <w:rPr/>
      </w:pPr>
      <w:r>
        <w:rPr/>
        <w:t>c) Wyżywienie zapewnione dla maksymalnie 2 grup x 10 osób (łącznie do 20 osób), w każdym z 10 dni warsztatowych dla danej grupy.</w:t>
      </w:r>
    </w:p>
    <w:p>
      <w:pPr>
        <w:pStyle w:val="Normal"/>
        <w:spacing w:lineRule="auto" w:line="276" w:before="0" w:after="80"/>
        <w:ind w:hanging="240" w:start="720"/>
        <w:jc w:val="both"/>
        <w:rPr/>
      </w:pPr>
      <w:r>
        <w:rPr/>
        <w:t xml:space="preserve">d) Wyżywienie zapewniane jest uczestnikom faktycznie biorącym udział w warsztatach  </w:t>
        <w:br/>
        <w:t>w danym dniu szkoleniowym, co potwierdzone będzie podpisem na liście potwierdzającej korzystanie z obiadu i serwisu kawowego.</w:t>
      </w:r>
    </w:p>
    <w:p>
      <w:pPr>
        <w:pStyle w:val="Normal"/>
        <w:spacing w:lineRule="auto" w:line="276" w:before="0" w:after="80"/>
        <w:ind w:hanging="240" w:start="360"/>
        <w:jc w:val="both"/>
        <w:rPr/>
      </w:pPr>
      <w:r>
        <w:rPr/>
        <w:t>4. Wyposażenie uczestników w zestawy bezpieczeństwa:</w:t>
      </w:r>
    </w:p>
    <w:p>
      <w:pPr>
        <w:pStyle w:val="Normal"/>
        <w:spacing w:lineRule="auto" w:line="276" w:before="0" w:after="80"/>
        <w:ind w:hanging="240" w:start="720"/>
        <w:jc w:val="both"/>
        <w:rPr/>
      </w:pPr>
      <w:r>
        <w:rPr/>
        <w:t>a) Wykonawca zapewni i przekaże uczestnikom zestawy zawierające: opaskę życia (lokalizator GPS w formie zegarka dla seniora z funkcją alarmu SOS) oraz czujnik czadu i gazu (urządzenie wykrywające tlenek węgla oraz gaz).</w:t>
      </w:r>
    </w:p>
    <w:p>
      <w:pPr>
        <w:pStyle w:val="Normal"/>
        <w:spacing w:lineRule="auto" w:line="276" w:before="0" w:after="80"/>
        <w:ind w:hanging="240" w:start="720"/>
        <w:jc w:val="both"/>
        <w:rPr/>
      </w:pPr>
      <w:r>
        <w:rPr/>
        <w:t>b) Liczba zestawów: 20 sztuk. Zestawy, o których mowa w lit. a), oraz materiały warsztatowe przechodzą na własność uczestników z chwilą ich przekazania, potwierdzonego podpisem na liście odbioru; postanowienia wzoru umowy dotyczące zwrotu Zamawiającemu materiałów i dokumentów nie mają do nich zastosowania.</w:t>
      </w:r>
    </w:p>
    <w:p>
      <w:pPr>
        <w:pStyle w:val="Normal"/>
        <w:spacing w:lineRule="auto" w:line="276" w:before="0" w:after="80"/>
        <w:ind w:hanging="240" w:start="720"/>
        <w:jc w:val="both"/>
        <w:rPr/>
      </w:pPr>
      <w:r>
        <w:rPr/>
      </w:r>
    </w:p>
    <w:p>
      <w:pPr>
        <w:pStyle w:val="Normal"/>
        <w:spacing w:lineRule="auto" w:line="276" w:before="0" w:after="120"/>
        <w:jc w:val="both"/>
        <w:rPr/>
      </w:pPr>
      <w:r>
        <w:rPr>
          <w:b/>
          <w:bCs/>
        </w:rPr>
        <w:t>III. Wymogi organizacyjne i jakościowe</w:t>
      </w:r>
    </w:p>
    <w:p>
      <w:pPr>
        <w:pStyle w:val="BodyText"/>
        <w:numPr>
          <w:ilvl w:val="0"/>
          <w:numId w:val="9"/>
        </w:numPr>
        <w:spacing w:before="0" w:after="80"/>
        <w:jc w:val="both"/>
        <w:rPr/>
      </w:pPr>
      <w:r>
        <w:rPr/>
        <w:t>Wykonawca zapewnia trenerów/szkoleniowców spełniających łącznie następujące wymagania:</w:t>
      </w:r>
    </w:p>
    <w:p>
      <w:pPr>
        <w:pStyle w:val="BodyText"/>
        <w:spacing w:before="0" w:after="80"/>
        <w:ind w:start="840"/>
        <w:jc w:val="both"/>
        <w:rPr/>
      </w:pPr>
      <w:r>
        <w:rPr>
          <w:rStyle w:val="Strong"/>
          <w:b w:val="false"/>
          <w:bCs w:val="false"/>
        </w:rPr>
        <w:t xml:space="preserve">1.1. </w:t>
      </w:r>
      <w:r>
        <w:rPr/>
        <w:t>posiadających kwalifikacje potwierdzone co najmniej jednym z poniższych:</w:t>
        <w:br/>
      </w:r>
      <w:r>
        <w:rPr>
          <w:rStyle w:val="Strong"/>
          <w:b w:val="false"/>
          <w:bCs w:val="false"/>
        </w:rPr>
        <w:t>a)</w:t>
      </w:r>
      <w:r>
        <w:rPr/>
        <w:t xml:space="preserve"> wykształceniem wyższym (w tym wyższym zawodowym – studia I stopnia) kierunkowym w obszarze pedagogicznym (pedagogika, andragogika, edukacja dorosłych), psychologicznym (zwłaszcza psychologia społeczna lub psychologia starzenia się), społecznym (praca socjalna, socjologia), bezpieczeństwa / zarządzania kryzysowego / bezpieczeństwa publicznego lub kierunkiem pokrewnym, tj. takim, którego program obejmował zagadnienia odpowiadające tematyce prowadzonych zajęć, albo</w:t>
        <w:br/>
      </w:r>
      <w:r>
        <w:rPr>
          <w:rStyle w:val="Strong"/>
        </w:rPr>
        <w:t>b)</w:t>
      </w:r>
      <w:r>
        <w:rPr>
          <w:b/>
          <w:bCs/>
        </w:rPr>
        <w:t xml:space="preserve"> </w:t>
      </w:r>
      <w:r>
        <w:rPr/>
        <w:t xml:space="preserve">certyfikatem, zaświadczeniem lub innym dokumentem potwierdzającym uprawnienia </w:t>
        <w:br/>
        <w:t>lub przygotowanie do prowadzenia zajęć o tematyce odpowiadającej zakresowi wsparcia;</w:t>
      </w:r>
    </w:p>
    <w:p>
      <w:pPr>
        <w:pStyle w:val="BodyText"/>
        <w:spacing w:before="0" w:after="80"/>
        <w:ind w:start="840"/>
        <w:jc w:val="both"/>
        <w:rPr/>
      </w:pPr>
      <w:r>
        <w:rPr/>
        <w:t xml:space="preserve">1.2. posiadających co najmniej 2-letnie doświadczenie zawodowe w prowadzeniu zajęć, warsztatów, szkoleń lub innych form edukacyjnych dla osób starszych, przy czym za osobę starszą uznaje się osobę w wieku 60 lat i więcej. Sposób liczenia okresu doświadczenia określa pkt 3.1.4.3 SWZ. </w:t>
      </w:r>
    </w:p>
    <w:p>
      <w:pPr>
        <w:pStyle w:val="Normal"/>
        <w:numPr>
          <w:ilvl w:val="0"/>
          <w:numId w:val="9"/>
        </w:numPr>
        <w:spacing w:lineRule="auto" w:line="276" w:before="0" w:after="80"/>
        <w:jc w:val="both"/>
        <w:rPr/>
      </w:pPr>
      <w:r>
        <w:rPr/>
        <w:t xml:space="preserve">Warsztaty prowadzi osoba wskazana imiennie w Formularzu ofertowym (trener). Zmiana tej osoby w trakcie realizacji umowy wymaga uprzedniej zgody Zamawiającego i jest dopuszczalna wyłącznie na zasadach określonych we wzorze umowy, na osobę spełniającą wymagania określone dla trenera w warunku udziału w postępowaniu (sekcja V pkt 3 ppkt 3.1.4.1 SWZ), a jeżeli osoba zastępowana była oceniana w kryteriach oceny ofert — również posiadającą kwalifikacje i doświadczenie nie niższe niż zadeklarowane  </w:t>
        <w:br/>
        <w:t xml:space="preserve">w ofercie.  </w:t>
      </w:r>
    </w:p>
    <w:p>
      <w:pPr>
        <w:pStyle w:val="Normal"/>
        <w:numPr>
          <w:ilvl w:val="0"/>
          <w:numId w:val="9"/>
        </w:numPr>
        <w:spacing w:lineRule="auto" w:line="276" w:before="0" w:after="80"/>
        <w:jc w:val="both"/>
        <w:rPr/>
      </w:pPr>
      <w:r>
        <w:rPr/>
        <w:t xml:space="preserve">Zajęcia muszą być prowadzone w sposób dostosowany do potrzeb i możliwości osób  </w:t>
        <w:br/>
        <w:t>w wieku senioralnym (m.in. odpowiednie tempo prowadzenia warsztatów, większa czcionka materiałów).</w:t>
      </w:r>
    </w:p>
    <w:p>
      <w:pPr>
        <w:pStyle w:val="Normal"/>
        <w:numPr>
          <w:ilvl w:val="0"/>
          <w:numId w:val="9"/>
        </w:numPr>
        <w:spacing w:lineRule="auto" w:line="276" w:before="0" w:after="80"/>
        <w:jc w:val="both"/>
        <w:rPr/>
      </w:pPr>
      <w:r>
        <w:rPr/>
        <w:t>Wszystkie urządzenia (opaski życia, czujniki czadu i gazu) muszą być fabrycznie nowe, posiadać wymagane certyfikaty dopuszczające do obrotu na terenie RP oraz instrukcję obsługi w języku polskim.</w:t>
      </w:r>
    </w:p>
    <w:p>
      <w:pPr>
        <w:pStyle w:val="Normal"/>
        <w:numPr>
          <w:ilvl w:val="0"/>
          <w:numId w:val="9"/>
        </w:numPr>
        <w:spacing w:lineRule="auto" w:line="276" w:before="0" w:after="80"/>
        <w:jc w:val="both"/>
        <w:rPr/>
      </w:pPr>
      <w:r>
        <w:rPr/>
        <w:t>Wykonawca odpowiada za przygotowanie, przeprowadzenie oraz pełną obsługę organizacyjną warsztatów.</w:t>
      </w:r>
    </w:p>
    <w:p>
      <w:pPr>
        <w:pStyle w:val="Normal"/>
        <w:numPr>
          <w:ilvl w:val="0"/>
          <w:numId w:val="9"/>
        </w:numPr>
        <w:spacing w:lineRule="auto" w:line="276" w:before="0" w:after="80"/>
        <w:jc w:val="both"/>
        <w:rPr/>
      </w:pPr>
      <w:r>
        <w:rPr/>
        <w:t xml:space="preserve">W przypadku udziału w warsztatach osób z niepełnosprawnościami Wykonawca zobowiązany jest do dostosowania sposobu organizacji warsztatów do ich potrzeb,  </w:t>
        <w:br/>
        <w:t>z uwzględnieniem rodzaju i stopnia niepełnosprawności uczestników.</w:t>
      </w:r>
    </w:p>
    <w:p>
      <w:pPr>
        <w:pStyle w:val="Normal"/>
        <w:numPr>
          <w:ilvl w:val="0"/>
          <w:numId w:val="9"/>
        </w:numPr>
        <w:spacing w:lineRule="auto" w:line="276" w:before="0" w:after="80"/>
        <w:jc w:val="both"/>
        <w:rPr/>
      </w:pPr>
      <w:r>
        <w:rPr/>
        <w:t xml:space="preserve">Zamawiający przekaże Wykonawcy informacje dotyczące ewentualnych szczególnych potrzeb uczestników (w tym wynikających z niepełnosprawności lub stanu zdrowia) </w:t>
        <w:br/>
        <w:t>nie później niż 14 dni przed rozpoczęciem warsztatów dla danej grupy.</w:t>
      </w:r>
    </w:p>
    <w:p>
      <w:pPr>
        <w:pStyle w:val="Normal"/>
        <w:spacing w:lineRule="auto" w:line="276" w:before="0" w:after="80"/>
        <w:jc w:val="both"/>
        <w:rPr/>
      </w:pPr>
      <w:r>
        <w:rPr/>
      </w:r>
    </w:p>
    <w:p>
      <w:pPr>
        <w:pStyle w:val="Normal"/>
        <w:spacing w:lineRule="auto" w:line="276" w:before="0" w:after="120"/>
        <w:jc w:val="both"/>
        <w:rPr/>
      </w:pPr>
      <w:r>
        <w:rPr>
          <w:b/>
          <w:bCs/>
        </w:rPr>
        <w:t>IV. Dokumentacja realizacji usługi</w:t>
      </w:r>
    </w:p>
    <w:p>
      <w:pPr>
        <w:pStyle w:val="Normal"/>
        <w:numPr>
          <w:ilvl w:val="0"/>
          <w:numId w:val="10"/>
        </w:numPr>
        <w:spacing w:lineRule="auto" w:line="276" w:before="0" w:after="80"/>
        <w:jc w:val="both"/>
        <w:rPr/>
      </w:pPr>
      <w:r>
        <w:rPr/>
        <w:t>Wykonawca w terminie do 30 dni od zakończenia realizacji szkolenia przygotuje i przedłoży Zamawiającemu dokumentację obejmującą:</w:t>
      </w:r>
    </w:p>
    <w:p>
      <w:pPr>
        <w:pStyle w:val="Normal"/>
        <w:numPr>
          <w:ilvl w:val="0"/>
          <w:numId w:val="11"/>
        </w:numPr>
        <w:spacing w:lineRule="auto" w:line="276" w:before="0" w:after="80"/>
        <w:ind w:hanging="240" w:start="720"/>
        <w:jc w:val="both"/>
        <w:rPr/>
      </w:pPr>
      <w:r>
        <w:rPr/>
        <w:t>raport z realizacji warsztatów,</w:t>
      </w:r>
    </w:p>
    <w:p>
      <w:pPr>
        <w:pStyle w:val="Normal"/>
        <w:numPr>
          <w:ilvl w:val="0"/>
          <w:numId w:val="11"/>
        </w:numPr>
        <w:spacing w:lineRule="auto" w:line="276" w:before="0" w:after="80"/>
        <w:ind w:hanging="240" w:start="720"/>
        <w:jc w:val="both"/>
        <w:rPr/>
      </w:pPr>
      <w:r>
        <w:rPr/>
        <w:t>dziennik warsztatów,</w:t>
      </w:r>
    </w:p>
    <w:p>
      <w:pPr>
        <w:pStyle w:val="Normal"/>
        <w:numPr>
          <w:ilvl w:val="0"/>
          <w:numId w:val="11"/>
        </w:numPr>
        <w:spacing w:lineRule="auto" w:line="276" w:before="0" w:after="80"/>
        <w:ind w:hanging="240" w:start="720"/>
        <w:jc w:val="both"/>
        <w:rPr/>
      </w:pPr>
      <w:r>
        <w:rPr/>
        <w:t>ankiety przed rozpoczęciem warsztatów (ankiety ex ante),</w:t>
      </w:r>
    </w:p>
    <w:p>
      <w:pPr>
        <w:pStyle w:val="Normal"/>
        <w:numPr>
          <w:ilvl w:val="0"/>
          <w:numId w:val="11"/>
        </w:numPr>
        <w:spacing w:lineRule="auto" w:line="276" w:before="0" w:after="80"/>
        <w:ind w:hanging="240" w:start="720"/>
        <w:jc w:val="both"/>
        <w:rPr/>
      </w:pPr>
      <w:r>
        <w:rPr/>
        <w:t>ankiety po zakończeniu warsztatów (ankiety ex post),</w:t>
      </w:r>
    </w:p>
    <w:p>
      <w:pPr>
        <w:pStyle w:val="Normal"/>
        <w:numPr>
          <w:ilvl w:val="0"/>
          <w:numId w:val="11"/>
        </w:numPr>
        <w:spacing w:lineRule="auto" w:line="276" w:before="0" w:after="80"/>
        <w:ind w:hanging="240" w:start="720"/>
        <w:jc w:val="both"/>
        <w:rPr/>
      </w:pPr>
      <w:r>
        <w:rPr/>
        <w:t>ankiety ogólnie oceniające warsztaty,</w:t>
      </w:r>
    </w:p>
    <w:p>
      <w:pPr>
        <w:pStyle w:val="Normal"/>
        <w:numPr>
          <w:ilvl w:val="0"/>
          <w:numId w:val="11"/>
        </w:numPr>
        <w:spacing w:lineRule="auto" w:line="276" w:before="0" w:after="80"/>
        <w:ind w:hanging="240" w:start="720"/>
        <w:jc w:val="both"/>
        <w:rPr/>
      </w:pPr>
      <w:r>
        <w:rPr/>
        <w:t>dokumentację fotograficzną z realizacji warsztatów (min. 20 zdjęć),</w:t>
      </w:r>
    </w:p>
    <w:p>
      <w:pPr>
        <w:pStyle w:val="Normal"/>
        <w:numPr>
          <w:ilvl w:val="0"/>
          <w:numId w:val="11"/>
        </w:numPr>
        <w:spacing w:lineRule="auto" w:line="276" w:before="0" w:after="80"/>
        <w:ind w:hanging="240" w:start="720"/>
        <w:jc w:val="both"/>
        <w:rPr/>
      </w:pPr>
      <w:r>
        <w:rPr/>
        <w:t>listę/y obecności potwierdzającą/-ce udział w każdym dniu warsztatów,</w:t>
      </w:r>
    </w:p>
    <w:p>
      <w:pPr>
        <w:pStyle w:val="Normal"/>
        <w:numPr>
          <w:ilvl w:val="0"/>
          <w:numId w:val="11"/>
        </w:numPr>
        <w:spacing w:lineRule="auto" w:line="276" w:before="0" w:after="80"/>
        <w:ind w:hanging="240" w:start="720"/>
        <w:jc w:val="both"/>
        <w:rPr/>
      </w:pPr>
      <w:r>
        <w:rPr/>
        <w:t>listę/y potwierdzającą/-ce korzystanie z obiadu i przerwy kawowej w każdym dniu warsztatów (Zamawiający zastrzega, że lista poświadczająca uzyskanie świadczeń, tj. obiad i/lub przerwa kawowa, winna obejmować wszystkie uzyskane świadczenia na jednej liście),</w:t>
      </w:r>
    </w:p>
    <w:p>
      <w:pPr>
        <w:pStyle w:val="Normal"/>
        <w:numPr>
          <w:ilvl w:val="0"/>
          <w:numId w:val="11"/>
        </w:numPr>
        <w:spacing w:lineRule="auto" w:line="276" w:before="0" w:after="80"/>
        <w:ind w:hanging="240" w:start="720"/>
        <w:jc w:val="both"/>
        <w:rPr/>
      </w:pPr>
      <w:r>
        <w:rPr/>
        <w:t>listę/y odbioru materiałów warsztatowych,</w:t>
      </w:r>
    </w:p>
    <w:p>
      <w:pPr>
        <w:pStyle w:val="Normal"/>
        <w:numPr>
          <w:ilvl w:val="0"/>
          <w:numId w:val="11"/>
        </w:numPr>
        <w:spacing w:lineRule="auto" w:line="276" w:before="0" w:after="80"/>
        <w:ind w:hanging="240" w:start="720"/>
        <w:jc w:val="both"/>
        <w:rPr/>
      </w:pPr>
      <w:r>
        <w:rPr/>
        <w:t>listę/y potwierdzającą/-ce odbiór indywidualnego zestawu poprawiającego bezpieczeństwo zawierającego: opaskę życia oraz czujnik czadu i gazu,</w:t>
      </w:r>
    </w:p>
    <w:p>
      <w:pPr>
        <w:pStyle w:val="Normal"/>
        <w:numPr>
          <w:ilvl w:val="0"/>
          <w:numId w:val="11"/>
        </w:numPr>
        <w:spacing w:lineRule="auto" w:line="276" w:before="0" w:after="80"/>
        <w:ind w:hanging="240" w:start="720"/>
        <w:jc w:val="both"/>
        <w:rPr/>
      </w:pPr>
      <w:r>
        <w:rPr/>
        <w:t>egzemplarz materiałów warsztatowych – skrypt tematyczny,</w:t>
      </w:r>
    </w:p>
    <w:p>
      <w:pPr>
        <w:pStyle w:val="Normal"/>
        <w:numPr>
          <w:ilvl w:val="0"/>
          <w:numId w:val="11"/>
        </w:numPr>
        <w:spacing w:lineRule="auto" w:line="276" w:before="0" w:after="80"/>
        <w:ind w:hanging="240" w:start="720"/>
        <w:jc w:val="both"/>
        <w:rPr/>
      </w:pPr>
      <w:r>
        <w:rPr/>
        <w:t>rejestr i listę potwierdzającą odbiór certyfikatów,</w:t>
      </w:r>
    </w:p>
    <w:p>
      <w:pPr>
        <w:pStyle w:val="Normal"/>
        <w:numPr>
          <w:ilvl w:val="0"/>
          <w:numId w:val="11"/>
        </w:numPr>
        <w:spacing w:lineRule="auto" w:line="276" w:before="0" w:after="80"/>
        <w:ind w:hanging="240" w:start="720"/>
        <w:jc w:val="both"/>
        <w:rPr/>
      </w:pPr>
      <w:r>
        <w:rPr/>
        <w:t>kserokopie wydanych certyfikatów.</w:t>
      </w:r>
    </w:p>
    <w:p>
      <w:pPr>
        <w:pStyle w:val="Normal"/>
        <w:spacing w:lineRule="auto" w:line="276" w:before="0" w:after="80"/>
        <w:ind w:start="720"/>
        <w:jc w:val="both"/>
        <w:rPr/>
      </w:pPr>
      <w:r>
        <w:rPr/>
      </w:r>
    </w:p>
    <w:p>
      <w:pPr>
        <w:pStyle w:val="Normal"/>
        <w:spacing w:lineRule="auto" w:line="276" w:before="0" w:after="120"/>
        <w:jc w:val="both"/>
        <w:rPr/>
      </w:pPr>
      <w:r>
        <w:rPr>
          <w:b/>
          <w:bCs/>
        </w:rPr>
        <w:t>V. Termin realizacji zamówienia:</w:t>
      </w:r>
    </w:p>
    <w:p>
      <w:pPr>
        <w:pStyle w:val="Normal"/>
        <w:spacing w:lineRule="auto" w:line="276" w:before="0" w:after="120"/>
        <w:jc w:val="both"/>
        <w:rPr/>
      </w:pPr>
      <w:r>
        <w:rPr/>
        <w:t>Od dnia podpisania umowy w przedmiotowym zamówieniu do dnia 30 czerwca 2028 r.</w:t>
      </w:r>
    </w:p>
    <w:p>
      <w:pPr>
        <w:pStyle w:val="Normal"/>
        <w:spacing w:lineRule="auto" w:line="276" w:before="0" w:after="120"/>
        <w:jc w:val="both"/>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134" w:right="1134" w:gutter="0" w:header="1134" w:top="1670"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 w:name="OpenSymbol">
    <w:altName w:val="Arial Unicode MS"/>
    <w:charset w:val="02"/>
    <w:family w:val="swiss"/>
    <w:pitch w:val="variable"/>
  </w:font>
  <w:font w:name="Segoe UI">
    <w:charset w:val="ee" w:characterSet="windows-1250"/>
    <w:family w:val="swiss"/>
    <w:pitch w:val="variable"/>
  </w:font>
  <w:font w:name="Liberation Sans">
    <w:altName w:val="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sz w:val="14"/>
        <w:szCs w:val="14"/>
      </w:rPr>
      <w:t xml:space="preserve">Projekt „Centrum Usług Społecznych w Nowogardzie” współfinansowany w ramach programu Fundusze Europejskie dla Pomorza Zachodniego 2021-2027 — Strona </w:t>
    </w:r>
    <w:r>
      <w:rPr/>
      <w:fldChar w:fldCharType="begin"/>
    </w:r>
    <w:r>
      <w:rPr/>
      <w:instrText xml:space="preserve"> PAGE </w:instrText>
    </w:r>
    <w:r>
      <w:rPr/>
      <w:fldChar w:fldCharType="separate"/>
    </w:r>
    <w:r>
      <w:rPr/>
      <w:t>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sz w:val="14"/>
        <w:szCs w:val="14"/>
      </w:rPr>
      <w:t xml:space="preserve">Projekt „Centrum Usług Społecznych w Nowogardzie” współfinansowany w ramach programu Fundusze Europejskie dla Pomorza Zachodniego 2021-2027 — Strona </w:t>
    </w:r>
    <w:r>
      <w:rPr/>
      <w:fldChar w:fldCharType="begin"/>
    </w:r>
    <w:r>
      <w:rPr/>
      <w:instrText xml:space="preserve"> PAGE </w:instrText>
    </w:r>
    <w:r>
      <w:rPr/>
      <w:fldChar w:fldCharType="separate"/>
    </w:r>
    <w:r>
      <w:rPr/>
      <w:t>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8" behindDoc="1" locked="0" layoutInCell="0" allowOverlap="1">
          <wp:simplePos x="0" y="0"/>
          <wp:positionH relativeFrom="column">
            <wp:posOffset>0</wp:posOffset>
          </wp:positionH>
          <wp:positionV relativeFrom="paragraph">
            <wp:posOffset>-304800</wp:posOffset>
          </wp:positionV>
          <wp:extent cx="6120130" cy="683260"/>
          <wp:effectExtent l="0" t="0" r="0" b="0"/>
          <wp:wrapSquare wrapText="largest"/>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tretch>
                    <a:fillRect/>
                  </a:stretch>
                </pic:blipFill>
                <pic:spPr bwMode="auto">
                  <a:xfrm>
                    <a:off x="0" y="0"/>
                    <a:ext cx="6120130" cy="68326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anchor distT="0" distB="0" distL="0" distR="0" simplePos="0" relativeHeight="8" behindDoc="1" locked="0" layoutInCell="0" allowOverlap="1">
          <wp:simplePos x="0" y="0"/>
          <wp:positionH relativeFrom="column">
            <wp:posOffset>0</wp:posOffset>
          </wp:positionH>
          <wp:positionV relativeFrom="paragraph">
            <wp:posOffset>-304800</wp:posOffset>
          </wp:positionV>
          <wp:extent cx="6120130" cy="683260"/>
          <wp:effectExtent l="0" t="0" r="0" b="0"/>
          <wp:wrapSquare wrapText="largest"/>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tretch>
                    <a:fillRect/>
                  </a:stretch>
                </pic:blipFill>
                <pic:spPr bwMode="auto">
                  <a:xfrm>
                    <a:off x="0" y="0"/>
                    <a:ext cx="6120130" cy="68326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decimal"/>
      <w:lvlText w:val="%1."/>
      <w:lvlJc w:val="start"/>
      <w:pPr>
        <w:tabs>
          <w:tab w:val="num" w:pos="840"/>
        </w:tabs>
        <w:ind w:start="840" w:hanging="360"/>
      </w:pPr>
      <w:rPr/>
    </w:lvl>
    <w:lvl w:ilvl="1">
      <w:start w:val="1"/>
      <w:numFmt w:val="decimal"/>
      <w:lvlText w:val="%2."/>
      <w:lvlJc w:val="start"/>
      <w:pPr>
        <w:tabs>
          <w:tab w:val="num" w:pos="1200"/>
        </w:tabs>
        <w:ind w:start="1200" w:hanging="360"/>
      </w:pPr>
      <w:rPr/>
    </w:lvl>
    <w:lvl w:ilvl="2">
      <w:start w:val="1"/>
      <w:numFmt w:val="decimal"/>
      <w:lvlText w:val="%3."/>
      <w:lvlJc w:val="start"/>
      <w:pPr>
        <w:tabs>
          <w:tab w:val="num" w:pos="1560"/>
        </w:tabs>
        <w:ind w:start="1560" w:hanging="360"/>
      </w:pPr>
      <w:rPr/>
    </w:lvl>
    <w:lvl w:ilvl="3">
      <w:start w:val="1"/>
      <w:numFmt w:val="decimal"/>
      <w:lvlText w:val="%4."/>
      <w:lvlJc w:val="start"/>
      <w:pPr>
        <w:tabs>
          <w:tab w:val="num" w:pos="1920"/>
        </w:tabs>
        <w:ind w:start="1920" w:hanging="360"/>
      </w:pPr>
      <w:rPr/>
    </w:lvl>
    <w:lvl w:ilvl="4">
      <w:start w:val="1"/>
      <w:numFmt w:val="decimal"/>
      <w:lvlText w:val="%5."/>
      <w:lvlJc w:val="start"/>
      <w:pPr>
        <w:tabs>
          <w:tab w:val="num" w:pos="2280"/>
        </w:tabs>
        <w:ind w:start="2280" w:hanging="360"/>
      </w:pPr>
      <w:rPr/>
    </w:lvl>
    <w:lvl w:ilvl="5">
      <w:start w:val="1"/>
      <w:numFmt w:val="decimal"/>
      <w:lvlText w:val="%6."/>
      <w:lvlJc w:val="start"/>
      <w:pPr>
        <w:tabs>
          <w:tab w:val="num" w:pos="2640"/>
        </w:tabs>
        <w:ind w:start="2640" w:hanging="360"/>
      </w:pPr>
      <w:rPr/>
    </w:lvl>
    <w:lvl w:ilvl="6">
      <w:start w:val="1"/>
      <w:numFmt w:val="decimal"/>
      <w:lvlText w:val="%7."/>
      <w:lvlJc w:val="start"/>
      <w:pPr>
        <w:tabs>
          <w:tab w:val="num" w:pos="3000"/>
        </w:tabs>
        <w:ind w:start="3000" w:hanging="360"/>
      </w:pPr>
      <w:rPr/>
    </w:lvl>
    <w:lvl w:ilvl="7">
      <w:start w:val="1"/>
      <w:numFmt w:val="decimal"/>
      <w:lvlText w:val="%8."/>
      <w:lvlJc w:val="start"/>
      <w:pPr>
        <w:tabs>
          <w:tab w:val="num" w:pos="3360"/>
        </w:tabs>
        <w:ind w:start="3360" w:hanging="360"/>
      </w:pPr>
      <w:rPr/>
    </w:lvl>
    <w:lvl w:ilvl="8">
      <w:start w:val="1"/>
      <w:numFmt w:val="decimal"/>
      <w:lvlText w:val="%9."/>
      <w:lvlJc w:val="start"/>
      <w:pPr>
        <w:tabs>
          <w:tab w:val="num" w:pos="3720"/>
        </w:tabs>
        <w:ind w:start="3720" w:hanging="360"/>
      </w:pPr>
      <w:rPr/>
    </w:lvl>
  </w:abstractNum>
  <w:abstractNum w:abstractNumId="3">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4">
    <w:lvl w:ilvl="0">
      <w:start w:val="1"/>
      <w:numFmt w:val="decimal"/>
      <w:lvlText w:val="%1."/>
      <w:lvlJc w:val="start"/>
      <w:pPr>
        <w:tabs>
          <w:tab w:val="num" w:pos="840"/>
        </w:tabs>
        <w:ind w:start="840" w:hanging="360"/>
      </w:pPr>
      <w:rPr/>
    </w:lvl>
    <w:lvl w:ilvl="1">
      <w:start w:val="1"/>
      <w:numFmt w:val="decimal"/>
      <w:lvlText w:val="%2."/>
      <w:lvlJc w:val="start"/>
      <w:pPr>
        <w:tabs>
          <w:tab w:val="num" w:pos="1200"/>
        </w:tabs>
        <w:ind w:start="1200" w:hanging="360"/>
      </w:pPr>
      <w:rPr/>
    </w:lvl>
    <w:lvl w:ilvl="2">
      <w:start w:val="1"/>
      <w:numFmt w:val="decimal"/>
      <w:lvlText w:val="%3."/>
      <w:lvlJc w:val="start"/>
      <w:pPr>
        <w:tabs>
          <w:tab w:val="num" w:pos="1560"/>
        </w:tabs>
        <w:ind w:start="1560" w:hanging="360"/>
      </w:pPr>
      <w:rPr/>
    </w:lvl>
    <w:lvl w:ilvl="3">
      <w:start w:val="1"/>
      <w:numFmt w:val="decimal"/>
      <w:lvlText w:val="%4."/>
      <w:lvlJc w:val="start"/>
      <w:pPr>
        <w:tabs>
          <w:tab w:val="num" w:pos="1920"/>
        </w:tabs>
        <w:ind w:start="1920" w:hanging="360"/>
      </w:pPr>
      <w:rPr/>
    </w:lvl>
    <w:lvl w:ilvl="4">
      <w:start w:val="1"/>
      <w:numFmt w:val="decimal"/>
      <w:lvlText w:val="%5."/>
      <w:lvlJc w:val="start"/>
      <w:pPr>
        <w:tabs>
          <w:tab w:val="num" w:pos="2280"/>
        </w:tabs>
        <w:ind w:start="2280" w:hanging="360"/>
      </w:pPr>
      <w:rPr/>
    </w:lvl>
    <w:lvl w:ilvl="5">
      <w:start w:val="1"/>
      <w:numFmt w:val="decimal"/>
      <w:lvlText w:val="%6."/>
      <w:lvlJc w:val="start"/>
      <w:pPr>
        <w:tabs>
          <w:tab w:val="num" w:pos="2640"/>
        </w:tabs>
        <w:ind w:start="2640" w:hanging="360"/>
      </w:pPr>
      <w:rPr/>
    </w:lvl>
    <w:lvl w:ilvl="6">
      <w:start w:val="1"/>
      <w:numFmt w:val="decimal"/>
      <w:lvlText w:val="%7."/>
      <w:lvlJc w:val="start"/>
      <w:pPr>
        <w:tabs>
          <w:tab w:val="num" w:pos="3000"/>
        </w:tabs>
        <w:ind w:start="3000" w:hanging="360"/>
      </w:pPr>
      <w:rPr/>
    </w:lvl>
    <w:lvl w:ilvl="7">
      <w:start w:val="1"/>
      <w:numFmt w:val="decimal"/>
      <w:lvlText w:val="%8."/>
      <w:lvlJc w:val="start"/>
      <w:pPr>
        <w:tabs>
          <w:tab w:val="num" w:pos="3360"/>
        </w:tabs>
        <w:ind w:start="3360" w:hanging="360"/>
      </w:pPr>
      <w:rPr/>
    </w:lvl>
    <w:lvl w:ilvl="8">
      <w:start w:val="1"/>
      <w:numFmt w:val="decimal"/>
      <w:lvlText w:val="%9."/>
      <w:lvlJc w:val="start"/>
      <w:pPr>
        <w:tabs>
          <w:tab w:val="num" w:pos="3720"/>
        </w:tabs>
        <w:ind w:start="3720" w:hanging="360"/>
      </w:pPr>
      <w:rPr/>
    </w:lvl>
  </w:abstractNum>
  <w:abstractNum w:abstractNumId="5">
    <w:lvl w:ilvl="0">
      <w:start w:val="1"/>
      <w:numFmt w:val="lowerLetter"/>
      <w:lvlText w:val="%1)"/>
      <w:lvlJc w:val="start"/>
      <w:pPr>
        <w:tabs>
          <w:tab w:val="num" w:pos="1200"/>
        </w:tabs>
        <w:ind w:start="1200" w:hanging="360"/>
      </w:pPr>
      <w:rPr/>
    </w:lvl>
    <w:lvl w:ilvl="1">
      <w:start w:val="1"/>
      <w:numFmt w:val="decimal"/>
      <w:lvlText w:val="%2."/>
      <w:lvlJc w:val="start"/>
      <w:pPr>
        <w:tabs>
          <w:tab w:val="num" w:pos="1560"/>
        </w:tabs>
        <w:ind w:start="1560" w:hanging="360"/>
      </w:pPr>
      <w:rPr/>
    </w:lvl>
    <w:lvl w:ilvl="2">
      <w:start w:val="1"/>
      <w:numFmt w:val="decimal"/>
      <w:lvlText w:val="%3."/>
      <w:lvlJc w:val="start"/>
      <w:pPr>
        <w:tabs>
          <w:tab w:val="num" w:pos="1920"/>
        </w:tabs>
        <w:ind w:start="1920" w:hanging="360"/>
      </w:pPr>
      <w:rPr/>
    </w:lvl>
    <w:lvl w:ilvl="3">
      <w:start w:val="1"/>
      <w:numFmt w:val="decimal"/>
      <w:lvlText w:val="%4."/>
      <w:lvlJc w:val="start"/>
      <w:pPr>
        <w:tabs>
          <w:tab w:val="num" w:pos="2280"/>
        </w:tabs>
        <w:ind w:start="2280" w:hanging="360"/>
      </w:pPr>
      <w:rPr/>
    </w:lvl>
    <w:lvl w:ilvl="4">
      <w:start w:val="1"/>
      <w:numFmt w:val="decimal"/>
      <w:lvlText w:val="%5."/>
      <w:lvlJc w:val="start"/>
      <w:pPr>
        <w:tabs>
          <w:tab w:val="num" w:pos="2640"/>
        </w:tabs>
        <w:ind w:start="2640" w:hanging="360"/>
      </w:pPr>
      <w:rPr/>
    </w:lvl>
    <w:lvl w:ilvl="5">
      <w:start w:val="1"/>
      <w:numFmt w:val="decimal"/>
      <w:lvlText w:val="%6."/>
      <w:lvlJc w:val="start"/>
      <w:pPr>
        <w:tabs>
          <w:tab w:val="num" w:pos="3000"/>
        </w:tabs>
        <w:ind w:start="3000" w:hanging="360"/>
      </w:pPr>
      <w:rPr/>
    </w:lvl>
    <w:lvl w:ilvl="6">
      <w:start w:val="1"/>
      <w:numFmt w:val="decimal"/>
      <w:lvlText w:val="%7."/>
      <w:lvlJc w:val="start"/>
      <w:pPr>
        <w:tabs>
          <w:tab w:val="num" w:pos="3360"/>
        </w:tabs>
        <w:ind w:start="3360" w:hanging="360"/>
      </w:pPr>
      <w:rPr/>
    </w:lvl>
    <w:lvl w:ilvl="7">
      <w:start w:val="1"/>
      <w:numFmt w:val="decimal"/>
      <w:lvlText w:val="%8."/>
      <w:lvlJc w:val="start"/>
      <w:pPr>
        <w:tabs>
          <w:tab w:val="num" w:pos="3720"/>
        </w:tabs>
        <w:ind w:start="3720" w:hanging="360"/>
      </w:pPr>
      <w:rPr/>
    </w:lvl>
    <w:lvl w:ilvl="8">
      <w:start w:val="1"/>
      <w:numFmt w:val="decimal"/>
      <w:lvlText w:val="%9."/>
      <w:lvlJc w:val="start"/>
      <w:pPr>
        <w:tabs>
          <w:tab w:val="num" w:pos="4080"/>
        </w:tabs>
        <w:ind w:start="4080" w:hanging="360"/>
      </w:pPr>
      <w:rPr/>
    </w:lvl>
  </w:abstractNum>
  <w:abstractNum w:abstractNumId="6">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8">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9">
    <w:lvl w:ilvl="0">
      <w:start w:val="1"/>
      <w:numFmt w:val="decimal"/>
      <w:lvlText w:val="%1."/>
      <w:lvlJc w:val="start"/>
      <w:pPr>
        <w:tabs>
          <w:tab w:val="num" w:pos="840"/>
        </w:tabs>
        <w:ind w:start="840" w:hanging="360"/>
      </w:pPr>
      <w:rPr/>
    </w:lvl>
    <w:lvl w:ilvl="1">
      <w:start w:val="1"/>
      <w:numFmt w:val="decimal"/>
      <w:lvlText w:val="%2."/>
      <w:lvlJc w:val="start"/>
      <w:pPr>
        <w:tabs>
          <w:tab w:val="num" w:pos="1200"/>
        </w:tabs>
        <w:ind w:start="1200" w:hanging="360"/>
      </w:pPr>
      <w:rPr/>
    </w:lvl>
    <w:lvl w:ilvl="2">
      <w:start w:val="1"/>
      <w:numFmt w:val="decimal"/>
      <w:lvlText w:val="%3."/>
      <w:lvlJc w:val="start"/>
      <w:pPr>
        <w:tabs>
          <w:tab w:val="num" w:pos="1560"/>
        </w:tabs>
        <w:ind w:start="1560" w:hanging="360"/>
      </w:pPr>
      <w:rPr/>
    </w:lvl>
    <w:lvl w:ilvl="3">
      <w:start w:val="1"/>
      <w:numFmt w:val="decimal"/>
      <w:lvlText w:val="%4."/>
      <w:lvlJc w:val="start"/>
      <w:pPr>
        <w:tabs>
          <w:tab w:val="num" w:pos="1920"/>
        </w:tabs>
        <w:ind w:start="1920" w:hanging="360"/>
      </w:pPr>
      <w:rPr/>
    </w:lvl>
    <w:lvl w:ilvl="4">
      <w:start w:val="1"/>
      <w:numFmt w:val="decimal"/>
      <w:lvlText w:val="%5."/>
      <w:lvlJc w:val="start"/>
      <w:pPr>
        <w:tabs>
          <w:tab w:val="num" w:pos="2280"/>
        </w:tabs>
        <w:ind w:start="2280" w:hanging="360"/>
      </w:pPr>
      <w:rPr/>
    </w:lvl>
    <w:lvl w:ilvl="5">
      <w:start w:val="1"/>
      <w:numFmt w:val="decimal"/>
      <w:lvlText w:val="%6."/>
      <w:lvlJc w:val="start"/>
      <w:pPr>
        <w:tabs>
          <w:tab w:val="num" w:pos="2640"/>
        </w:tabs>
        <w:ind w:start="2640" w:hanging="360"/>
      </w:pPr>
      <w:rPr/>
    </w:lvl>
    <w:lvl w:ilvl="6">
      <w:start w:val="1"/>
      <w:numFmt w:val="decimal"/>
      <w:lvlText w:val="%7."/>
      <w:lvlJc w:val="start"/>
      <w:pPr>
        <w:tabs>
          <w:tab w:val="num" w:pos="3000"/>
        </w:tabs>
        <w:ind w:start="3000" w:hanging="360"/>
      </w:pPr>
      <w:rPr/>
    </w:lvl>
    <w:lvl w:ilvl="7">
      <w:start w:val="1"/>
      <w:numFmt w:val="decimal"/>
      <w:lvlText w:val="%8."/>
      <w:lvlJc w:val="start"/>
      <w:pPr>
        <w:tabs>
          <w:tab w:val="num" w:pos="3360"/>
        </w:tabs>
        <w:ind w:start="3360" w:hanging="360"/>
      </w:pPr>
      <w:rPr/>
    </w:lvl>
    <w:lvl w:ilvl="8">
      <w:start w:val="1"/>
      <w:numFmt w:val="decimal"/>
      <w:lvlText w:val="%9."/>
      <w:lvlJc w:val="start"/>
      <w:pPr>
        <w:tabs>
          <w:tab w:val="num" w:pos="3720"/>
        </w:tabs>
        <w:ind w:start="3720" w:hanging="360"/>
      </w:pPr>
      <w:rPr/>
    </w:lvl>
  </w:abstractNum>
  <w:abstractNum w:abstractNumId="10">
    <w:lvl w:ilvl="0">
      <w:start w:val="1"/>
      <w:numFmt w:val="decimal"/>
      <w:lvlText w:val="%1."/>
      <w:lvlJc w:val="start"/>
      <w:pPr>
        <w:tabs>
          <w:tab w:val="num" w:pos="840"/>
        </w:tabs>
        <w:ind w:start="840" w:hanging="360"/>
      </w:pPr>
      <w:rPr/>
    </w:lvl>
    <w:lvl w:ilvl="1">
      <w:start w:val="1"/>
      <w:numFmt w:val="decimal"/>
      <w:lvlText w:val="%2."/>
      <w:lvlJc w:val="start"/>
      <w:pPr>
        <w:tabs>
          <w:tab w:val="num" w:pos="1200"/>
        </w:tabs>
        <w:ind w:start="1200" w:hanging="360"/>
      </w:pPr>
      <w:rPr/>
    </w:lvl>
    <w:lvl w:ilvl="2">
      <w:start w:val="1"/>
      <w:numFmt w:val="decimal"/>
      <w:lvlText w:val="%3."/>
      <w:lvlJc w:val="start"/>
      <w:pPr>
        <w:tabs>
          <w:tab w:val="num" w:pos="1560"/>
        </w:tabs>
        <w:ind w:start="1560" w:hanging="360"/>
      </w:pPr>
      <w:rPr/>
    </w:lvl>
    <w:lvl w:ilvl="3">
      <w:start w:val="1"/>
      <w:numFmt w:val="decimal"/>
      <w:lvlText w:val="%4."/>
      <w:lvlJc w:val="start"/>
      <w:pPr>
        <w:tabs>
          <w:tab w:val="num" w:pos="1920"/>
        </w:tabs>
        <w:ind w:start="1920" w:hanging="360"/>
      </w:pPr>
      <w:rPr/>
    </w:lvl>
    <w:lvl w:ilvl="4">
      <w:start w:val="1"/>
      <w:numFmt w:val="decimal"/>
      <w:lvlText w:val="%5."/>
      <w:lvlJc w:val="start"/>
      <w:pPr>
        <w:tabs>
          <w:tab w:val="num" w:pos="2280"/>
        </w:tabs>
        <w:ind w:start="2280" w:hanging="360"/>
      </w:pPr>
      <w:rPr/>
    </w:lvl>
    <w:lvl w:ilvl="5">
      <w:start w:val="1"/>
      <w:numFmt w:val="decimal"/>
      <w:lvlText w:val="%6."/>
      <w:lvlJc w:val="start"/>
      <w:pPr>
        <w:tabs>
          <w:tab w:val="num" w:pos="2640"/>
        </w:tabs>
        <w:ind w:start="2640" w:hanging="360"/>
      </w:pPr>
      <w:rPr/>
    </w:lvl>
    <w:lvl w:ilvl="6">
      <w:start w:val="1"/>
      <w:numFmt w:val="decimal"/>
      <w:lvlText w:val="%7."/>
      <w:lvlJc w:val="start"/>
      <w:pPr>
        <w:tabs>
          <w:tab w:val="num" w:pos="3000"/>
        </w:tabs>
        <w:ind w:start="3000" w:hanging="360"/>
      </w:pPr>
      <w:rPr/>
    </w:lvl>
    <w:lvl w:ilvl="7">
      <w:start w:val="1"/>
      <w:numFmt w:val="decimal"/>
      <w:lvlText w:val="%8."/>
      <w:lvlJc w:val="start"/>
      <w:pPr>
        <w:tabs>
          <w:tab w:val="num" w:pos="3360"/>
        </w:tabs>
        <w:ind w:start="3360" w:hanging="360"/>
      </w:pPr>
      <w:rPr/>
    </w:lvl>
    <w:lvl w:ilvl="8">
      <w:start w:val="1"/>
      <w:numFmt w:val="decimal"/>
      <w:lvlText w:val="%9."/>
      <w:lvlJc w:val="start"/>
      <w:pPr>
        <w:tabs>
          <w:tab w:val="num" w:pos="3720"/>
        </w:tabs>
        <w:ind w:start="3720" w:hanging="360"/>
      </w:pPr>
      <w:rPr/>
    </w:lvl>
  </w:abstractNum>
  <w:abstractNum w:abstractNumId="11">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Arial" w:hAnsi="Arial" w:eastAsia="Arial" w:cs="Arial"/>
      <w:color w:val="auto"/>
      <w:kern w:val="0"/>
      <w:sz w:val="22"/>
      <w:szCs w:val="22"/>
      <w:lang w:val="pl-PL" w:eastAsia="zh-CN" w:bidi="hi-IN"/>
    </w:rPr>
  </w:style>
  <w:style w:type="paragraph" w:styleId="Heading1">
    <w:name w:val="heading 1"/>
    <w:basedOn w:val="Header"/>
    <w:qFormat/>
    <w:pPr>
      <w:outlineLvl w:val="0"/>
    </w:pPr>
    <w:rPr>
      <w:color w:val="2E74B5"/>
      <w:sz w:val="32"/>
      <w:szCs w:val="32"/>
    </w:rPr>
  </w:style>
  <w:style w:type="paragraph" w:styleId="Heading2">
    <w:name w:val="heading 2"/>
    <w:basedOn w:val="Header"/>
    <w:qFormat/>
    <w:pPr>
      <w:outlineLvl w:val="1"/>
    </w:pPr>
    <w:rPr>
      <w:color w:val="2E74B5"/>
      <w:sz w:val="26"/>
      <w:szCs w:val="26"/>
    </w:rPr>
  </w:style>
  <w:style w:type="paragraph" w:styleId="Heading3">
    <w:name w:val="heading 3"/>
    <w:basedOn w:val="Header"/>
    <w:qFormat/>
    <w:pPr>
      <w:outlineLvl w:val="2"/>
    </w:pPr>
    <w:rPr>
      <w:color w:val="1F4D78"/>
      <w:sz w:val="24"/>
      <w:szCs w:val="24"/>
    </w:rPr>
  </w:style>
  <w:style w:type="paragraph" w:styleId="Heading4">
    <w:name w:val="heading 4"/>
    <w:basedOn w:val="Header"/>
    <w:qFormat/>
    <w:pPr>
      <w:outlineLvl w:val="3"/>
    </w:pPr>
    <w:rPr>
      <w:i/>
      <w:iCs/>
      <w:color w:val="2E74B5"/>
    </w:rPr>
  </w:style>
  <w:style w:type="paragraph" w:styleId="Heading5">
    <w:name w:val="heading 5"/>
    <w:basedOn w:val="Header"/>
    <w:qFormat/>
    <w:pPr>
      <w:outlineLvl w:val="4"/>
    </w:pPr>
    <w:rPr>
      <w:color w:val="2E74B5"/>
    </w:rPr>
  </w:style>
  <w:style w:type="paragraph" w:styleId="Heading6">
    <w:name w:val="heading 6"/>
    <w:basedOn w:val="Header"/>
    <w:qFormat/>
    <w:pPr>
      <w:outlineLvl w:val="5"/>
    </w:pPr>
    <w:rPr>
      <w:color w:val="1F4D78"/>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Znakiprzypiswdolnych" w:customStyle="1">
    <w:name w:val="Znaki przypisów dolnych"/>
    <w:uiPriority w:val="99"/>
    <w:semiHidden/>
    <w:unhideWhenUsed/>
    <w:qFormat/>
    <w:rPr>
      <w:vertAlign w:val="superscript"/>
    </w:rPr>
  </w:style>
  <w:style w:type="character" w:styleId="Znakiprzypiswdolnychuser" w:customStyle="1">
    <w:name w:val="Znaki przypisów dolnych (user)"/>
    <w:qFormat/>
    <w:rPr>
      <w:vertAlign w:val="superscript"/>
    </w:rPr>
  </w:style>
  <w:style w:type="character" w:styleId="FootnoteReference">
    <w:name w:val="footnote reference"/>
    <w:rPr>
      <w:vertAlign w:val="superscript"/>
    </w:rPr>
  </w:style>
  <w:style w:type="character" w:styleId="TekstprzypisudolnegoZnak" w:customStyle="1">
    <w:name w:val="Tekst przypisu dolnego Znak"/>
    <w:uiPriority w:val="99"/>
    <w:semiHidden/>
    <w:unhideWhenUsed/>
    <w:qFormat/>
    <w:rPr>
      <w:sz w:val="20"/>
      <w:szCs w:val="20"/>
    </w:rPr>
  </w:style>
  <w:style w:type="character" w:styleId="Znakiprzypiswkocowych" w:customStyle="1">
    <w:name w:val="Znaki przypisów końcowych"/>
    <w:uiPriority w:val="99"/>
    <w:semiHidden/>
    <w:unhideWhenUsed/>
    <w:qFormat/>
    <w:rPr>
      <w:vertAlign w:val="superscript"/>
    </w:rPr>
  </w:style>
  <w:style w:type="character" w:styleId="Znakiprzypiswkocowychuser" w:customStyle="1">
    <w:name w:val="Znaki przypisów końcowych (user)"/>
    <w:qFormat/>
    <w:rPr>
      <w:vertAlign w:val="superscript"/>
    </w:rPr>
  </w:style>
  <w:style w:type="character" w:styleId="EndnoteReference">
    <w:name w:val="endnote reference"/>
    <w:rPr>
      <w:vertAlign w:val="superscript"/>
    </w:rPr>
  </w:style>
  <w:style w:type="character" w:styleId="TekstprzypisukocowegoZnak" w:customStyle="1">
    <w:name w:val="Tekst przypisu końcowego Znak"/>
    <w:uiPriority w:val="99"/>
    <w:semiHidden/>
    <w:unhideWhenUsed/>
    <w:qFormat/>
    <w:rPr>
      <w:sz w:val="20"/>
      <w:szCs w:val="20"/>
    </w:rPr>
  </w:style>
  <w:style w:type="character" w:styleId="Znakinumeracji" w:customStyle="1">
    <w:name w:val="Znaki numeracji"/>
    <w:qFormat/>
    <w:rPr/>
  </w:style>
  <w:style w:type="character" w:styleId="Strong">
    <w:name w:val="Strong"/>
    <w:qFormat/>
    <w:rPr>
      <w:b/>
      <w:bCs/>
    </w:rPr>
  </w:style>
  <w:style w:type="character" w:styleId="Znakiwypunktowania" w:customStyle="1">
    <w:name w:val="Znaki wypunktowania"/>
    <w:qFormat/>
    <w:rPr>
      <w:rFonts w:ascii="OpenSymbol" w:hAnsi="OpenSymbol" w:eastAsia="OpenSymbol" w:cs="OpenSymbol"/>
    </w:rPr>
  </w:style>
  <w:style w:type="character" w:styleId="CommentReference">
    <w:name w:val="annotation reference"/>
    <w:basedOn w:val="DefaultParagraphFont"/>
    <w:uiPriority w:val="99"/>
    <w:semiHidden/>
    <w:unhideWhenUsed/>
    <w:qFormat/>
    <w:rsid w:val="00841769"/>
    <w:rPr>
      <w:sz w:val="16"/>
      <w:szCs w:val="16"/>
    </w:rPr>
  </w:style>
  <w:style w:type="character" w:styleId="TekstkomentarzaZnak" w:customStyle="1">
    <w:name w:val="Tekst komentarza Znak"/>
    <w:basedOn w:val="DefaultParagraphFont"/>
    <w:link w:val="CommentText"/>
    <w:uiPriority w:val="99"/>
    <w:semiHidden/>
    <w:qFormat/>
    <w:rsid w:val="00841769"/>
    <w:rPr>
      <w:rFonts w:cs="Mangal"/>
      <w:sz w:val="20"/>
      <w:szCs w:val="18"/>
    </w:rPr>
  </w:style>
  <w:style w:type="character" w:styleId="TematkomentarzaZnak" w:customStyle="1">
    <w:name w:val="Temat komentarza Znak"/>
    <w:basedOn w:val="TekstkomentarzaZnak"/>
    <w:link w:val="annotationsubject"/>
    <w:uiPriority w:val="99"/>
    <w:semiHidden/>
    <w:qFormat/>
    <w:rsid w:val="00841769"/>
    <w:rPr>
      <w:rFonts w:cs="Mangal"/>
      <w:b/>
      <w:bCs/>
      <w:sz w:val="20"/>
      <w:szCs w:val="18"/>
    </w:rPr>
  </w:style>
  <w:style w:type="character" w:styleId="TekstdymkaZnak" w:customStyle="1">
    <w:name w:val="Tekst dymka Znak"/>
    <w:basedOn w:val="DefaultParagraphFont"/>
    <w:link w:val="BalloonText"/>
    <w:uiPriority w:val="99"/>
    <w:semiHidden/>
    <w:qFormat/>
    <w:rsid w:val="00841769"/>
    <w:rPr>
      <w:rFonts w:ascii="Segoe UI" w:hAnsi="Segoe UI" w:cs="Mangal"/>
      <w:sz w:val="18"/>
      <w:szCs w:val="16"/>
    </w:rPr>
  </w:style>
  <w:style w:type="character" w:styleId="LineNumber">
    <w:name w:val="line number"/>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Gwkaistopka"/>
    <w:next w:val="BodyText"/>
    <w:pPr>
      <w:suppressLineNumbers/>
      <w:tabs>
        <w:tab w:val="clear" w:pos="720"/>
        <w:tab w:val="center" w:pos="4819" w:leader="none"/>
        <w:tab w:val="right" w:pos="9638" w:leader="none"/>
      </w:tabs>
    </w:pPr>
    <w:rPr/>
  </w:style>
  <w:style w:type="paragraph" w:styleId="Nagwek1" w:customStyle="1">
    <w:name w:val="Nagłówek1"/>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Gwkaistopkauser" w:customStyle="1">
    <w:name w:val="Główka i stopka (user)"/>
    <w:basedOn w:val="Normal"/>
    <w:qFormat/>
    <w:pPr/>
    <w:rPr/>
  </w:style>
  <w:style w:type="paragraph" w:styleId="Title">
    <w:name w:val="Title"/>
    <w:basedOn w:val="Header"/>
    <w:qFormat/>
    <w:pPr/>
    <w:rPr>
      <w:sz w:val="56"/>
      <w:szCs w:val="56"/>
    </w:rPr>
  </w:style>
  <w:style w:type="paragraph" w:styleId="StrongEmphasis" w:customStyle="1">
    <w:name w:val="Strong Emphasis"/>
    <w:qFormat/>
    <w:pPr>
      <w:widowControl/>
      <w:suppressAutoHyphens w:val="true"/>
      <w:bidi w:val="0"/>
      <w:spacing w:before="0" w:after="0"/>
      <w:jc w:val="start"/>
    </w:pPr>
    <w:rPr>
      <w:rFonts w:ascii="Arial" w:hAnsi="Arial" w:eastAsia="Arial" w:cs="Arial"/>
      <w:b/>
      <w:bCs/>
      <w:color w:val="auto"/>
      <w:kern w:val="0"/>
      <w:sz w:val="22"/>
      <w:szCs w:val="22"/>
      <w:lang w:val="pl-PL" w:eastAsia="zh-CN" w:bidi="hi-IN"/>
    </w:rPr>
  </w:style>
  <w:style w:type="paragraph" w:styleId="ListParagraph">
    <w:name w:val="List Paragraph"/>
    <w:qFormat/>
    <w:pPr>
      <w:widowControl/>
      <w:suppressAutoHyphens w:val="true"/>
      <w:bidi w:val="0"/>
      <w:spacing w:before="0" w:after="0"/>
      <w:jc w:val="start"/>
    </w:pPr>
    <w:rPr>
      <w:rFonts w:ascii="Arial" w:hAnsi="Arial" w:eastAsia="Arial" w:cs="Arial"/>
      <w:color w:val="auto"/>
      <w:kern w:val="0"/>
      <w:sz w:val="22"/>
      <w:szCs w:val="22"/>
      <w:lang w:val="pl-PL" w:eastAsia="zh-CN" w:bidi="hi-IN"/>
    </w:rPr>
  </w:style>
  <w:style w:type="paragraph" w:styleId="FootnoteText">
    <w:name w:val="footnote text"/>
    <w:basedOn w:val="Normal"/>
    <w:link w:val="TekstprzypisudolnegoZnak"/>
    <w:uiPriority w:val="99"/>
    <w:semiHidden/>
    <w:unhideWhenUsed/>
    <w:pPr/>
    <w:rPr>
      <w:sz w:val="20"/>
      <w:szCs w:val="20"/>
    </w:rPr>
  </w:style>
  <w:style w:type="paragraph" w:styleId="EndnoteText">
    <w:name w:val="endnote text"/>
    <w:basedOn w:val="Normal"/>
    <w:link w:val="TekstprzypisukocowegoZnak"/>
    <w:uiPriority w:val="99"/>
    <w:semiHidden/>
    <w:unhideWhenUsed/>
    <w:pPr/>
    <w:rPr>
      <w:sz w:val="20"/>
      <w:szCs w:val="20"/>
    </w:rPr>
  </w:style>
  <w:style w:type="paragraph" w:styleId="Footer">
    <w:name w:val="footer"/>
    <w:basedOn w:val="Gwkaistopka"/>
    <w:pPr/>
    <w:rPr/>
  </w:style>
  <w:style w:type="paragraph" w:styleId="CommentText">
    <w:name w:val="annotation text"/>
    <w:basedOn w:val="Normal"/>
    <w:link w:val="TekstkomentarzaZnak"/>
    <w:uiPriority w:val="99"/>
    <w:semiHidden/>
    <w:unhideWhenUsed/>
    <w:rsid w:val="00841769"/>
    <w:pPr/>
    <w:rPr>
      <w:rFonts w:cs="Mangal"/>
      <w:sz w:val="20"/>
      <w:szCs w:val="18"/>
    </w:rPr>
  </w:style>
  <w:style w:type="paragraph" w:styleId="annotationsubject">
    <w:name w:val="annotation subject"/>
    <w:basedOn w:val="CommentText"/>
    <w:next w:val="CommentText"/>
    <w:link w:val="TematkomentarzaZnak"/>
    <w:uiPriority w:val="99"/>
    <w:semiHidden/>
    <w:unhideWhenUsed/>
    <w:qFormat/>
    <w:rsid w:val="00841769"/>
    <w:pPr/>
    <w:rPr>
      <w:b/>
      <w:bCs/>
    </w:rPr>
  </w:style>
  <w:style w:type="paragraph" w:styleId="BalloonText">
    <w:name w:val="Balloon Text"/>
    <w:basedOn w:val="Normal"/>
    <w:link w:val="TekstdymkaZnak"/>
    <w:uiPriority w:val="99"/>
    <w:semiHidden/>
    <w:unhideWhenUsed/>
    <w:qFormat/>
    <w:rsid w:val="00841769"/>
    <w:pPr/>
    <w:rPr>
      <w:rFonts w:ascii="Segoe UI" w:hAnsi="Segoe UI" w:cs="Mangal"/>
      <w:sz w:val="18"/>
      <w:szCs w:val="16"/>
    </w:rPr>
  </w:style>
  <w:style w:type="paragraph" w:styleId="Revision">
    <w:name w:val="Revision"/>
    <w:uiPriority w:val="99"/>
    <w:semiHidden/>
    <w:qFormat/>
    <w:rsid w:val="002d192a"/>
    <w:pPr>
      <w:widowControl/>
      <w:suppressAutoHyphens w:val="false"/>
      <w:bidi w:val="0"/>
      <w:spacing w:before="0" w:after="0"/>
      <w:jc w:val="start"/>
    </w:pPr>
    <w:rPr>
      <w:rFonts w:cs="Mangal" w:ascii="Arial" w:hAnsi="Arial" w:eastAsia="Arial"/>
      <w:color w:val="auto"/>
      <w:kern w:val="0"/>
      <w:sz w:val="22"/>
      <w:szCs w:val="20"/>
      <w:lang w:val="pl-PL" w:eastAsia="zh-CN" w:bidi="hi-IN"/>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unduszeeuropejskie.gov.pl/media/117275/Podrecznik_beneficjenta_info-promo_21-27.pdf"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106</TotalTime>
  <Application>LibreOffice/26.2.5.2$Windows_X86_64 LibreOffice_project/cd7284b4cbbfeb507e630c1aac019f4157393acb</Application>
  <AppVersion>15.0000</AppVersion>
  <Pages>7</Pages>
  <Words>2308</Words>
  <Characters>16317</Characters>
  <CharactersWithSpaces>18559</CharactersWithSpaces>
  <Paragraphs>85</Paragraphs>
  <Company>Windows 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2026-08-02T19:40:00Z</dcterms:created>
  <dc:creator>Un-named</dc:creator>
  <dc:description/>
  <dc:language>pl-PL</dc:language>
  <cp:lastModifiedBy/>
  <dcterms:modified xsi:type="dcterms:W3CDTF">2026-08-17T12:46:12Z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