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D88" w:rsidRPr="00515D88" w:rsidRDefault="00515D88" w:rsidP="00515D88">
      <w:pPr>
        <w:spacing w:after="60"/>
        <w:jc w:val="center"/>
        <w:rPr>
          <w:rFonts w:asciiTheme="majorHAnsi" w:hAnsiTheme="majorHAnsi" w:cstheme="majorHAnsi"/>
          <w:noProof/>
          <w:sz w:val="22"/>
        </w:rPr>
      </w:pPr>
      <w:r w:rsidRPr="00515D88">
        <w:rPr>
          <w:rFonts w:asciiTheme="majorHAnsi" w:hAnsiTheme="majorHAnsi" w:cstheme="majorHAnsi"/>
          <w:noProof/>
          <w:sz w:val="22"/>
        </w:rPr>
        <w:drawing>
          <wp:inline distT="0" distB="0" distL="0" distR="0" wp14:anchorId="16D6DE80" wp14:editId="4C2288A6">
            <wp:extent cx="1602802" cy="542925"/>
            <wp:effectExtent l="0" t="0" r="0" b="0"/>
            <wp:docPr id="1" name="Obraz 1" descr="Logotyp składający się z pomarańczowego sygnetu przedstawiającego trzy stylizowane sylwetki ludzkie wpisane w sześciokąt oraz czarnego, pogrubionego napisu „Ochrona ludności i obrona cywilna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3326" cy="55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5D88">
        <w:rPr>
          <w:rFonts w:asciiTheme="majorHAnsi" w:hAnsiTheme="majorHAnsi" w:cstheme="majorHAnsi"/>
          <w:noProof/>
          <w:sz w:val="22"/>
        </w:rPr>
        <w:tab/>
      </w:r>
      <w:r w:rsidRPr="00515D88">
        <w:rPr>
          <w:rFonts w:asciiTheme="majorHAnsi" w:hAnsiTheme="majorHAnsi" w:cstheme="majorHAnsi"/>
          <w:noProof/>
          <w:sz w:val="22"/>
        </w:rPr>
        <w:drawing>
          <wp:inline distT="0" distB="0" distL="0" distR="0" wp14:anchorId="63E13254" wp14:editId="51549B2E">
            <wp:extent cx="523182" cy="523240"/>
            <wp:effectExtent l="0" t="0" r="0" b="0"/>
            <wp:docPr id="3" name="Obraz 3" descr="Międzynarodowy znak obrony cywilnej – niebieski trójkąt równoboczny umieszczony na pomarańczowym tle w kształcie koł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527" cy="552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5D88" w:rsidRPr="00515D88" w:rsidRDefault="00515D88" w:rsidP="00515D88">
      <w:pPr>
        <w:jc w:val="center"/>
        <w:rPr>
          <w:rFonts w:ascii="Calibri" w:hAnsi="Calibri" w:cs="Calibri"/>
          <w:bCs/>
          <w:i/>
          <w:sz w:val="18"/>
        </w:rPr>
      </w:pPr>
      <w:r w:rsidRPr="00515D88">
        <w:rPr>
          <w:rFonts w:ascii="Calibri" w:hAnsi="Calibri" w:cs="Calibri"/>
          <w:i/>
          <w:sz w:val="18"/>
        </w:rPr>
        <w:t xml:space="preserve">Zadanie jest finansowane w ramach </w:t>
      </w:r>
      <w:r w:rsidRPr="00515D88">
        <w:rPr>
          <w:rFonts w:ascii="Calibri" w:hAnsi="Calibri" w:cs="Calibri"/>
          <w:bCs/>
          <w:i/>
          <w:sz w:val="18"/>
        </w:rPr>
        <w:t>Programu Ochrony Ludności i Obrony Cywilnej na lata 2025–2026</w:t>
      </w:r>
    </w:p>
    <w:p w:rsidR="00515D88" w:rsidRPr="00515D88" w:rsidRDefault="00515D88" w:rsidP="00515D88">
      <w:pPr>
        <w:spacing w:after="0" w:line="240" w:lineRule="auto"/>
        <w:jc w:val="right"/>
        <w:rPr>
          <w:rFonts w:ascii="Calibri" w:eastAsia="Times New Roman" w:hAnsi="Calibri" w:cs="Calibri"/>
          <w:sz w:val="18"/>
        </w:rPr>
      </w:pPr>
      <w:r w:rsidRPr="00515D88">
        <w:rPr>
          <w:rFonts w:ascii="Calibri" w:eastAsia="Times New Roman" w:hAnsi="Calibri" w:cs="Calibri"/>
          <w:sz w:val="18"/>
        </w:rPr>
        <w:t>Załącznik nr 5</w:t>
      </w:r>
      <w:r w:rsidRPr="00515D88">
        <w:rPr>
          <w:rFonts w:ascii="Calibri" w:eastAsia="Times New Roman" w:hAnsi="Calibri" w:cs="Calibri"/>
          <w:sz w:val="18"/>
        </w:rPr>
        <w:t xml:space="preserve"> do SWZ</w:t>
      </w:r>
    </w:p>
    <w:p w:rsidR="00515D88" w:rsidRPr="00515D88" w:rsidRDefault="00515D88" w:rsidP="00515D88">
      <w:pPr>
        <w:spacing w:after="0"/>
        <w:ind w:left="5246" w:hanging="1"/>
        <w:rPr>
          <w:rFonts w:ascii="Calibri" w:eastAsia="Times New Roman" w:hAnsi="Calibri" w:cs="Calibri"/>
          <w:b/>
          <w:u w:val="single"/>
        </w:rPr>
      </w:pPr>
    </w:p>
    <w:p w:rsidR="00515D88" w:rsidRPr="00515D88" w:rsidRDefault="00515D88" w:rsidP="00515D88">
      <w:pPr>
        <w:spacing w:after="0"/>
        <w:rPr>
          <w:rFonts w:ascii="Calibri" w:eastAsia="Times New Roman" w:hAnsi="Calibri" w:cs="Calibri"/>
          <w:sz w:val="20"/>
        </w:rPr>
      </w:pPr>
    </w:p>
    <w:p w:rsidR="00515D88" w:rsidRDefault="00515D88" w:rsidP="00515D88">
      <w:pPr>
        <w:spacing w:after="0"/>
        <w:jc w:val="both"/>
        <w:rPr>
          <w:rFonts w:ascii="Calibri" w:hAnsi="Calibri" w:cs="Calibri"/>
          <w:sz w:val="20"/>
          <w:szCs w:val="20"/>
        </w:rPr>
      </w:pPr>
      <w:r w:rsidRPr="00515D88">
        <w:rPr>
          <w:rFonts w:ascii="Calibri" w:hAnsi="Calibri" w:cs="Calibri"/>
          <w:sz w:val="20"/>
          <w:szCs w:val="20"/>
        </w:rPr>
        <w:t>ZP.271.2.14.2026</w:t>
      </w:r>
    </w:p>
    <w:p w:rsidR="00515D88" w:rsidRPr="00515D88" w:rsidRDefault="00515D88" w:rsidP="00515D88">
      <w:pPr>
        <w:spacing w:after="0"/>
        <w:jc w:val="both"/>
        <w:rPr>
          <w:rFonts w:ascii="Calibri" w:hAnsi="Calibri" w:cs="Calibri"/>
          <w:sz w:val="20"/>
          <w:szCs w:val="20"/>
        </w:rPr>
      </w:pPr>
      <w:bookmarkStart w:id="0" w:name="_GoBack"/>
      <w:bookmarkEnd w:id="0"/>
    </w:p>
    <w:p w:rsidR="00E5212E" w:rsidRDefault="00515D88">
      <w:pPr>
        <w:pStyle w:val="Nagwek1"/>
      </w:pPr>
      <w:r>
        <w:t>K</w:t>
      </w:r>
      <w:r>
        <w:t>lauzula informacyjna - ZAMÓWIENIA PUBLICZNE I POSTĘPOWANIA ZAKUPOWE</w:t>
      </w:r>
    </w:p>
    <w:p w:rsidR="00E5212E" w:rsidRDefault="00515D88">
      <w:pPr>
        <w:pStyle w:val="Nagwek2"/>
      </w:pPr>
      <w:r>
        <w:t>Kto odpowiada za dane</w:t>
      </w:r>
    </w:p>
    <w:p w:rsidR="00E5212E" w:rsidRDefault="00515D88">
      <w:pPr>
        <w:pStyle w:val="ClauseText"/>
      </w:pPr>
      <w:r>
        <w:t>Administrator (podmiot decydujący, po co i jak używa danych):</w:t>
      </w:r>
    </w:p>
    <w:p w:rsidR="00E5212E" w:rsidRDefault="00515D88">
      <w:pPr>
        <w:pStyle w:val="ClauseBullet"/>
      </w:pPr>
      <w:r>
        <w:t xml:space="preserve">- Gmina Ogrodzieniec, reprezentowana przez Burmistrza Miasta i Gminy Ogrodzieniec, Plac Wolności </w:t>
      </w:r>
      <w:r>
        <w:t>25, 42-440 Ogrodzieniec.</w:t>
      </w:r>
    </w:p>
    <w:p w:rsidR="00E5212E" w:rsidRDefault="00515D88">
      <w:pPr>
        <w:pStyle w:val="ClauseBullet"/>
      </w:pPr>
      <w:r>
        <w:t>- Kontakt z Administratorem: ogrodzieniec@ogrodzieniec.pl.</w:t>
      </w:r>
    </w:p>
    <w:p w:rsidR="00E5212E" w:rsidRDefault="00515D88">
      <w:pPr>
        <w:pStyle w:val="Nagwek2"/>
      </w:pPr>
      <w:r>
        <w:t>Jak skontaktować się z IOD</w:t>
      </w:r>
    </w:p>
    <w:p w:rsidR="00E5212E" w:rsidRDefault="00515D88">
      <w:pPr>
        <w:pStyle w:val="ClauseText"/>
      </w:pPr>
      <w:r>
        <w:t>IOD (inspektor ochrony danych, czyli osoba kontaktowa w sprawach danych): Maciej Zaremba, adres poczty elektronicznej: iodo@ogrodzieniec.pl, tel.</w:t>
      </w:r>
      <w:r>
        <w:t xml:space="preserve"> 505 981 042.</w:t>
      </w:r>
    </w:p>
    <w:p w:rsidR="00E5212E" w:rsidRDefault="00515D88">
      <w:pPr>
        <w:pStyle w:val="Nagwek2"/>
      </w:pPr>
      <w:r>
        <w:t>Po co i na jakiej podstawie przetwarzamy dane</w:t>
      </w:r>
    </w:p>
    <w:p w:rsidR="00E5212E" w:rsidRDefault="00515D88">
      <w:pPr>
        <w:pStyle w:val="ClauseText"/>
      </w:pPr>
      <w:r>
        <w:t>Cele:</w:t>
      </w:r>
    </w:p>
    <w:p w:rsidR="00E5212E" w:rsidRDefault="00515D88">
      <w:pPr>
        <w:pStyle w:val="ClauseBullet"/>
      </w:pPr>
      <w:r>
        <w:t>- przygotowanie i przeprowadzenie postępowania, ocena ofert, wybór wykonawcy, zawarcie umowy, jawność postępowania, archiwizacja, kontrola, audyt.</w:t>
      </w:r>
    </w:p>
    <w:p w:rsidR="00E5212E" w:rsidRDefault="00515D88">
      <w:pPr>
        <w:pStyle w:val="ClauseBullet"/>
      </w:pPr>
      <w:r>
        <w:t>- roszczenia.</w:t>
      </w:r>
    </w:p>
    <w:p w:rsidR="00E5212E" w:rsidRDefault="00515D88">
      <w:pPr>
        <w:pStyle w:val="ClauseText"/>
      </w:pPr>
      <w:r>
        <w:t>Podstawy prawne:</w:t>
      </w:r>
    </w:p>
    <w:p w:rsidR="00E5212E" w:rsidRDefault="00515D88">
      <w:pPr>
        <w:pStyle w:val="ClauseBullet"/>
      </w:pPr>
      <w:r>
        <w:t>- art. 6 ust</w:t>
      </w:r>
      <w:r>
        <w:t>. 1 lit. c RODO w związku z ustawą z dnia 11 września 2019 r. - Prawo zamówień publicznych, przepisami o finansach publicznych, rachunkowości, kontroli i archiwizacji.</w:t>
      </w:r>
    </w:p>
    <w:p w:rsidR="00E5212E" w:rsidRDefault="00515D88">
      <w:pPr>
        <w:pStyle w:val="ClauseBullet"/>
      </w:pPr>
      <w:r>
        <w:t>- art. 6 ust. 1 lit. b RODO dla zawarcia i wykonania umowy, jeżeli osoba, której dane do</w:t>
      </w:r>
      <w:r>
        <w:t>tyczą, jest stroną umowy albo gdy przetwarzanie jest niezbędne do działań przed jej zawarciem.</w:t>
      </w:r>
    </w:p>
    <w:p w:rsidR="00E5212E" w:rsidRDefault="00515D88">
      <w:pPr>
        <w:pStyle w:val="ClauseBullet"/>
      </w:pPr>
      <w:r>
        <w:t>- art. 6 ust. 1 lit. f RODO wyłącznie dla ustalenia, dochodzenia lub obrony roszczeń w zakresie niewchodzącym w wykonywanie zadania publicznego.</w:t>
      </w:r>
    </w:p>
    <w:p w:rsidR="00E5212E" w:rsidRDefault="00515D88">
      <w:pPr>
        <w:pStyle w:val="ClauseBullet"/>
      </w:pPr>
      <w:r>
        <w:t>- Jeżeli dokumen</w:t>
      </w:r>
      <w:r>
        <w:t>tacja postępowania obejmuje dane dotyczące wyroków skazujących i czynów zabronionych (art. 10 RODO), w szczególności w zakresie podstaw wykluczenia wykonawcy albo osób działających po stronie wykonawcy, dane te są przetwarzane wyłącznie w zakresie wymagany</w:t>
      </w:r>
      <w:r>
        <w:t>m przepisami Prawa zamówień publicznych.</w:t>
      </w:r>
    </w:p>
    <w:p w:rsidR="00E5212E" w:rsidRDefault="00515D88">
      <w:pPr>
        <w:pStyle w:val="ClauseText"/>
      </w:pPr>
      <w:r>
        <w:t>Prawnie uzasadniony interes (ważny powód używania danych, gdy RODO na to pozwala):</w:t>
      </w:r>
    </w:p>
    <w:p w:rsidR="00E5212E" w:rsidRDefault="00515D88">
      <w:pPr>
        <w:pStyle w:val="ClauseBullet"/>
      </w:pPr>
      <w:r>
        <w:t>- roszczenia, rozliczalność i organizacja sprawy - tylko poza wykonywaniem władzy publicznej.</w:t>
      </w:r>
    </w:p>
    <w:p w:rsidR="00E5212E" w:rsidRDefault="00515D88">
      <w:pPr>
        <w:pStyle w:val="Nagwek2"/>
      </w:pPr>
      <w:r>
        <w:t>Jakie dane przetwarzamy i skąd pochodz</w:t>
      </w:r>
      <w:r>
        <w:t>ą</w:t>
      </w:r>
    </w:p>
    <w:p w:rsidR="00E5212E" w:rsidRDefault="00515D88">
      <w:pPr>
        <w:pStyle w:val="Nagwek3"/>
      </w:pPr>
      <w:r>
        <w:t>Dane podawane bezpośrednio - art. 13 RODO</w:t>
      </w:r>
    </w:p>
    <w:p w:rsidR="00E5212E" w:rsidRDefault="00515D88">
      <w:pPr>
        <w:pStyle w:val="ClauseText"/>
      </w:pPr>
      <w:r>
        <w:t>Są to dane, które podaje Pan/Pani w piśmie, wniosku, formularzu, zgłoszeniu, umowie, rozmowie, korespondencji albo innym działaniu w tej sprawie.</w:t>
      </w:r>
    </w:p>
    <w:p w:rsidR="00E5212E" w:rsidRDefault="00515D88">
      <w:pPr>
        <w:pStyle w:val="ClauseText"/>
      </w:pPr>
      <w:r>
        <w:t>Kategorie danych:</w:t>
      </w:r>
    </w:p>
    <w:p w:rsidR="00E5212E" w:rsidRDefault="00515D88">
      <w:pPr>
        <w:pStyle w:val="ClauseBullet"/>
      </w:pPr>
      <w:r>
        <w:t>- dane identyfikacyjne wykonawców, oferentów, pe</w:t>
      </w:r>
      <w:r>
        <w:t>łnomocników, osób reprezentujących, osób kontaktowych oraz osób wskazanych do realizacji zamówienia.</w:t>
      </w:r>
    </w:p>
    <w:p w:rsidR="00E5212E" w:rsidRDefault="00515D88">
      <w:pPr>
        <w:pStyle w:val="ClauseBullet"/>
      </w:pPr>
      <w:r>
        <w:t>- dane adresowe i kontaktowe.</w:t>
      </w:r>
    </w:p>
    <w:p w:rsidR="00E5212E" w:rsidRDefault="00515D88">
      <w:pPr>
        <w:pStyle w:val="ClauseBullet"/>
      </w:pPr>
      <w:r>
        <w:t>- dane rejestrowe i identyfikacyjne, w tym firma, NIP, REGON, KRS albo CEIDG, jeżeli dotyczą.</w:t>
      </w:r>
    </w:p>
    <w:p w:rsidR="00E5212E" w:rsidRDefault="00515D88">
      <w:pPr>
        <w:pStyle w:val="ClauseBullet"/>
      </w:pPr>
      <w:r>
        <w:t xml:space="preserve">- dane dotyczące kwalifikacji, </w:t>
      </w:r>
      <w:r>
        <w:t>doświadczenia, uprawnień, potencjału technicznego, personelu, spełniania warunków udziału w postępowaniu i braku podstaw wykluczenia.</w:t>
      </w:r>
    </w:p>
    <w:p w:rsidR="00E5212E" w:rsidRDefault="00515D88">
      <w:pPr>
        <w:pStyle w:val="ClauseBullet"/>
      </w:pPr>
      <w:r>
        <w:t>- dane z ofert, oświadczeń, pełnomocnictw, JEDZ albo innych dokumentów wymaganych przepisami lub dokumentacją postępowania</w:t>
      </w:r>
      <w:r>
        <w:t>.</w:t>
      </w:r>
    </w:p>
    <w:p w:rsidR="00E5212E" w:rsidRDefault="00515D88">
      <w:pPr>
        <w:pStyle w:val="ClauseBullet"/>
      </w:pPr>
      <w:r>
        <w:t>- dane umowy, rozliczeń, faktur, rachunku bankowego, płatności, reklamacji, zgłoszeń, kontroli i roszczeń.</w:t>
      </w:r>
    </w:p>
    <w:p w:rsidR="00E5212E" w:rsidRDefault="00515D88">
      <w:pPr>
        <w:pStyle w:val="ClauseBullet"/>
      </w:pPr>
      <w:r>
        <w:t xml:space="preserve">- Dane dotyczące prawomocnych skazań lub innych okoliczności mieszczących się w art. 10 RODO są przetwarzane wyłącznie wtedy, gdy wynikają z </w:t>
      </w:r>
      <w:r>
        <w:t>dokumentów wymaganych do oceny braku podstaw wykluczenia albo z innych obowiązków przewidzianych przepisami Prawa zamówień publicznych.</w:t>
      </w:r>
    </w:p>
    <w:p w:rsidR="00E5212E" w:rsidRDefault="00515D88">
      <w:pPr>
        <w:pStyle w:val="Nagwek3"/>
      </w:pPr>
      <w:r>
        <w:t>Dane, które tworzymy w toku sprawy</w:t>
      </w:r>
    </w:p>
    <w:p w:rsidR="00E5212E" w:rsidRDefault="00515D88">
      <w:pPr>
        <w:pStyle w:val="ClauseBullet"/>
      </w:pPr>
      <w:r>
        <w:t>- Tworzymy protokół postępowania, ocenę ofert, korespondencję, umowę, rozliczenia ora</w:t>
      </w:r>
      <w:r>
        <w:t>z dokumentację kontroli i roszczeń.</w:t>
      </w:r>
    </w:p>
    <w:p w:rsidR="00E5212E" w:rsidRDefault="00515D88">
      <w:pPr>
        <w:pStyle w:val="Nagwek3"/>
      </w:pPr>
      <w:r>
        <w:lastRenderedPageBreak/>
        <w:t>Dane pozyskiwane z innych źródeł - art. 14 RODO</w:t>
      </w:r>
    </w:p>
    <w:p w:rsidR="00E5212E" w:rsidRDefault="00515D88">
      <w:pPr>
        <w:pStyle w:val="ClauseText"/>
      </w:pPr>
      <w:r>
        <w:t>Jeżeli dane nie pochodzą od Pana/Pani, źródło i kategorie danych są takie:</w:t>
      </w:r>
    </w:p>
    <w:p w:rsidR="00E5212E" w:rsidRDefault="00515D88">
      <w:pPr>
        <w:pStyle w:val="ClauseBullet"/>
      </w:pPr>
      <w:r>
        <w:t>- Źródło: wykonawca, oferent, podwykonawca albo podmiot udostępniający zasoby. Dane: dane osób re</w:t>
      </w:r>
      <w:r>
        <w:t>prezentujących, kontaktowych, pełnomocników i osób wskazanych do realizacji zamówienia. Źródło publiczne: nie.</w:t>
      </w:r>
    </w:p>
    <w:p w:rsidR="00E5212E" w:rsidRDefault="00515D88">
      <w:pPr>
        <w:pStyle w:val="ClauseBullet"/>
      </w:pPr>
      <w:r>
        <w:t>- Źródło: dokumenty złożone w postępowaniu przez wykonawcę albo oferenta. Dane: kwalifikacje, doświadczenie, uprawnienia, brak podstaw wykluczeni</w:t>
      </w:r>
      <w:r>
        <w:t>a, pełnomocnictwa i dane z oferty. Źródło publiczne: nie.</w:t>
      </w:r>
    </w:p>
    <w:p w:rsidR="00E5212E" w:rsidRDefault="00515D88">
      <w:pPr>
        <w:pStyle w:val="ClauseBullet"/>
      </w:pPr>
      <w:r>
        <w:t>- Źródło: CEIDG, KRS, BIP, platformy zakupowe albo inne jawne rejestry. Dane: dane rejestrowe, status działalności i dane osób reprezentujących. Źródło publiczne: tak.</w:t>
      </w:r>
    </w:p>
    <w:p w:rsidR="00E5212E" w:rsidRDefault="00515D88">
      <w:pPr>
        <w:pStyle w:val="ClauseText"/>
      </w:pPr>
      <w:r>
        <w:t xml:space="preserve">Jeżeli obowiązek informacyjny </w:t>
      </w:r>
      <w:r>
        <w:t>nie jest wyłączony lub ograniczony, informację z art. 14 RODO przekazujemy w terminach z art. 14 ust. 3 RODO: najpóźniej w ciągu miesiąca, przy pierwszej komunikacji z osobą albo przed pierwszym ujawnieniem danych. Obowiązku nie realizujemy albo realizujem</w:t>
      </w:r>
      <w:r>
        <w:t>y go w ograniczonym zakresie, gdy zastosowanie ma art. 14 ust. 5 RODO, przepis szczególny albo obowiązek zachowania poufności.</w:t>
      </w:r>
    </w:p>
    <w:p w:rsidR="00E5212E" w:rsidRDefault="00515D88">
      <w:pPr>
        <w:pStyle w:val="Nagwek2"/>
      </w:pPr>
      <w:r>
        <w:t>Komu możemy ujawnić dane</w:t>
      </w:r>
    </w:p>
    <w:p w:rsidR="00E5212E" w:rsidRDefault="00515D88">
      <w:pPr>
        <w:pStyle w:val="ClauseText"/>
      </w:pPr>
      <w:r>
        <w:t>Dane udostępniamy tylko wtedy, gdy jest to potrzebne do sprawy albo wynika z prawa.</w:t>
      </w:r>
    </w:p>
    <w:p w:rsidR="00E5212E" w:rsidRDefault="00515D88">
      <w:pPr>
        <w:pStyle w:val="ClauseBullet"/>
      </w:pPr>
      <w:r>
        <w:t>- operatorzy pocztow</w:t>
      </w:r>
      <w:r>
        <w:t>i, kurierzy, dostawcy e-Doręczeń, banki w zakresie płatności lub rozliczeń - tylko w zakresie potrzebnym do sprawy.</w:t>
      </w:r>
    </w:p>
    <w:p w:rsidR="00E5212E" w:rsidRDefault="00515D88">
      <w:pPr>
        <w:pStyle w:val="ClauseBullet"/>
      </w:pPr>
      <w:r>
        <w:t>- podmioty obsługujące systemy teleinformatyczne, archiwizację, niszczenie dokumentów, korespondencję, płatności lub rozliczenia - jeżeli wy</w:t>
      </w:r>
      <w:r>
        <w:t>stępują - oraz obsługę prawną; w przypadku podmiotów przetwarzających dane działają one na podstawie umów powierzenia.</w:t>
      </w:r>
    </w:p>
    <w:p w:rsidR="00E5212E" w:rsidRDefault="00515D88">
      <w:pPr>
        <w:pStyle w:val="ClauseBullet"/>
      </w:pPr>
      <w:r>
        <w:t>- osoby i podmioty, które uzyskują dostęp do dokumentacji postępowania na zasadach jawności określonych w Prawie zamówień publicznych.</w:t>
      </w:r>
    </w:p>
    <w:p w:rsidR="00E5212E" w:rsidRDefault="00515D88">
      <w:pPr>
        <w:pStyle w:val="Nagwek2"/>
      </w:pPr>
      <w:r>
        <w:t>Cz</w:t>
      </w:r>
      <w:r>
        <w:t>y przekazujemy dane poza Europejski Obszar Gospodarczy (EOG)</w:t>
      </w:r>
    </w:p>
    <w:p w:rsidR="00E5212E" w:rsidRDefault="00515D88">
      <w:pPr>
        <w:pStyle w:val="ClauseBullet"/>
      </w:pPr>
      <w:r>
        <w:t>- Nie zamierzamy przekazywać danych poza EOG w ramach tej sprawy.</w:t>
      </w:r>
    </w:p>
    <w:p w:rsidR="00E5212E" w:rsidRDefault="00515D88">
      <w:pPr>
        <w:pStyle w:val="Nagwek2"/>
      </w:pPr>
      <w:r>
        <w:t>Jak długo przechowujemy dane</w:t>
      </w:r>
    </w:p>
    <w:p w:rsidR="00E5212E" w:rsidRDefault="00515D88">
      <w:pPr>
        <w:pStyle w:val="ClauseText"/>
      </w:pPr>
      <w:r>
        <w:t>Dane przechowujemy przez następujące okresy:</w:t>
      </w:r>
    </w:p>
    <w:p w:rsidR="00E5212E" w:rsidRDefault="00515D88">
      <w:pPr>
        <w:pStyle w:val="ClauseBullet"/>
      </w:pPr>
      <w:r>
        <w:t>- protokół postępowania wraz z załącznikami co najmniej</w:t>
      </w:r>
      <w:r>
        <w:t xml:space="preserve"> 4 lata od zakończenia postępowania, a gdy umowa trwa dłużej niż 4 lata - przez okres obowiązywania umowy.</w:t>
      </w:r>
    </w:p>
    <w:p w:rsidR="00E5212E" w:rsidRDefault="00515D88">
      <w:pPr>
        <w:pStyle w:val="ClauseBullet"/>
      </w:pPr>
      <w:r>
        <w:t>- dłużej, jeżeli wynika to z archiwizacji, kontroli, finansowania albo roszczeń.</w:t>
      </w:r>
    </w:p>
    <w:p w:rsidR="00E5212E" w:rsidRDefault="00515D88">
      <w:pPr>
        <w:pStyle w:val="Nagwek2"/>
      </w:pPr>
      <w:r>
        <w:t>Czy musi Pan/Pani podać dane</w:t>
      </w:r>
    </w:p>
    <w:p w:rsidR="00E5212E" w:rsidRDefault="00515D88">
      <w:pPr>
        <w:pStyle w:val="ClauseBullet"/>
      </w:pPr>
      <w:r>
        <w:t>- Podanie danych jest obowiązkowe tylko</w:t>
      </w:r>
      <w:r>
        <w:t xml:space="preserve"> w zakresie, w jakim wynika z przepisów prawa właściwych dla tej sprawy. W pozostałym zakresie jest dobrowolne, ale może być potrzebne do obsługi sprawy, udziału w postępowaniu, wykonania umowy, rozliczenia albo udzielenia odpowiedzi.</w:t>
      </w:r>
    </w:p>
    <w:p w:rsidR="00E5212E" w:rsidRDefault="00515D88">
      <w:pPr>
        <w:pStyle w:val="ClauseBullet"/>
      </w:pPr>
      <w:r>
        <w:t xml:space="preserve">- Brak danych </w:t>
      </w:r>
      <w:r>
        <w:t>wymaganych prawem albo niezbędnych do celu może uniemożliwić załatwienie sprawy, udział w danym działaniu, zawarcie lub wykonanie umowy, rozliczenie albo spełnienie obowiązku publicznego.</w:t>
      </w:r>
    </w:p>
    <w:p w:rsidR="00E5212E" w:rsidRDefault="00515D88">
      <w:pPr>
        <w:pStyle w:val="ClauseBullet"/>
      </w:pPr>
      <w:r>
        <w:t>- Dane umowne podaje Pan/Pani dobrowolnie, ale są potrzebne do zawar</w:t>
      </w:r>
      <w:r>
        <w:t>cia albo wykonania umowy.</w:t>
      </w:r>
    </w:p>
    <w:p w:rsidR="00E5212E" w:rsidRDefault="00515D88">
      <w:pPr>
        <w:pStyle w:val="ClauseBullet"/>
      </w:pPr>
      <w:r>
        <w:t>- Brak danych umownych może uniemożliwić zawarcie albo wykonanie umowy.</w:t>
      </w:r>
    </w:p>
    <w:p w:rsidR="00E5212E" w:rsidRDefault="00515D88">
      <w:pPr>
        <w:pStyle w:val="ClauseBullet"/>
      </w:pPr>
      <w:r>
        <w:t>- Dane dodatkowe podaje Pan/Pani dobrowolnie, jeżeli nie są wymagane przez prawo albo nie są niezbędne do celu.</w:t>
      </w:r>
    </w:p>
    <w:p w:rsidR="00E5212E" w:rsidRDefault="00515D88">
      <w:pPr>
        <w:pStyle w:val="Nagwek2"/>
      </w:pPr>
      <w:r>
        <w:t>Jakie prawa ma Pan/Pani</w:t>
      </w:r>
    </w:p>
    <w:p w:rsidR="00E5212E" w:rsidRDefault="00515D88">
      <w:pPr>
        <w:pStyle w:val="ClauseText"/>
      </w:pPr>
      <w:r>
        <w:t>W granicach określonyc</w:t>
      </w:r>
      <w:r>
        <w:t>h w RODO przysługuje Panu/Pani prawo do:</w:t>
      </w:r>
    </w:p>
    <w:p w:rsidR="00E5212E" w:rsidRDefault="00515D88">
      <w:pPr>
        <w:pStyle w:val="ClauseBullet"/>
      </w:pPr>
      <w:r>
        <w:t>- dostępu do danych i otrzymania kopii.</w:t>
      </w:r>
    </w:p>
    <w:p w:rsidR="00E5212E" w:rsidRDefault="00515D88">
      <w:pPr>
        <w:pStyle w:val="ClauseBullet"/>
      </w:pPr>
      <w:r>
        <w:t>- sprostowania danych, gdy są błędne albo niepełne.</w:t>
      </w:r>
    </w:p>
    <w:p w:rsidR="00E5212E" w:rsidRDefault="00515D88">
      <w:pPr>
        <w:pStyle w:val="ClauseBullet"/>
      </w:pPr>
      <w:r>
        <w:t>- usunięcia danych w przypadkach wskazanych w art. 17 RODO.</w:t>
      </w:r>
    </w:p>
    <w:p w:rsidR="00E5212E" w:rsidRDefault="00515D88">
      <w:pPr>
        <w:pStyle w:val="ClauseBullet"/>
      </w:pPr>
      <w:r>
        <w:t>- ograniczenia przetwarzania danych.</w:t>
      </w:r>
    </w:p>
    <w:p w:rsidR="00E5212E" w:rsidRDefault="00515D88">
      <w:pPr>
        <w:pStyle w:val="ClauseBullet"/>
      </w:pPr>
      <w:r>
        <w:t xml:space="preserve">- sprzeciwu - w zakresie, </w:t>
      </w:r>
      <w:r>
        <w:t>w którym podstawą jest art. 6 ust. 1 lit. f RODO.</w:t>
      </w:r>
    </w:p>
    <w:p w:rsidR="00E5212E" w:rsidRDefault="00515D88">
      <w:pPr>
        <w:pStyle w:val="ClauseBullet"/>
      </w:pPr>
      <w:r>
        <w:t>- przeniesienia danych - tylko gdy dane są przetwarzane na podstawie zgody albo umowy i w sposób zautomatyzowany.</w:t>
      </w:r>
    </w:p>
    <w:p w:rsidR="00E5212E" w:rsidRDefault="00515D88">
      <w:pPr>
        <w:pStyle w:val="ClauseBullet"/>
      </w:pPr>
      <w:r>
        <w:t>- skargi do Prezesa Urzędu Ochrony Danych Osobowych.</w:t>
      </w:r>
    </w:p>
    <w:p w:rsidR="00E5212E" w:rsidRDefault="00515D88">
      <w:pPr>
        <w:pStyle w:val="ClauseText"/>
      </w:pPr>
      <w:r>
        <w:lastRenderedPageBreak/>
        <w:t>Ograniczenia wynikające z Prawa zamówie</w:t>
      </w:r>
      <w:r>
        <w:t>ń publicznych:</w:t>
      </w:r>
    </w:p>
    <w:p w:rsidR="00E5212E" w:rsidRDefault="00515D88">
      <w:pPr>
        <w:pStyle w:val="ClauseBullet"/>
      </w:pPr>
      <w:r>
        <w:t>- Sprostowanie lub uzupełnienie danych nie może zmienić wyniku postępowania ani umowy w sposób niezgodny z Prawem zamówień publicznych.</w:t>
      </w:r>
    </w:p>
    <w:p w:rsidR="00E5212E" w:rsidRDefault="00515D88">
      <w:pPr>
        <w:pStyle w:val="ClauseBullet"/>
      </w:pPr>
      <w:r>
        <w:t>- Żądanie ograniczenia przetwarzania nie wstrzymuje przetwarzania danych do czasu zakończenia postępowani</w:t>
      </w:r>
      <w:r>
        <w:t>a o udzielenie zamówienia publicznego.</w:t>
      </w:r>
    </w:p>
    <w:p w:rsidR="00E5212E" w:rsidRDefault="00515D88">
      <w:pPr>
        <w:pStyle w:val="NoteText"/>
      </w:pPr>
      <w:r>
        <w:t>Zakres praw zależy od podstawy prawnej i charakteru przetwarzania. Jeżeli przepis nakazuje nam przechowywać dane, możemy odmówić ich usunięcia.</w:t>
      </w:r>
    </w:p>
    <w:p w:rsidR="00E5212E" w:rsidRDefault="00515D88">
      <w:pPr>
        <w:pStyle w:val="Nagwek2"/>
      </w:pPr>
      <w:r>
        <w:t>Zautomatyzowane decyzje i profilowanie</w:t>
      </w:r>
    </w:p>
    <w:p w:rsidR="00E5212E" w:rsidRDefault="00515D88">
      <w:pPr>
        <w:pStyle w:val="ClauseText"/>
      </w:pPr>
      <w:r>
        <w:t>Nie podejmujemy wobec Pana/Pani de</w:t>
      </w:r>
      <w:r>
        <w:t>cyzji opartych wyłącznie na zautomatyzowanym przetwarzaniu, w tym profilowaniu, które wywoływałyby wobec Pana/Pani skutki prawne albo w podobny sposób istotnie na Pana/Panią wpływały.</w:t>
      </w:r>
    </w:p>
    <w:sectPr w:rsidR="00E5212E">
      <w:headerReference w:type="default" r:id="rId9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5D88" w:rsidRDefault="00515D88" w:rsidP="00515D88">
      <w:pPr>
        <w:spacing w:after="0" w:line="240" w:lineRule="auto"/>
      </w:pPr>
      <w:r>
        <w:separator/>
      </w:r>
    </w:p>
  </w:endnote>
  <w:endnote w:type="continuationSeparator" w:id="0">
    <w:p w:rsidR="00515D88" w:rsidRDefault="00515D88" w:rsidP="00515D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5D88" w:rsidRDefault="00515D88" w:rsidP="00515D88">
      <w:pPr>
        <w:spacing w:after="0" w:line="240" w:lineRule="auto"/>
      </w:pPr>
      <w:r>
        <w:separator/>
      </w:r>
    </w:p>
  </w:footnote>
  <w:footnote w:type="continuationSeparator" w:id="0">
    <w:p w:rsidR="00515D88" w:rsidRDefault="00515D88" w:rsidP="00515D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5D88" w:rsidRPr="00515D88" w:rsidRDefault="00515D88" w:rsidP="00515D88">
    <w:pPr>
      <w:pStyle w:val="Nagwek"/>
      <w:jc w:val="center"/>
      <w:rPr>
        <w:rFonts w:asciiTheme="majorHAnsi" w:hAnsiTheme="majorHAnsi" w:cstheme="majorHAnsi"/>
        <w:i/>
        <w:iCs/>
        <w:sz w:val="18"/>
        <w:szCs w:val="20"/>
      </w:rPr>
    </w:pPr>
    <w:r w:rsidRPr="00515D88">
      <w:rPr>
        <w:rFonts w:asciiTheme="majorHAnsi" w:hAnsiTheme="majorHAnsi" w:cstheme="majorHAnsi"/>
        <w:i/>
        <w:iCs/>
        <w:sz w:val="18"/>
        <w:szCs w:val="20"/>
      </w:rPr>
      <w:t>Adaptacja kondygnacji podziemnej budynku Szkoły Podstawowej w Gieble do funkcji Miejsca Doraźnego Schronienia (MDS)</w:t>
    </w:r>
  </w:p>
  <w:p w:rsidR="00515D88" w:rsidRDefault="00515D8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12E"/>
    <w:rsid w:val="00515D88"/>
    <w:rsid w:val="00E5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pl-PL" w:bidi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7E9658A2-AA17-406F-B4E8-5DDB20414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000000"/>
        <w:sz w:val="22"/>
        <w:szCs w:val="22"/>
        <w:lang w:val="pl-PL" w:eastAsia="pl-PL" w:bidi="pl-P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Arial" w:eastAsia="Arial" w:hAnsi="Arial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120" w:after="80"/>
      <w:outlineLvl w:val="1"/>
    </w:pPr>
    <w:rPr>
      <w:rFonts w:asciiTheme="majorHAnsi" w:eastAsiaTheme="majorEastAsia" w:hAnsiTheme="majorHAnsi" w:cstheme="majorBidi"/>
      <w:b/>
      <w:bCs/>
      <w:sz w:val="2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120" w:after="80"/>
      <w:outlineLvl w:val="2"/>
    </w:pPr>
    <w:rPr>
      <w:rFonts w:asciiTheme="majorHAnsi" w:eastAsiaTheme="majorEastAsia" w:hAnsiTheme="majorHAnsi" w:cstheme="majorBidi"/>
      <w:b/>
      <w:bCs/>
      <w:sz w:val="2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Bezodstpw">
    <w:name w:val="No Spacing"/>
    <w:uiPriority w:val="1"/>
    <w:qFormat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Theme="majorHAnsi" w:eastAsiaTheme="majorEastAsia" w:hAnsiTheme="majorHAnsi" w:cstheme="majorBidi"/>
      <w:b/>
      <w:bCs/>
      <w:color w:val="000000"/>
    </w:rPr>
  </w:style>
  <w:style w:type="paragraph" w:styleId="Tytu">
    <w:name w:val="Title"/>
    <w:basedOn w:val="Normalny"/>
    <w:next w:val="Normalny"/>
    <w:link w:val="TytuZnak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color w:val="000000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Pr>
      <w:rFonts w:asciiTheme="majorHAnsi" w:eastAsiaTheme="majorEastAsia" w:hAnsiTheme="majorHAnsi" w:cstheme="majorBidi"/>
      <w:i/>
      <w:iCs/>
      <w:color w:val="000000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</w:style>
  <w:style w:type="paragraph" w:styleId="Tekstpodstawowy2">
    <w:name w:val="Body Text 2"/>
    <w:basedOn w:val="Normalny"/>
    <w:link w:val="Tekstpodstawowy2Znak"/>
    <w:uiPriority w:val="99"/>
    <w:unhideWhenUsed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</w:style>
  <w:style w:type="paragraph" w:styleId="Tekstpodstawowy3">
    <w:name w:val="Body Text 3"/>
    <w:basedOn w:val="Normalny"/>
    <w:link w:val="Tekstpodstawowy3Znak"/>
    <w:uiPriority w:val="99"/>
    <w:unhideWhenUsed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Pr>
      <w:sz w:val="16"/>
      <w:szCs w:val="16"/>
    </w:rPr>
  </w:style>
  <w:style w:type="paragraph" w:styleId="Lista">
    <w:name w:val="List"/>
    <w:basedOn w:val="Normalny"/>
    <w:uiPriority w:val="99"/>
    <w:unhideWhenUsed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000000"/>
    </w:rPr>
  </w:style>
  <w:style w:type="character" w:customStyle="1" w:styleId="Nagwek4Znak">
    <w:name w:val="Nagłówek 4 Znak"/>
    <w:basedOn w:val="Domylnaczcionkaakapitu"/>
    <w:link w:val="Nagwek4"/>
    <w:uiPriority w:val="9"/>
    <w:semiHidden/>
    <w:rPr>
      <w:rFonts w:asciiTheme="majorHAnsi" w:eastAsiaTheme="majorEastAsia" w:hAnsiTheme="majorHAnsi" w:cstheme="majorBidi"/>
      <w:b/>
      <w:bCs/>
      <w:i/>
      <w:iCs/>
      <w:color w:val="00000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Pr>
      <w:rFonts w:asciiTheme="majorHAnsi" w:eastAsiaTheme="majorEastAsia" w:hAnsiTheme="majorHAnsi" w:cstheme="majorBidi"/>
      <w:color w:val="00000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pPr>
      <w:spacing w:line="240" w:lineRule="auto"/>
    </w:pPr>
    <w:rPr>
      <w:b/>
      <w:bCs/>
      <w:sz w:val="18"/>
      <w:szCs w:val="18"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b/>
      <w:bCs/>
      <w:i/>
      <w:iCs/>
      <w:color w:val="000000"/>
    </w:rPr>
  </w:style>
  <w:style w:type="character" w:styleId="Wyrnieniedelikatne">
    <w:name w:val="Subtle Emphasis"/>
    <w:basedOn w:val="Domylnaczcionkaakapitu"/>
    <w:uiPriority w:val="19"/>
    <w:qFormat/>
    <w:rPr>
      <w:i/>
      <w:iCs/>
      <w:color w:val="000000"/>
    </w:rPr>
  </w:style>
  <w:style w:type="character" w:styleId="Wyrnienieintensywne">
    <w:name w:val="Intense Emphasis"/>
    <w:basedOn w:val="Domylnaczcionkaakapitu"/>
    <w:uiPriority w:val="21"/>
    <w:qFormat/>
    <w:rPr>
      <w:b/>
      <w:bCs/>
      <w:i/>
      <w:iCs/>
      <w:color w:val="000000"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000000"/>
      <w:u w:val="single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000000"/>
      <w:spacing w:val="5"/>
      <w:u w:val="single"/>
    </w:rPr>
  </w:style>
  <w:style w:type="character" w:styleId="Tytuksiki">
    <w:name w:val="Book Title"/>
    <w:basedOn w:val="Domylnaczcionkaakapitu"/>
    <w:uiPriority w:val="33"/>
    <w:qFormat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pPr>
      <w:outlineLvl w:val="9"/>
    </w:p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000000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0000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000000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0000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000000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0000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000000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0000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000000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0000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000000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0000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000000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0000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000000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000000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000000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000000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000000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000000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000000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000000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000000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000000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000000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000000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000000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000000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000000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000000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000000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000000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000000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000000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000000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000000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000000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000000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000000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000000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000000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000000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000000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000000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000000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000000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000000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000000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pPr>
      <w:spacing w:after="0" w:line="240" w:lineRule="auto"/>
    </w:p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pPr>
      <w:spacing w:after="0" w:line="240" w:lineRule="auto"/>
    </w:p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pPr>
      <w:spacing w:after="0" w:line="240" w:lineRule="auto"/>
    </w:p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pPr>
      <w:spacing w:after="0" w:line="240" w:lineRule="auto"/>
    </w:p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pPr>
      <w:spacing w:after="0" w:line="240" w:lineRule="auto"/>
    </w:p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pPr>
      <w:spacing w:after="0" w:line="240" w:lineRule="auto"/>
    </w:p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pPr>
      <w:spacing w:after="0" w:line="240" w:lineRule="auto"/>
    </w:p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000000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000000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olorowecieniowanieakcent1">
    <w:name w:val="Colorful Shading Accent 1"/>
    <w:basedOn w:val="Standardowy"/>
    <w:uiPriority w:val="71"/>
    <w:pPr>
      <w:spacing w:after="0" w:line="240" w:lineRule="auto"/>
    </w:p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000000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000000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olorowecieniowanieakcent2">
    <w:name w:val="Colorful Shading Accent 2"/>
    <w:basedOn w:val="Standardowy"/>
    <w:uiPriority w:val="71"/>
    <w:pPr>
      <w:spacing w:after="0" w:line="240" w:lineRule="auto"/>
    </w:p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000000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000000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olorowecieniowanieakcent3">
    <w:name w:val="Colorful Shading Accent 3"/>
    <w:basedOn w:val="Standardowy"/>
    <w:uiPriority w:val="71"/>
    <w:pPr>
      <w:spacing w:after="0" w:line="240" w:lineRule="auto"/>
    </w:p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000000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000000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pPr>
      <w:spacing w:after="0" w:line="240" w:lineRule="auto"/>
    </w:p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000000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000000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olorowecieniowanieakcent5">
    <w:name w:val="Colorful Shading Accent 5"/>
    <w:basedOn w:val="Standardowy"/>
    <w:uiPriority w:val="71"/>
    <w:pPr>
      <w:spacing w:after="0" w:line="240" w:lineRule="auto"/>
    </w:p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000000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000000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olorowecieniowanieakcent6">
    <w:name w:val="Colorful Shading Accent 6"/>
    <w:basedOn w:val="Standardowy"/>
    <w:uiPriority w:val="71"/>
    <w:pPr>
      <w:spacing w:after="0" w:line="240" w:lineRule="auto"/>
    </w:p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000000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000000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olorowalista">
    <w:name w:val="Colorful List"/>
    <w:basedOn w:val="Standardowy"/>
    <w:uiPriority w:val="72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000000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pPr>
      <w:spacing w:after="0" w:line="240" w:lineRule="auto"/>
    </w:p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000000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pPr>
      <w:spacing w:after="0" w:line="240" w:lineRule="auto"/>
    </w:p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000000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pPr>
      <w:spacing w:after="0" w:line="240" w:lineRule="auto"/>
    </w:p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000000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pPr>
      <w:spacing w:after="0" w:line="240" w:lineRule="auto"/>
    </w:p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000000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pPr>
      <w:spacing w:after="0" w:line="240" w:lineRule="auto"/>
    </w:p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000000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pPr>
      <w:spacing w:after="0" w:line="240" w:lineRule="auto"/>
    </w:p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000000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/>
      </w:rPr>
      <w:tblPr/>
      <w:tcPr>
        <w:shd w:val="clear" w:color="auto" w:fill="999999" w:themeFill="text1" w:themeFillTint="66"/>
      </w:tcPr>
    </w:tblStylePr>
    <w:tblStylePr w:type="firstCol">
      <w:rPr>
        <w:color w:val="000000"/>
      </w:rPr>
      <w:tblPr/>
      <w:tcPr>
        <w:shd w:val="clear" w:color="auto" w:fill="000000" w:themeFill="text1" w:themeFillShade="BF"/>
      </w:tcPr>
    </w:tblStylePr>
    <w:tblStylePr w:type="lastCol">
      <w:rPr>
        <w:color w:val="000000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/>
      </w:rPr>
      <w:tblPr/>
      <w:tcPr>
        <w:shd w:val="clear" w:color="auto" w:fill="B8CCE4" w:themeFill="accent1" w:themeFillTint="66"/>
      </w:tcPr>
    </w:tblStylePr>
    <w:tblStylePr w:type="firstCol">
      <w:rPr>
        <w:color w:val="000000"/>
      </w:rPr>
      <w:tblPr/>
      <w:tcPr>
        <w:shd w:val="clear" w:color="auto" w:fill="365F91" w:themeFill="accent1" w:themeFillShade="BF"/>
      </w:tcPr>
    </w:tblStylePr>
    <w:tblStylePr w:type="lastCol">
      <w:rPr>
        <w:color w:val="000000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/>
      </w:rPr>
      <w:tblPr/>
      <w:tcPr>
        <w:shd w:val="clear" w:color="auto" w:fill="E5B8B7" w:themeFill="accent2" w:themeFillTint="66"/>
      </w:tcPr>
    </w:tblStylePr>
    <w:tblStylePr w:type="firstCol">
      <w:rPr>
        <w:color w:val="000000"/>
      </w:rPr>
      <w:tblPr/>
      <w:tcPr>
        <w:shd w:val="clear" w:color="auto" w:fill="943634" w:themeFill="accent2" w:themeFillShade="BF"/>
      </w:tcPr>
    </w:tblStylePr>
    <w:tblStylePr w:type="lastCol">
      <w:rPr>
        <w:color w:val="000000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/>
      </w:rPr>
      <w:tblPr/>
      <w:tcPr>
        <w:shd w:val="clear" w:color="auto" w:fill="D6E3BC" w:themeFill="accent3" w:themeFillTint="66"/>
      </w:tcPr>
    </w:tblStylePr>
    <w:tblStylePr w:type="firstCol">
      <w:rPr>
        <w:color w:val="000000"/>
      </w:rPr>
      <w:tblPr/>
      <w:tcPr>
        <w:shd w:val="clear" w:color="auto" w:fill="76923C" w:themeFill="accent3" w:themeFillShade="BF"/>
      </w:tcPr>
    </w:tblStylePr>
    <w:tblStylePr w:type="lastCol">
      <w:rPr>
        <w:color w:val="000000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/>
      </w:rPr>
      <w:tblPr/>
      <w:tcPr>
        <w:shd w:val="clear" w:color="auto" w:fill="CCC0D9" w:themeFill="accent4" w:themeFillTint="66"/>
      </w:tcPr>
    </w:tblStylePr>
    <w:tblStylePr w:type="firstCol">
      <w:rPr>
        <w:color w:val="000000"/>
      </w:rPr>
      <w:tblPr/>
      <w:tcPr>
        <w:shd w:val="clear" w:color="auto" w:fill="5F497A" w:themeFill="accent4" w:themeFillShade="BF"/>
      </w:tcPr>
    </w:tblStylePr>
    <w:tblStylePr w:type="lastCol">
      <w:rPr>
        <w:color w:val="000000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/>
      </w:rPr>
      <w:tblPr/>
      <w:tcPr>
        <w:shd w:val="clear" w:color="auto" w:fill="B6DDE8" w:themeFill="accent5" w:themeFillTint="66"/>
      </w:tcPr>
    </w:tblStylePr>
    <w:tblStylePr w:type="firstCol">
      <w:rPr>
        <w:color w:val="000000"/>
      </w:rPr>
      <w:tblPr/>
      <w:tcPr>
        <w:shd w:val="clear" w:color="auto" w:fill="31849B" w:themeFill="accent5" w:themeFillShade="BF"/>
      </w:tcPr>
    </w:tblStylePr>
    <w:tblStylePr w:type="lastCol">
      <w:rPr>
        <w:color w:val="000000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/>
      </w:rPr>
      <w:tblPr/>
      <w:tcPr>
        <w:shd w:val="clear" w:color="auto" w:fill="FBD4B4" w:themeFill="accent6" w:themeFillTint="66"/>
      </w:tcPr>
    </w:tblStylePr>
    <w:tblStylePr w:type="firstCol">
      <w:rPr>
        <w:color w:val="000000"/>
      </w:rPr>
      <w:tblPr/>
      <w:tcPr>
        <w:shd w:val="clear" w:color="auto" w:fill="E36C0A" w:themeFill="accent6" w:themeFillShade="BF"/>
      </w:tcPr>
    </w:tblStylePr>
    <w:tblStylePr w:type="lastCol">
      <w:rPr>
        <w:color w:val="000000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lauseText">
    <w:name w:val="ClauseText"/>
    <w:basedOn w:val="Normalny"/>
    <w:pPr>
      <w:spacing w:after="40"/>
    </w:pPr>
  </w:style>
  <w:style w:type="paragraph" w:customStyle="1" w:styleId="ClauseBullet">
    <w:name w:val="ClauseBullet"/>
    <w:basedOn w:val="Normalny"/>
    <w:pPr>
      <w:spacing w:after="40"/>
      <w:ind w:left="198"/>
    </w:pPr>
  </w:style>
  <w:style w:type="paragraph" w:customStyle="1" w:styleId="NoteText">
    <w:name w:val="NoteText"/>
    <w:basedOn w:val="Normalny"/>
    <w:pPr>
      <w:spacing w:after="40"/>
      <w:ind w:left="198"/>
    </w:pPr>
    <w:rPr>
      <w:i/>
    </w:rPr>
  </w:style>
  <w:style w:type="paragraph" w:customStyle="1" w:styleId="SmallText">
    <w:name w:val="SmallText"/>
    <w:basedOn w:val="Normalny"/>
    <w:pPr>
      <w:spacing w:after="40"/>
    </w:pPr>
    <w:rPr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1067</Words>
  <Characters>6408</Characters>
  <Application>Microsoft Office Word</Application>
  <DocSecurity>0</DocSecurity>
  <Lines>53</Lines>
  <Paragraphs>14</Paragraphs>
  <ScaleCrop>false</ScaleCrop>
  <Company/>
  <LinksUpToDate>false</LinksUpToDate>
  <CharactersWithSpaces>7461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Radosław Cieplak</cp:lastModifiedBy>
  <cp:revision>2</cp:revision>
  <dcterms:created xsi:type="dcterms:W3CDTF">2026-08-20T12:08:00Z</dcterms:created>
  <dcterms:modified xsi:type="dcterms:W3CDTF">2026-08-20T12:09:00Z</dcterms:modified>
</cp:coreProperties>
</file>