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13"/>
        <w:ind w:hanging="10" w:left="287" w:right="889"/>
        <w:jc w:val="right"/>
        <w:rPr/>
      </w:pPr>
      <w:r>
        <w:rPr>
          <w:rFonts w:eastAsia="Lato" w:cs="Lato" w:ascii="Lato" w:hAnsi="Lato"/>
          <w:sz w:val="24"/>
          <w:lang w:val="pl-PL"/>
        </w:rPr>
        <w:t xml:space="preserve">                                                                                                         </w:t>
      </w:r>
      <w:r>
        <w:rPr>
          <w:rFonts w:eastAsia="Lato" w:cs="Lato" w:ascii="Lato" w:hAnsi="Lato"/>
          <w:sz w:val="20"/>
          <w:szCs w:val="20"/>
          <w:lang w:val="pl-PL"/>
        </w:rPr>
        <w:t xml:space="preserve"> </w:t>
      </w:r>
      <w:r>
        <w:rPr>
          <w:rFonts w:cs="Lato" w:ascii="Lato" w:hAnsi="Lato"/>
          <w:sz w:val="20"/>
          <w:szCs w:val="20"/>
          <w:lang w:val="pl-PL"/>
        </w:rPr>
        <w:t>Kraków  30</w:t>
      </w:r>
      <w:r>
        <w:rPr>
          <w:rFonts w:cs="Lato" w:ascii="Lato" w:hAnsi="Lato"/>
          <w:color w:val="auto"/>
          <w:sz w:val="20"/>
          <w:szCs w:val="20"/>
          <w:lang w:val="pl-PL"/>
        </w:rPr>
        <w:t xml:space="preserve"> - 07- 2026</w:t>
      </w:r>
    </w:p>
    <w:p>
      <w:pPr>
        <w:pStyle w:val="Normal"/>
        <w:spacing w:lineRule="auto" w:line="240" w:before="0" w:after="113"/>
        <w:ind w:hanging="10" w:left="287" w:right="889"/>
        <w:jc w:val="left"/>
        <w:rPr/>
      </w:pPr>
      <w:r>
        <w:rPr>
          <w:rFonts w:cs="Lato" w:ascii="Lato" w:hAnsi="Lato"/>
          <w:sz w:val="20"/>
          <w:szCs w:val="20"/>
          <w:lang w:val="pl-PL"/>
        </w:rPr>
        <w:t xml:space="preserve">Nr sprawy Żyw.26.2.2026                    </w:t>
      </w:r>
      <w:r>
        <w:rPr>
          <w:rFonts w:cs="Lato" w:ascii="Lato" w:hAnsi="Lato"/>
          <w:sz w:val="24"/>
          <w:lang w:val="pl-PL"/>
        </w:rPr>
        <w:t xml:space="preserve">                                                                                          </w:t>
      </w:r>
    </w:p>
    <w:p>
      <w:pPr>
        <w:pStyle w:val="Normal"/>
        <w:spacing w:lineRule="auto" w:line="240" w:before="0" w:after="113"/>
        <w:ind w:hanging="10" w:left="298" w:right="142"/>
        <w:jc w:val="center"/>
        <w:rPr>
          <w:sz w:val="22"/>
          <w:szCs w:val="22"/>
        </w:rPr>
      </w:pPr>
      <w:r>
        <w:rPr>
          <w:rFonts w:cs="Lato" w:ascii="Lato" w:hAnsi="Lato"/>
          <w:b/>
          <w:sz w:val="22"/>
          <w:szCs w:val="22"/>
          <w:lang w:val="pl-PL"/>
        </w:rPr>
        <w:t>SPECYFIKACJA  WARUNKÓW  ZAMÓWIENIA</w:t>
      </w:r>
    </w:p>
    <w:p>
      <w:pPr>
        <w:pStyle w:val="Normal"/>
        <w:spacing w:lineRule="auto" w:line="240" w:before="0" w:after="113"/>
        <w:ind w:hanging="10" w:left="298" w:right="29"/>
        <w:jc w:val="center"/>
        <w:rPr>
          <w:sz w:val="22"/>
          <w:szCs w:val="22"/>
        </w:rPr>
      </w:pPr>
      <w:r>
        <w:rPr>
          <w:rFonts w:cs="Lato" w:ascii="Lato" w:hAnsi="Lato"/>
          <w:b/>
          <w:sz w:val="22"/>
          <w:szCs w:val="22"/>
          <w:lang w:val="pl-PL"/>
        </w:rPr>
        <w:t xml:space="preserve">DLA POSTĘPOWANIA PROWADZONEGO W TRYBIE PRZETARGU NIEOGRANICZONEGO </w:t>
      </w:r>
    </w:p>
    <w:p>
      <w:pPr>
        <w:pStyle w:val="Normal"/>
        <w:spacing w:lineRule="auto" w:line="240" w:before="0" w:after="113"/>
        <w:ind w:hanging="10" w:left="298" w:right="29"/>
        <w:jc w:val="center"/>
        <w:rPr>
          <w:sz w:val="22"/>
          <w:szCs w:val="22"/>
        </w:rPr>
      </w:pPr>
      <w:r>
        <w:rPr>
          <w:rFonts w:cs="Lato" w:ascii="Lato" w:hAnsi="Lato"/>
          <w:b/>
          <w:sz w:val="22"/>
          <w:szCs w:val="22"/>
          <w:lang w:val="pl-PL"/>
        </w:rPr>
        <w:t xml:space="preserve">na dostawę artykułów żywnościowych dla Domu Pomocy Społecznej w Krakowie przy </w:t>
      </w:r>
    </w:p>
    <w:p>
      <w:pPr>
        <w:pStyle w:val="Normal"/>
        <w:spacing w:lineRule="auto" w:line="240" w:before="0" w:after="113"/>
        <w:ind w:hanging="10" w:left="298" w:right="29"/>
        <w:jc w:val="center"/>
        <w:rPr>
          <w:sz w:val="22"/>
          <w:szCs w:val="22"/>
        </w:rPr>
      </w:pPr>
      <w:r>
        <w:rPr>
          <w:rFonts w:cs="Lato" w:ascii="Lato" w:hAnsi="Lato"/>
          <w:b/>
          <w:sz w:val="22"/>
          <w:szCs w:val="22"/>
          <w:lang w:val="pl-PL"/>
        </w:rPr>
        <w:t xml:space="preserve">ul. Babińskiego 25 </w:t>
      </w:r>
    </w:p>
    <w:p>
      <w:pPr>
        <w:pStyle w:val="Normal"/>
        <w:spacing w:lineRule="auto" w:line="240" w:before="0" w:after="113"/>
        <w:ind w:hanging="10" w:left="298" w:right="29"/>
        <w:jc w:val="center"/>
        <w:rPr>
          <w:sz w:val="22"/>
          <w:szCs w:val="22"/>
        </w:rPr>
      </w:pPr>
      <w:r>
        <w:rPr>
          <w:rFonts w:cs="Lato" w:ascii="Lato" w:hAnsi="Lato"/>
          <w:b/>
          <w:sz w:val="22"/>
          <w:szCs w:val="22"/>
          <w:lang w:val="pl-PL"/>
        </w:rPr>
        <w:t>w okresie X – XII 2026 r.</w:t>
      </w:r>
    </w:p>
    <w:p>
      <w:pPr>
        <w:pStyle w:val="Normal"/>
        <w:spacing w:lineRule="auto" w:line="240" w:before="0" w:after="113"/>
        <w:ind w:hanging="0" w:left="278" w:right="0"/>
        <w:jc w:val="center"/>
        <w:rPr>
          <w:szCs w:val="21"/>
        </w:rPr>
      </w:pPr>
      <w:r>
        <w:rPr>
          <w:rFonts w:cs="Lato" w:ascii="Lato" w:hAnsi="Lato"/>
          <w:b/>
          <w:szCs w:val="21"/>
          <w:lang w:val="pl-PL"/>
        </w:rPr>
        <w:t>ROZDZIAŁ I</w:t>
      </w:r>
    </w:p>
    <w:p>
      <w:pPr>
        <w:pStyle w:val="Normal"/>
        <w:spacing w:lineRule="auto" w:line="240" w:before="0" w:after="113"/>
        <w:ind w:hanging="10" w:left="275" w:right="0"/>
        <w:jc w:val="left"/>
        <w:rPr>
          <w:szCs w:val="21"/>
        </w:rPr>
      </w:pPr>
      <w:r>
        <w:rPr>
          <w:rFonts w:cs="Lato" w:ascii="Lato" w:hAnsi="Lato"/>
          <w:b/>
          <w:szCs w:val="21"/>
          <w:lang w:val="pl-PL"/>
        </w:rPr>
        <w:t>Zamawiający:</w:t>
      </w:r>
    </w:p>
    <w:p>
      <w:pPr>
        <w:pStyle w:val="Normal"/>
        <w:spacing w:lineRule="auto" w:line="240" w:before="0" w:after="113"/>
        <w:ind w:hanging="10" w:left="263" w:right="0"/>
        <w:rPr/>
      </w:pPr>
      <w:r>
        <w:rPr>
          <w:rFonts w:cs="Lato" w:ascii="Lato" w:hAnsi="Lato"/>
          <w:szCs w:val="21"/>
          <w:lang w:val="pl-PL"/>
        </w:rPr>
        <w:t xml:space="preserve">DOM POMOCY SPOŁECZNEJ, 30-393 Kraków ul. Babińskiego 25, woj. małopolskie. tel. 0-12 262-02-27, 262-02-48, fax. 0–12 262-02-72 adres strony internetowej: </w:t>
      </w:r>
      <w:hyperlink r:id="rId2">
        <w:r>
          <w:rPr>
            <w:rStyle w:val="Style9"/>
            <w:rFonts w:cs="Lato" w:ascii="Lato" w:hAnsi="Lato"/>
            <w:b/>
            <w:bCs/>
            <w:color w:val="0063AF"/>
            <w:szCs w:val="21"/>
            <w:u w:val="none" w:color="0000FF"/>
            <w:lang w:val="pl-PL" w:bidi="ar-SA"/>
          </w:rPr>
          <w:t>https://www.bip.krakow.pl/?bip_id=303</w:t>
        </w:r>
      </w:hyperlink>
      <w:r>
        <w:rPr>
          <w:rStyle w:val="Hyperlink"/>
          <w:rFonts w:cs="Lato" w:ascii="Lato" w:hAnsi="Lato"/>
          <w:b/>
          <w:bCs/>
          <w:color w:val="0000FF"/>
          <w:szCs w:val="21"/>
          <w:u w:val="none" w:color="0000FF"/>
          <w:lang w:val="pl-PL" w:bidi="ar-SA"/>
        </w:rPr>
        <w:t xml:space="preserve">, </w:t>
      </w:r>
    </w:p>
    <w:p>
      <w:pPr>
        <w:pStyle w:val="Normal"/>
        <w:spacing w:lineRule="auto" w:line="240" w:before="0" w:after="113"/>
        <w:ind w:hanging="10" w:left="263" w:right="0"/>
        <w:rPr/>
      </w:pPr>
      <w:r>
        <w:rPr>
          <w:rFonts w:cs="Lato" w:ascii="Lato" w:hAnsi="Lato"/>
          <w:szCs w:val="21"/>
          <w:lang w:val="pl-PL"/>
        </w:rPr>
        <w:t xml:space="preserve">e-mail: </w:t>
      </w:r>
      <w:hyperlink r:id="rId3">
        <w:r>
          <w:rPr>
            <w:rStyle w:val="Style9"/>
            <w:rFonts w:cs="Lato" w:ascii="Lato" w:hAnsi="Lato"/>
            <w:color w:val="000080"/>
            <w:szCs w:val="21"/>
            <w:u w:val="single"/>
            <w:lang w:val="pl-PL" w:bidi="ar-SA"/>
          </w:rPr>
          <w:t>s</w:t>
        </w:r>
      </w:hyperlink>
      <w:r>
        <w:rPr>
          <w:rStyle w:val="Hyperlink"/>
          <w:rFonts w:cs="Lato" w:ascii="Lato" w:hAnsi="Lato"/>
          <w:szCs w:val="21"/>
          <w:lang w:val="pl-PL" w:bidi="ar-SA"/>
        </w:rPr>
        <w:t>ekretariat@dpsbab.krakow.pl</w:t>
      </w:r>
      <w:r>
        <w:rPr>
          <w:rFonts w:cs="Lato" w:ascii="Lato" w:hAnsi="Lato"/>
          <w:szCs w:val="21"/>
          <w:lang w:val="pl-PL"/>
        </w:rPr>
        <w:t>, NIP: 944-11-66-183,  Regon 000295047</w:t>
      </w:r>
    </w:p>
    <w:p>
      <w:pPr>
        <w:pStyle w:val="Normal"/>
        <w:spacing w:lineRule="auto" w:line="240" w:before="0" w:after="113"/>
        <w:ind w:hanging="10" w:left="10" w:right="0"/>
        <w:jc w:val="center"/>
        <w:rPr>
          <w:szCs w:val="21"/>
        </w:rPr>
      </w:pPr>
      <w:r>
        <w:rPr>
          <w:rFonts w:eastAsia="Lato" w:cs="Lato" w:ascii="Lato" w:hAnsi="Lato"/>
          <w:b/>
          <w:szCs w:val="21"/>
          <w:lang w:val="pl-PL"/>
        </w:rPr>
        <w:t xml:space="preserve">     </w:t>
      </w:r>
      <w:r>
        <w:rPr>
          <w:rFonts w:cs="Lato" w:ascii="Lato" w:hAnsi="Lato"/>
          <w:b/>
          <w:szCs w:val="21"/>
          <w:lang w:val="pl-PL"/>
        </w:rPr>
        <w:t xml:space="preserve">ROZDZIAŁ II </w:t>
      </w:r>
    </w:p>
    <w:p>
      <w:pPr>
        <w:pStyle w:val="Normal"/>
        <w:spacing w:lineRule="auto" w:line="240" w:before="0" w:after="113"/>
        <w:ind w:hanging="10" w:left="10" w:right="0"/>
        <w:jc w:val="left"/>
        <w:rPr>
          <w:szCs w:val="21"/>
        </w:rPr>
      </w:pPr>
      <w:r>
        <w:rPr>
          <w:rFonts w:eastAsia="Lato" w:cs="Lato" w:ascii="Lato" w:hAnsi="Lato"/>
          <w:b/>
          <w:szCs w:val="21"/>
          <w:lang w:val="pl-PL"/>
        </w:rPr>
        <w:t xml:space="preserve">    </w:t>
      </w:r>
      <w:r>
        <w:rPr>
          <w:rFonts w:cs="Lato" w:ascii="Lato" w:hAnsi="Lato"/>
          <w:b/>
          <w:szCs w:val="21"/>
          <w:lang w:val="pl-PL"/>
        </w:rPr>
        <w:t>Tryb udzielenia zamówienia:</w:t>
      </w:r>
      <w:r>
        <w:rPr>
          <w:rFonts w:cs="Lato" w:ascii="Lato" w:hAnsi="Lato"/>
          <w:szCs w:val="21"/>
          <w:lang w:val="pl-PL"/>
        </w:rPr>
        <w:t xml:space="preserve">   </w:t>
      </w:r>
      <w:r>
        <w:rPr>
          <w:rFonts w:cs="Lato" w:ascii="Lato" w:hAnsi="Lato"/>
          <w:b/>
          <w:szCs w:val="21"/>
          <w:u w:val="single" w:color="000000"/>
          <w:lang w:val="pl-PL"/>
        </w:rPr>
        <w:t>tryb podstawowy art. 275. ust.1</w:t>
      </w:r>
    </w:p>
    <w:p>
      <w:pPr>
        <w:pStyle w:val="Normal"/>
        <w:numPr>
          <w:ilvl w:val="0"/>
          <w:numId w:val="11"/>
        </w:numPr>
        <w:spacing w:lineRule="auto" w:line="240" w:before="0" w:after="113"/>
        <w:ind w:hanging="234" w:left="511" w:right="13"/>
        <w:rPr>
          <w:szCs w:val="21"/>
        </w:rPr>
      </w:pPr>
      <w:r>
        <w:rPr>
          <w:rFonts w:cs="Lato" w:ascii="Lato" w:hAnsi="Lato"/>
          <w:szCs w:val="21"/>
          <w:lang w:val="pl-PL"/>
        </w:rPr>
        <w:t xml:space="preserve">Postępowanie prowadzone jest na zasadach określonych w ustawie z dnia 11 września 2019 r. Prawo Zamówień Publicznych (t.j. </w:t>
      </w:r>
      <w:r>
        <w:rPr>
          <w:rFonts w:ascii="Lato" w:hAnsi="Lato"/>
          <w:szCs w:val="21"/>
        </w:rPr>
        <w:t>Dz.U. z 2024 r. poz. 1320 z późn. zm.</w:t>
      </w:r>
      <w:r>
        <w:rPr>
          <w:rFonts w:cs="Lato" w:ascii="Lato" w:hAnsi="Lato"/>
          <w:sz w:val="20"/>
          <w:szCs w:val="20"/>
        </w:rPr>
        <w:t>)</w:t>
      </w:r>
      <w:r>
        <w:rPr>
          <w:rFonts w:cs="Lato" w:ascii="Lato" w:hAnsi="Lato"/>
          <w:szCs w:val="21"/>
          <w:lang w:val="pl-PL"/>
        </w:rPr>
        <w:t xml:space="preserve"> zwanej dalej Ustawą oraz wydanych na jej podstawie aktów wykonawczych. </w:t>
      </w:r>
    </w:p>
    <w:p>
      <w:pPr>
        <w:pStyle w:val="Normal"/>
        <w:numPr>
          <w:ilvl w:val="0"/>
          <w:numId w:val="11"/>
        </w:numPr>
        <w:spacing w:lineRule="auto" w:line="240" w:before="0" w:after="113"/>
        <w:ind w:hanging="234" w:left="511" w:right="13"/>
        <w:rPr>
          <w:szCs w:val="21"/>
        </w:rPr>
      </w:pPr>
      <w:r>
        <w:rPr>
          <w:rFonts w:cs="Lato" w:ascii="Lato" w:hAnsi="Lato"/>
          <w:szCs w:val="21"/>
          <w:lang w:val="pl-PL"/>
        </w:rPr>
        <w:t>W sprawach nieuregulowanych Specyfikacją stosuje się przepisy Ustawy.</w:t>
      </w:r>
    </w:p>
    <w:p>
      <w:pPr>
        <w:pStyle w:val="Normal"/>
        <w:numPr>
          <w:ilvl w:val="0"/>
          <w:numId w:val="11"/>
        </w:numPr>
        <w:spacing w:lineRule="auto" w:line="240" w:before="0" w:after="113"/>
        <w:ind w:hanging="234" w:left="511" w:right="13"/>
        <w:rPr>
          <w:szCs w:val="21"/>
        </w:rPr>
      </w:pPr>
      <w:r>
        <w:rPr>
          <w:rFonts w:cs="Lato" w:ascii="Lato" w:hAnsi="Lato"/>
          <w:szCs w:val="21"/>
          <w:lang w:val="pl-PL"/>
        </w:rPr>
        <w:t>Wartość postępowania powyżej 170 tys. złotych, nie przekraczająca równowartości kwoty określonej w obwieszczeniu wydanym na podstawie art. 3 ust. 2 Ustawy Prawo Zamówień Publicznych.</w:t>
      </w:r>
    </w:p>
    <w:p>
      <w:pPr>
        <w:pStyle w:val="Normal"/>
        <w:spacing w:lineRule="auto" w:line="240" w:before="0" w:after="113"/>
        <w:ind w:hanging="0" w:left="0" w:right="0"/>
        <w:jc w:val="center"/>
        <w:rPr>
          <w:szCs w:val="21"/>
        </w:rPr>
      </w:pPr>
      <w:r>
        <w:rPr>
          <w:rFonts w:eastAsia="Lato" w:cs="Lato" w:ascii="Lato" w:hAnsi="Lato"/>
          <w:szCs w:val="21"/>
          <w:lang w:val="pl-PL"/>
        </w:rPr>
        <w:t xml:space="preserve">         </w:t>
      </w:r>
      <w:r>
        <w:rPr>
          <w:rFonts w:cs="Lato" w:ascii="Lato" w:hAnsi="Lato"/>
          <w:b/>
          <w:szCs w:val="21"/>
          <w:lang w:val="pl-PL"/>
        </w:rPr>
        <w:t xml:space="preserve">ROZDZIAŁ III </w:t>
      </w:r>
    </w:p>
    <w:p>
      <w:pPr>
        <w:pStyle w:val="Normal"/>
        <w:spacing w:lineRule="auto" w:line="240" w:before="0" w:after="113"/>
        <w:ind w:hanging="10" w:left="10" w:right="0"/>
        <w:jc w:val="left"/>
        <w:rPr>
          <w:szCs w:val="21"/>
        </w:rPr>
      </w:pPr>
      <w:r>
        <w:rPr>
          <w:rFonts w:eastAsia="Lato" w:cs="Lato" w:ascii="Lato" w:hAnsi="Lato"/>
          <w:b/>
          <w:szCs w:val="21"/>
          <w:lang w:val="pl-PL"/>
        </w:rPr>
        <w:t xml:space="preserve">   </w:t>
      </w:r>
      <w:r>
        <w:rPr>
          <w:rFonts w:cs="Lato" w:ascii="Lato" w:hAnsi="Lato"/>
          <w:b/>
          <w:szCs w:val="21"/>
          <w:lang w:val="pl-PL"/>
        </w:rPr>
        <w:t>Opis przedmiotu zamówienia:</w:t>
      </w:r>
    </w:p>
    <w:p>
      <w:pPr>
        <w:pStyle w:val="Normal"/>
        <w:numPr>
          <w:ilvl w:val="0"/>
          <w:numId w:val="4"/>
        </w:numPr>
        <w:spacing w:lineRule="auto" w:line="240" w:before="0" w:after="0"/>
        <w:ind w:hanging="234" w:left="511" w:right="13"/>
        <w:rPr/>
      </w:pPr>
      <w:r>
        <w:rPr>
          <w:rFonts w:cs="Lato" w:ascii="Lato" w:hAnsi="Lato"/>
          <w:szCs w:val="21"/>
          <w:lang w:val="pl-PL"/>
        </w:rPr>
        <w:t xml:space="preserve">Przedmiotem zamówienia jest: sukcesywna </w:t>
      </w:r>
      <w:r>
        <w:rPr>
          <w:rFonts w:cs="Lato" w:ascii="Lato" w:hAnsi="Lato"/>
          <w:b/>
          <w:szCs w:val="21"/>
          <w:lang w:val="pl-PL"/>
        </w:rPr>
        <w:t xml:space="preserve">dostawa artykułów żywnościowych  </w:t>
      </w:r>
      <w:r>
        <w:rPr>
          <w:rFonts w:cs="Lato" w:ascii="Lato" w:hAnsi="Lato"/>
          <w:szCs w:val="21"/>
          <w:lang w:val="pl-PL"/>
        </w:rPr>
        <w:t xml:space="preserve">dla potrzeb Domu Pomocy  Społecznej w Krakowie przy ul. Babińskiego 25 w okresie </w:t>
      </w:r>
      <w:r>
        <w:rPr>
          <w:rFonts w:cs="Lato" w:ascii="Lato" w:hAnsi="Lato"/>
          <w:b/>
          <w:bCs/>
          <w:szCs w:val="21"/>
          <w:lang w:val="pl-PL"/>
        </w:rPr>
        <w:t xml:space="preserve">od 01 października 2026 r. do 31 grudnia 2026 r. </w:t>
      </w:r>
    </w:p>
    <w:p>
      <w:pPr>
        <w:pStyle w:val="Normal"/>
        <w:numPr>
          <w:ilvl w:val="0"/>
          <w:numId w:val="4"/>
        </w:numPr>
        <w:spacing w:lineRule="auto" w:line="240" w:before="0" w:after="0"/>
        <w:ind w:hanging="234" w:left="511" w:right="13"/>
        <w:rPr/>
      </w:pPr>
      <w:r>
        <w:rPr>
          <w:rFonts w:cs="Lato" w:ascii="Lato" w:hAnsi="Lato"/>
          <w:szCs w:val="21"/>
          <w:lang w:val="pl-PL"/>
        </w:rPr>
        <w:t>Zakres zamówienia obejmuje terminowe dostawy (wraz z rozładunkiem) artykułów do magazynu Domu Pomocy  Społecznej w Krakowie przy ul. Babińskiego 25 transportem wykonawcy i na jego koszt w godzinach od 8:00 do 14:00 od poniedziałku do piątku, mleko i pieczywo w godzinach od 6:00 do 6:30 od poniedziałku do soboty.</w:t>
      </w:r>
    </w:p>
    <w:p>
      <w:pPr>
        <w:pStyle w:val="Normal"/>
        <w:numPr>
          <w:ilvl w:val="0"/>
          <w:numId w:val="4"/>
        </w:numPr>
        <w:spacing w:lineRule="auto" w:line="240" w:before="0" w:after="0"/>
        <w:ind w:hanging="234" w:left="511" w:right="13"/>
        <w:rPr/>
      </w:pPr>
      <w:r>
        <w:rPr>
          <w:rFonts w:cs="Lato" w:ascii="Lato" w:hAnsi="Lato"/>
          <w:szCs w:val="21"/>
          <w:lang w:val="pl-PL"/>
        </w:rPr>
        <w:t>Koszty przewozu, zabezpieczenia towaru i ubezpieczenia za czas przewozu ponosi Wykonawca, a Zamawiający zapewni odbiór zamówionego towaru w swojej siedzibie.</w:t>
      </w:r>
    </w:p>
    <w:p>
      <w:pPr>
        <w:pStyle w:val="Normal"/>
        <w:numPr>
          <w:ilvl w:val="0"/>
          <w:numId w:val="4"/>
        </w:numPr>
        <w:spacing w:lineRule="auto" w:line="240" w:before="0" w:after="0"/>
        <w:ind w:hanging="234" w:left="511" w:right="13"/>
        <w:rPr/>
      </w:pPr>
      <w:r>
        <w:rPr>
          <w:rFonts w:cs="Lato" w:ascii="Lato" w:hAnsi="Lato"/>
          <w:szCs w:val="21"/>
          <w:lang w:val="pl-PL"/>
        </w:rPr>
        <w:t>Wykonawca zobowiązuje się do zachowania odpowiednich warunków transportu dostarczanego towaru. W przypadku dostarczania produktów wskazanych w przepisach sanitarnych, wymagających decyzji inspekcji sanitarnej o dopuszczeniu środka transportu Wykonawca zobowiązany jest posiadać taką decyzję, do wglądu Zamawiającego.</w:t>
      </w:r>
    </w:p>
    <w:p>
      <w:pPr>
        <w:pStyle w:val="Normal"/>
        <w:numPr>
          <w:ilvl w:val="0"/>
          <w:numId w:val="4"/>
        </w:numPr>
        <w:spacing w:lineRule="auto" w:line="240" w:before="0" w:after="0"/>
        <w:ind w:hanging="234" w:left="511" w:right="13"/>
        <w:rPr/>
      </w:pPr>
      <w:r>
        <w:rPr>
          <w:rFonts w:cs="Lato" w:ascii="Lato" w:hAnsi="Lato"/>
          <w:szCs w:val="21"/>
          <w:lang w:val="pl-PL"/>
        </w:rPr>
        <w:t>Dostarczony towar winien być świeży, dobrej jakości, dopuszczony do obrotu zgodnie z obowiązującymi normami i atestami. Powinien znajdować się w oryginalnych opakowaniach producenta oznakowanych i zawierających informacje dotyczące: nazwy i adresu producenta, nazwy dystrybutora, nazwy towaru, jego klasy jakości, daty produkcji, terminu przydatności do spożycia, ilości sztuk i warunków przechowywania oraz innych informacji wymaganych odpowiednimi przepisami. Opakowania powinny być nieuszkodzone i wykonane z materiałów przeznaczonych do kontaktu z żywnością. Wykonawca przedłoży Zamawiającemu na żądanie aktualne atesty wydane przez uprawnione instytucje dopuszczające artykuły żywnościowe do sprzedaży.</w:t>
      </w:r>
    </w:p>
    <w:p>
      <w:pPr>
        <w:pStyle w:val="Normal"/>
        <w:spacing w:lineRule="auto" w:line="240" w:before="0" w:after="0"/>
        <w:ind w:hanging="283" w:left="567" w:right="0"/>
        <w:rPr/>
      </w:pPr>
      <w:r>
        <w:rPr>
          <w:rFonts w:cs="Lato" w:ascii="Lato" w:hAnsi="Lato"/>
          <w:szCs w:val="21"/>
          <w:lang w:val="pl-PL"/>
        </w:rPr>
        <w:t xml:space="preserve">6. </w:t>
        <w:tab/>
        <w:t>Termin przydatności do spożycia artykułów spożywczych powinien być nie krótszy niż połowa okresu gwarancji producenta, za wyjątkiem mięsa wołowego i wieprzowego, wędlin, przetworów mlecznych – nie krótszy niż 7 dni, mięsa drobiowego oraz mleka świeżego – 5 dni; licząc od daty dostawy.</w:t>
      </w:r>
    </w:p>
    <w:p>
      <w:pPr>
        <w:pStyle w:val="Normal"/>
        <w:spacing w:lineRule="auto" w:line="240" w:before="0" w:after="0"/>
        <w:ind w:hanging="10" w:left="287" w:right="13"/>
        <w:rPr/>
      </w:pPr>
      <w:r>
        <w:rPr>
          <w:rFonts w:cs="Lato" w:ascii="Lato" w:hAnsi="Lato"/>
          <w:szCs w:val="21"/>
          <w:lang w:val="pl-PL"/>
        </w:rPr>
        <w:t>7.  Wraz z każdorazową dostawą towaru wykonawca musi dołączyć handlowy dokument identyfikacyjny.</w:t>
      </w:r>
    </w:p>
    <w:p>
      <w:pPr>
        <w:pStyle w:val="Normal"/>
        <w:spacing w:lineRule="auto" w:line="240" w:before="0" w:after="0"/>
        <w:ind w:hanging="283" w:left="567" w:right="0"/>
        <w:rPr/>
      </w:pPr>
      <w:r>
        <w:rPr>
          <w:rFonts w:cs="Lato" w:ascii="Lato" w:hAnsi="Lato"/>
          <w:szCs w:val="21"/>
          <w:lang w:val="pl-PL"/>
        </w:rPr>
        <w:t xml:space="preserve">8. Transport artykułów spożywczych wykonywany będzie środkami transportu spełniającymi wymagania sanitarne, dopuszczonymi do przewozu żywności.  </w:t>
      </w:r>
    </w:p>
    <w:p>
      <w:pPr>
        <w:pStyle w:val="Normal"/>
        <w:spacing w:lineRule="auto" w:line="240" w:before="0" w:after="0"/>
        <w:ind w:hanging="283" w:left="567" w:right="0"/>
        <w:rPr/>
      </w:pPr>
      <w:r>
        <w:rPr>
          <w:rFonts w:cs="Lato" w:ascii="Lato" w:hAnsi="Lato"/>
          <w:szCs w:val="21"/>
          <w:lang w:val="pl-PL"/>
        </w:rPr>
        <w:t>9. Dostawy realizowane będą etapami w miarę potrzeb Domu. Wykonawca otrzyma zapotrzebowanie telefoniczne lub mailowe na rodzaj i ilość artykułów niezbędnych dla Domu najpóźniej na dwa dni przed datą ich dostarczenia. Częstotliwość dostaw oraz przewidywane ilości dostaw poszczególnych artykułów w okresie trwania umowy wyszczególnione zostały w formularzach asortymentowo – cenowych (załączniki 1A-1H) załączonych do Specyfikacji Warunków Zamówienia.</w:t>
      </w:r>
    </w:p>
    <w:p>
      <w:pPr>
        <w:pStyle w:val="ListParagraph"/>
        <w:widowControl/>
        <w:numPr>
          <w:ilvl w:val="0"/>
          <w:numId w:val="0"/>
        </w:numPr>
        <w:suppressAutoHyphens w:val="true"/>
        <w:bidi w:val="0"/>
        <w:spacing w:lineRule="auto" w:line="240" w:before="0" w:after="113"/>
        <w:ind w:hanging="0" w:left="283" w:right="0"/>
        <w:contextualSpacing/>
        <w:jc w:val="both"/>
        <w:rPr>
          <w:szCs w:val="21"/>
        </w:rPr>
      </w:pPr>
      <w:r>
        <w:rPr>
          <w:rFonts w:cs="Lato" w:ascii="Lato" w:hAnsi="Lato"/>
          <w:szCs w:val="21"/>
          <w:lang w:val="pl-PL"/>
        </w:rPr>
        <w:t>10. Rozliczenia między Zamawiającym a Wykonawcą prowadzone będą w PLN.</w:t>
      </w:r>
    </w:p>
    <w:p>
      <w:pPr>
        <w:pStyle w:val="ListParagraph"/>
        <w:numPr>
          <w:ilvl w:val="0"/>
          <w:numId w:val="14"/>
        </w:numPr>
        <w:spacing w:lineRule="auto" w:line="240" w:before="0" w:after="113"/>
        <w:ind w:hanging="360" w:left="628" w:right="13"/>
        <w:contextualSpacing/>
        <w:rPr>
          <w:szCs w:val="21"/>
        </w:rPr>
      </w:pPr>
      <w:r>
        <w:rPr>
          <w:rFonts w:cs="Lato" w:ascii="Lato" w:hAnsi="Lato"/>
          <w:szCs w:val="21"/>
          <w:lang w:val="pl-PL"/>
        </w:rPr>
        <w:t>Zamawiający informuje, że ilości artykułów wykazane w załącznikach asortymentowo-cenowych są wielkościami orientacyjnymi ustalonymi na podstawie ubiegłego roku. Zamawiający zastrzega możliwość zmiany ilości poszczególnego asortymentu objętego zamówieniem. Zamawiający zastrzega sobie prawo zamawiania mniejszej ilości towaru niż jest określona w ofercie, zgodnie z zasadami wskazanymi w umowie. W takim wypadku Wykonawcy nie przysługują wobec Zamawiającego roszczenia odszkodowawcze z tytułu zmniejszenia zamówienia.</w:t>
      </w:r>
    </w:p>
    <w:p>
      <w:pPr>
        <w:pStyle w:val="ListParagraph"/>
        <w:numPr>
          <w:ilvl w:val="0"/>
          <w:numId w:val="14"/>
        </w:numPr>
        <w:spacing w:lineRule="auto" w:line="240" w:before="0" w:after="113"/>
        <w:ind w:hanging="360" w:left="628" w:right="13"/>
        <w:contextualSpacing/>
        <w:rPr>
          <w:szCs w:val="21"/>
        </w:rPr>
      </w:pPr>
      <w:r>
        <w:rPr>
          <w:rFonts w:cs="Lato" w:ascii="Lato" w:hAnsi="Lato"/>
          <w:szCs w:val="21"/>
          <w:lang w:val="pl-PL"/>
        </w:rPr>
        <w:t>Wykonawca dokonuje nieodpłatnego użyczenia pojemników przy każdorazowej dostawie towaru do siedziby Zamawiającego na okres do następnej dostawy.</w:t>
      </w:r>
    </w:p>
    <w:p>
      <w:pPr>
        <w:pStyle w:val="ListParagraph"/>
        <w:numPr>
          <w:ilvl w:val="0"/>
          <w:numId w:val="14"/>
        </w:numPr>
        <w:spacing w:lineRule="auto" w:line="240" w:before="0" w:after="113"/>
        <w:ind w:hanging="360" w:left="628" w:right="13"/>
        <w:contextualSpacing/>
        <w:rPr>
          <w:szCs w:val="21"/>
        </w:rPr>
      </w:pPr>
      <w:r>
        <w:rPr>
          <w:rFonts w:cs="Lato" w:ascii="Lato" w:hAnsi="Lato"/>
          <w:szCs w:val="21"/>
          <w:lang w:val="pl-PL"/>
        </w:rPr>
        <w:t xml:space="preserve">Do składania zamówień (telefon lub mail) oraz współdziałania przy wykonywaniu odbioru zamówionych artykułów w imieniu Zamawiającego upoważnione są osoby: </w:t>
      </w:r>
      <w:r>
        <w:rPr>
          <w:rFonts w:cs="Lato" w:ascii="Lato" w:hAnsi="Lato"/>
          <w:color w:val="auto"/>
          <w:szCs w:val="21"/>
          <w:lang w:val="pl-PL"/>
        </w:rPr>
        <w:t>kierownik działu żywienia oraz magazynierka.</w:t>
      </w:r>
    </w:p>
    <w:p>
      <w:pPr>
        <w:pStyle w:val="ListParagraph"/>
        <w:numPr>
          <w:ilvl w:val="0"/>
          <w:numId w:val="14"/>
        </w:numPr>
        <w:spacing w:lineRule="auto" w:line="240" w:before="0" w:after="113"/>
        <w:ind w:hanging="360" w:left="628" w:right="13"/>
        <w:contextualSpacing/>
        <w:rPr>
          <w:szCs w:val="21"/>
        </w:rPr>
      </w:pPr>
      <w:r>
        <w:rPr>
          <w:rFonts w:cs="Lato" w:ascii="Lato" w:hAnsi="Lato"/>
          <w:szCs w:val="21"/>
          <w:lang w:val="pl-PL"/>
        </w:rPr>
        <w:t>Wykonawca ma obowiązek uznania reklamacji jakości i ilości dostarczonego towaru i dokonania dostawy odpowiedniego towaru do siedziby Zamawiającego w dniu następnym po złożeniu reklamacji, chyba, że Zamawiający wskaże inny termin dostawy.</w:t>
      </w:r>
    </w:p>
    <w:p>
      <w:pPr>
        <w:pStyle w:val="ListParagraph"/>
        <w:numPr>
          <w:ilvl w:val="0"/>
          <w:numId w:val="14"/>
        </w:numPr>
        <w:spacing w:lineRule="auto" w:line="240" w:before="0" w:after="113"/>
        <w:ind w:hanging="360" w:left="628" w:right="13"/>
        <w:contextualSpacing/>
        <w:rPr>
          <w:szCs w:val="21"/>
        </w:rPr>
      </w:pPr>
      <w:r>
        <w:rPr>
          <w:rFonts w:cs="Lato" w:ascii="Lato" w:hAnsi="Lato"/>
          <w:color w:val="auto"/>
          <w:szCs w:val="21"/>
          <w:lang w:val="pl-PL"/>
        </w:rPr>
        <w:t>Uchybienia w zakresie jakości towaru, naruszenie w sposób rażący warunków umowy, bądź Specyfikacji przedmiotu zamówienia będą podstawą do rozwiązania umowy ze skutkiem natychmiastowym.</w:t>
      </w:r>
    </w:p>
    <w:p>
      <w:pPr>
        <w:pStyle w:val="Normal"/>
        <w:spacing w:lineRule="auto" w:line="240" w:before="0" w:after="113"/>
        <w:ind w:hanging="10" w:left="-430" w:right="0"/>
        <w:jc w:val="left"/>
        <w:rPr>
          <w:szCs w:val="21"/>
        </w:rPr>
      </w:pPr>
      <w:r>
        <w:rPr>
          <w:rFonts w:eastAsia="Lato" w:cs="Lato" w:ascii="Lato" w:hAnsi="Lato"/>
          <w:b/>
          <w:szCs w:val="21"/>
          <w:lang w:val="pl-PL"/>
        </w:rPr>
        <w:tab/>
        <w:tab/>
      </w:r>
      <w:r>
        <w:rPr>
          <w:rFonts w:cs="Lato" w:ascii="Lato" w:hAnsi="Lato"/>
          <w:b/>
          <w:szCs w:val="21"/>
          <w:lang w:val="pl-PL"/>
        </w:rPr>
        <w:t xml:space="preserve">Opis zamówienia                     </w:t>
      </w:r>
      <w:r>
        <w:rPr>
          <w:rFonts w:cs="Lato" w:ascii="Lato" w:hAnsi="Lato"/>
          <w:szCs w:val="21"/>
          <w:lang w:val="pl-PL"/>
        </w:rPr>
        <w:t xml:space="preserve">         </w:t>
      </w:r>
      <w:r>
        <w:rPr>
          <w:rFonts w:eastAsia="Times New Roman" w:cs="Lato" w:ascii="Lato" w:hAnsi="Lato"/>
          <w:szCs w:val="21"/>
          <w:lang w:val="pl-PL"/>
        </w:rPr>
        <w:t xml:space="preserve">                                  </w:t>
      </w:r>
    </w:p>
    <w:p>
      <w:pPr>
        <w:pStyle w:val="ListParagraph"/>
        <w:numPr>
          <w:ilvl w:val="1"/>
          <w:numId w:val="14"/>
        </w:numPr>
        <w:spacing w:lineRule="auto" w:line="240" w:before="0" w:after="113"/>
        <w:ind w:hanging="283" w:left="709" w:right="13"/>
        <w:contextualSpacing/>
        <w:rPr>
          <w:szCs w:val="21"/>
        </w:rPr>
      </w:pPr>
      <w:r>
        <w:rPr>
          <w:rFonts w:cs="Lato" w:ascii="Lato" w:hAnsi="Lato"/>
          <w:szCs w:val="21"/>
          <w:lang w:val="pl-PL"/>
        </w:rPr>
        <w:t>Zamówienie obejmuje produkty z grupy oznaczonej CPV:</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I     część  -  15810000 - 9 PIECZYWO</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II    część  -  15500000 – 3 MLEKO, PRODUKTY MLECZARSKIE</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III   część  -  15100000 – 9 MIĘSO, WĘDLINY, DRÓB</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IV   część  -  15221000 – 3; 15300000 – 1; 15896000-5 MROŻONKI</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 xml:space="preserve">V    część   - 15331000 – 7; 03200000 – 3 WARZYWA I OWOCE  ŚWIEŻE, </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 xml:space="preserve">VI   część  -  03222100 – 4 OWOCE TROPIKALNE I CYTRUSOWE </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 xml:space="preserve">VII część – 15800000 – 6 RÓŻNE PRODUKTY SPOŻYWCZE </w:t>
      </w:r>
      <w:r>
        <w:rPr>
          <w:rFonts w:cs="Lato" w:ascii="Lato" w:hAnsi="Lato"/>
          <w:szCs w:val="21"/>
          <w:lang w:val="pl-PL"/>
        </w:rPr>
        <w:t>(produkty przemiału ziarna, makarony, tłuszcze pochodzenia roślinnego i zwierzęcego, ryby przetworzone i konserwowane, napoje, warzywa przetworzone, przyprawy).</w:t>
      </w:r>
    </w:p>
    <w:p>
      <w:pPr>
        <w:pStyle w:val="ListParagraph"/>
        <w:numPr>
          <w:ilvl w:val="0"/>
          <w:numId w:val="15"/>
        </w:numPr>
        <w:spacing w:lineRule="auto" w:line="264" w:before="0" w:after="3"/>
        <w:ind w:hanging="360" w:left="988" w:right="0"/>
        <w:contextualSpacing/>
        <w:rPr>
          <w:szCs w:val="21"/>
        </w:rPr>
      </w:pPr>
      <w:r>
        <w:rPr>
          <w:rFonts w:cs="Lato" w:ascii="Lato" w:hAnsi="Lato"/>
          <w:b/>
          <w:szCs w:val="21"/>
          <w:lang w:val="pl-PL"/>
        </w:rPr>
        <w:t>VIII część   -  03142500 – 3 JAJA ŚWIEŻE KONSUMPCYJNE</w:t>
      </w:r>
    </w:p>
    <w:p>
      <w:pPr>
        <w:pStyle w:val="Normal"/>
        <w:numPr>
          <w:ilvl w:val="1"/>
          <w:numId w:val="14"/>
        </w:numPr>
        <w:spacing w:lineRule="auto" w:line="240" w:before="0" w:after="113"/>
        <w:ind w:hanging="246" w:left="709" w:right="13"/>
        <w:rPr>
          <w:szCs w:val="21"/>
        </w:rPr>
      </w:pPr>
      <w:r>
        <w:rPr>
          <w:rFonts w:cs="Lato" w:ascii="Lato" w:hAnsi="Lato"/>
          <w:szCs w:val="21"/>
          <w:lang w:val="pl-PL"/>
        </w:rPr>
        <w:t>Ceny jednostkowe netto artykułów podane w ofercie nie ulegną zmianie przez okres trwania umowy.</w:t>
      </w:r>
    </w:p>
    <w:p>
      <w:pPr>
        <w:pStyle w:val="Normal"/>
        <w:numPr>
          <w:ilvl w:val="1"/>
          <w:numId w:val="14"/>
        </w:numPr>
        <w:spacing w:lineRule="auto" w:line="240" w:before="0" w:after="11"/>
        <w:ind w:hanging="246" w:left="709" w:right="13"/>
        <w:rPr>
          <w:szCs w:val="21"/>
        </w:rPr>
      </w:pPr>
      <w:r>
        <w:rPr>
          <w:rFonts w:cs="Lato" w:ascii="Lato" w:hAnsi="Lato"/>
          <w:b/>
          <w:szCs w:val="21"/>
          <w:lang w:val="pl-PL"/>
        </w:rPr>
        <w:t xml:space="preserve">Każdy z Wykonawców może złożyć ofertę na całość zamówienia, lub na dowolnie wybraną część/części, przy czym dla każdej z części zamówienia Wykonawca może złożyć tylko jedną ofertę. Złożenie większej ilości ofert na daną część zamówienia przez jednego Wykonawcę spowoduje odrzucenie wszystkich jego ofert w zakresie tej części. Za ważną ofertę częściową uważa się ofertę złożoną na pełny asortyment dla danej części zamówienia. </w:t>
      </w:r>
    </w:p>
    <w:p>
      <w:pPr>
        <w:pStyle w:val="Normal"/>
        <w:numPr>
          <w:ilvl w:val="1"/>
          <w:numId w:val="14"/>
        </w:numPr>
        <w:spacing w:lineRule="auto" w:line="240" w:before="0" w:after="11"/>
        <w:ind w:hanging="246" w:left="709" w:right="13"/>
        <w:rPr>
          <w:lang w:val="pl-PL" w:bidi="ar-SA"/>
        </w:rPr>
      </w:pPr>
      <w:r>
        <w:rPr>
          <w:szCs w:val="21"/>
          <w:lang w:val="pl-PL" w:bidi="ar-SA"/>
        </w:rPr>
        <w:t>Zamawiający nie żąda odbycia przez Wykonawców wizji lokalnej lub sprawdzenia dokumentów niezbędnych do realizacji zamówienia dostępnych na miejscu u Zamawiającego.</w:t>
      </w:r>
    </w:p>
    <w:p>
      <w:pPr>
        <w:pStyle w:val="Normal"/>
        <w:spacing w:lineRule="auto" w:line="240" w:before="0" w:after="113"/>
        <w:ind w:hanging="0" w:left="8" w:right="0"/>
        <w:jc w:val="center"/>
        <w:rPr>
          <w:szCs w:val="21"/>
        </w:rPr>
      </w:pPr>
      <w:r>
        <w:rPr>
          <w:rFonts w:cs="Lato" w:ascii="Lato" w:hAnsi="Lato"/>
          <w:b/>
          <w:szCs w:val="21"/>
          <w:lang w:val="pl-PL"/>
        </w:rPr>
        <w:t xml:space="preserve">ROZDZIAŁ IV  </w:t>
      </w:r>
    </w:p>
    <w:p>
      <w:pPr>
        <w:pStyle w:val="Normal"/>
        <w:spacing w:lineRule="auto" w:line="240" w:before="0" w:after="113"/>
        <w:ind w:hanging="10" w:left="18" w:right="0"/>
        <w:jc w:val="left"/>
        <w:rPr>
          <w:szCs w:val="21"/>
        </w:rPr>
      </w:pPr>
      <w:r>
        <w:rPr>
          <w:rFonts w:eastAsia="Lato" w:cs="Lato" w:ascii="Lato" w:hAnsi="Lato"/>
          <w:b/>
          <w:szCs w:val="21"/>
          <w:lang w:val="pl-PL"/>
        </w:rPr>
        <w:t xml:space="preserve">        </w:t>
      </w:r>
      <w:r>
        <w:rPr>
          <w:rFonts w:cs="Lato" w:ascii="Lato" w:hAnsi="Lato"/>
          <w:b/>
          <w:szCs w:val="21"/>
          <w:lang w:val="pl-PL"/>
        </w:rPr>
        <w:t>Termin wykonania zamówienia :</w:t>
      </w:r>
    </w:p>
    <w:p>
      <w:pPr>
        <w:pStyle w:val="Normal"/>
        <w:spacing w:lineRule="auto" w:line="240" w:before="0" w:after="113"/>
        <w:ind w:hanging="10" w:left="263" w:right="0"/>
        <w:rPr>
          <w:szCs w:val="21"/>
        </w:rPr>
      </w:pPr>
      <w:r>
        <w:rPr>
          <w:rFonts w:eastAsia="Lato" w:cs="Lato" w:ascii="Lato" w:hAnsi="Lato"/>
          <w:szCs w:val="21"/>
          <w:lang w:val="pl-PL"/>
        </w:rPr>
        <w:t xml:space="preserve">    </w:t>
      </w:r>
      <w:r>
        <w:rPr>
          <w:rFonts w:cs="Lato" w:ascii="Lato" w:hAnsi="Lato"/>
          <w:szCs w:val="21"/>
          <w:lang w:val="pl-PL"/>
        </w:rPr>
        <w:t>Od dnia  01 października 2026 r. do 31 grudnia 2026 r.</w:t>
      </w:r>
    </w:p>
    <w:p>
      <w:pPr>
        <w:pStyle w:val="Normal"/>
        <w:spacing w:lineRule="auto" w:line="240" w:before="0" w:after="113"/>
        <w:ind w:hanging="283" w:left="283" w:right="0"/>
        <w:jc w:val="center"/>
        <w:rPr>
          <w:szCs w:val="21"/>
        </w:rPr>
      </w:pPr>
      <w:r>
        <w:rPr>
          <w:rFonts w:cs="Lato" w:ascii="Lato" w:hAnsi="Lato"/>
          <w:b/>
          <w:szCs w:val="21"/>
          <w:lang w:val="pl-PL"/>
        </w:rPr>
        <w:t xml:space="preserve">ROZDZIAŁ V </w:t>
      </w:r>
    </w:p>
    <w:p>
      <w:pPr>
        <w:pStyle w:val="Normal"/>
        <w:spacing w:lineRule="auto" w:line="240" w:before="0" w:after="113"/>
        <w:ind w:hanging="0" w:left="278" w:right="0"/>
        <w:rPr>
          <w:szCs w:val="21"/>
        </w:rPr>
      </w:pPr>
      <w:r>
        <w:rPr>
          <w:rFonts w:cs="Lato" w:ascii="Lato" w:hAnsi="Lato"/>
          <w:b/>
          <w:color w:val="auto"/>
          <w:szCs w:val="21"/>
          <w:lang w:val="pl-PL"/>
        </w:rPr>
        <w:t xml:space="preserve">Warunki udziału w postępowaniu oraz opis sposobu dokonywania oceny spełnienia  tych warunków:  </w:t>
      </w:r>
    </w:p>
    <w:p>
      <w:pPr>
        <w:pStyle w:val="Normal"/>
        <w:spacing w:lineRule="auto" w:line="240" w:before="0" w:after="113"/>
        <w:ind w:hanging="0" w:left="278" w:right="13"/>
        <w:rPr>
          <w:szCs w:val="21"/>
        </w:rPr>
      </w:pPr>
      <w:r>
        <w:rPr>
          <w:rFonts w:cs="Lato" w:ascii="Lato" w:hAnsi="Lato"/>
          <w:color w:val="auto"/>
          <w:szCs w:val="21"/>
          <w:lang w:val="pl-PL"/>
        </w:rPr>
        <w:t>O udzielenie zamówienia publicznego mogą ubiegać się Wykonawcy którzy:</w:t>
      </w:r>
    </w:p>
    <w:p>
      <w:pPr>
        <w:pStyle w:val="Normal"/>
        <w:numPr>
          <w:ilvl w:val="0"/>
          <w:numId w:val="2"/>
        </w:numPr>
        <w:spacing w:lineRule="auto" w:line="240" w:before="0" w:after="113"/>
        <w:ind w:hanging="283" w:left="283" w:right="0"/>
        <w:rPr>
          <w:szCs w:val="21"/>
        </w:rPr>
      </w:pPr>
      <w:r>
        <w:rPr>
          <w:rFonts w:cs="Lato" w:ascii="Lato" w:hAnsi="Lato"/>
          <w:b/>
          <w:color w:val="auto"/>
          <w:szCs w:val="21"/>
          <w:lang w:val="pl-PL"/>
        </w:rPr>
        <w:t>Spełniają warunki udziału w postępowaniu określone przepisami art. 112 ust. 2, ustawy PZP oraz w niniejszej Specyfikacji a mianowicie:</w:t>
      </w:r>
      <w:r>
        <w:rPr>
          <w:rFonts w:cs="Lato" w:ascii="Lato" w:hAnsi="Lato"/>
          <w:color w:val="auto"/>
          <w:szCs w:val="21"/>
          <w:lang w:val="pl-PL"/>
        </w:rPr>
        <w:t xml:space="preserve">                </w:t>
      </w:r>
    </w:p>
    <w:p>
      <w:pPr>
        <w:pStyle w:val="Normal"/>
        <w:spacing w:lineRule="auto" w:line="240" w:before="0" w:after="113"/>
        <w:ind w:hanging="0" w:left="284" w:right="0"/>
        <w:rPr>
          <w:color w:val="auto"/>
        </w:rPr>
      </w:pPr>
      <w:r>
        <w:rPr>
          <w:rFonts w:cs="Lato" w:ascii="Lato" w:hAnsi="Lato"/>
          <w:color w:val="auto"/>
          <w:szCs w:val="21"/>
          <w:lang w:val="pl-PL"/>
        </w:rPr>
        <w:t>1.1  posiadają zdolność techniczną lub zawodową zapewniającą wykonanie zamówienia.</w:t>
      </w:r>
    </w:p>
    <w:p>
      <w:pPr>
        <w:pStyle w:val="Normal"/>
        <w:spacing w:lineRule="auto" w:line="240" w:before="0" w:after="113"/>
        <w:ind w:hanging="0" w:left="284" w:right="0"/>
        <w:rPr>
          <w:color w:val="auto"/>
        </w:rPr>
      </w:pPr>
      <w:r>
        <w:rPr>
          <w:rFonts w:ascii="Lato" w:hAnsi="Lato"/>
          <w:color w:val="auto"/>
          <w:lang w:val="pl-PL" w:bidi="ar-SA"/>
        </w:rPr>
        <w:t>Warunek zostanie uznany za spełniony, jeśli Wykonawca wykaże, że:</w:t>
      </w:r>
    </w:p>
    <w:p>
      <w:pPr>
        <w:pStyle w:val="ListParagraph"/>
        <w:numPr>
          <w:ilvl w:val="0"/>
          <w:numId w:val="16"/>
        </w:numPr>
        <w:spacing w:lineRule="auto" w:line="240" w:before="0" w:after="113"/>
        <w:ind w:hanging="113" w:left="397" w:right="0"/>
        <w:contextualSpacing/>
        <w:rPr>
          <w:rFonts w:ascii="Lato" w:hAnsi="Lato"/>
          <w:color w:val="auto"/>
          <w:lang w:val="pl-PL" w:bidi="ar-SA"/>
        </w:rPr>
      </w:pPr>
      <w:r>
        <w:rPr>
          <w:rFonts w:ascii="Lato" w:hAnsi="Lato"/>
          <w:color w:val="auto"/>
          <w:lang w:val="pl-PL" w:bidi="ar-SA"/>
        </w:rPr>
        <w:t xml:space="preserve">dysponuje samochodem dostosowanym do przewozu żywności, spełniającym wszystkie wymagania określone stosownymi przepisami. </w:t>
      </w:r>
    </w:p>
    <w:p>
      <w:pPr>
        <w:pStyle w:val="Normal"/>
        <w:spacing w:lineRule="auto" w:line="240" w:before="0" w:after="113"/>
        <w:ind w:hanging="113" w:left="397" w:right="0"/>
        <w:rPr>
          <w:rFonts w:ascii="Lato" w:hAnsi="Lato"/>
          <w:color w:val="auto"/>
          <w:lang w:val="pl-PL" w:bidi="ar-SA"/>
        </w:rPr>
      </w:pPr>
      <w:r>
        <w:rPr>
          <w:rFonts w:ascii="Lato" w:hAnsi="Lato"/>
          <w:color w:val="auto"/>
          <w:lang w:val="pl-PL" w:bidi="ar-SA"/>
        </w:rPr>
        <w:t xml:space="preserve">Spełnienie warunku opisanego powyżej będzie oceniane na podstawie Oświadczenia Wykonawcy o spełnianiu warunków udziału w postępowaniu. </w:t>
      </w:r>
    </w:p>
    <w:p>
      <w:pPr>
        <w:pStyle w:val="Normal"/>
        <w:spacing w:lineRule="auto" w:line="240" w:before="0" w:after="113"/>
        <w:ind w:hanging="0" w:left="277" w:right="13"/>
        <w:rPr>
          <w:szCs w:val="21"/>
        </w:rPr>
      </w:pPr>
      <w:r>
        <w:rPr>
          <w:rFonts w:cs="Lato" w:ascii="Lato" w:hAnsi="Lato"/>
          <w:szCs w:val="21"/>
          <w:lang w:val="pl-PL"/>
        </w:rPr>
        <w:t>Jeżeli Wykonawca wykazujący spełnienie warunków, o których mowa w art. 112 ust. 2 Ustawy polega na zasobach innych podmiotów, a podmioty te będą brały udział w realizacji części zamówienia, Zamawiający, w celu oceny, czy Wykonawca będzie dysponował zasobami innych podmiotów w stopniu niezbędnym do należytego wykonania zamówienia oraz oceny, czy stosunek łączący Wykonawcę z innymi podmiotami gwarantuje rzeczywisty dostęp do ich zasobów, żąda dokumentu z którego będzie wynikać zobowiązanie podmiotu trzeciego wyrażającego w sposób wyraźny i jednoznaczny wolę udzielenia Wykonawcy, ubiegającemu się o zamówienie odpowiedniego zasobu oraz, który będzie wskazywać:</w:t>
      </w:r>
    </w:p>
    <w:p>
      <w:pPr>
        <w:pStyle w:val="Normal"/>
        <w:numPr>
          <w:ilvl w:val="6"/>
          <w:numId w:val="10"/>
        </w:numPr>
        <w:spacing w:lineRule="auto" w:line="240" w:before="0" w:after="113"/>
        <w:ind w:hanging="227" w:left="1020" w:right="0"/>
        <w:rPr>
          <w:szCs w:val="21"/>
        </w:rPr>
      </w:pPr>
      <w:r>
        <w:rPr>
          <w:rFonts w:cs="Lato" w:ascii="Lato" w:hAnsi="Lato"/>
          <w:szCs w:val="21"/>
          <w:lang w:val="pl-PL"/>
        </w:rPr>
        <w:t>jaki jest zakres dostępnych Wykonawcy zasobów innego podmiotu,</w:t>
      </w:r>
    </w:p>
    <w:p>
      <w:pPr>
        <w:pStyle w:val="Normal"/>
        <w:numPr>
          <w:ilvl w:val="6"/>
          <w:numId w:val="10"/>
        </w:numPr>
        <w:spacing w:lineRule="auto" w:line="240" w:before="0" w:after="113"/>
        <w:ind w:hanging="227" w:left="1020" w:right="0"/>
        <w:rPr>
          <w:szCs w:val="21"/>
        </w:rPr>
      </w:pPr>
      <w:r>
        <w:rPr>
          <w:rFonts w:cs="Lato" w:ascii="Lato" w:hAnsi="Lato"/>
          <w:szCs w:val="21"/>
          <w:lang w:val="pl-PL"/>
        </w:rPr>
        <w:t>w jaki sposób zostaną wykorzystane zasoby innego podmiotu przez Wykonawcę przy wykonywaniu  zamówienia,</w:t>
      </w:r>
    </w:p>
    <w:p>
      <w:pPr>
        <w:pStyle w:val="Normal"/>
        <w:numPr>
          <w:ilvl w:val="6"/>
          <w:numId w:val="10"/>
        </w:numPr>
        <w:spacing w:lineRule="auto" w:line="240" w:before="0" w:after="113"/>
        <w:ind w:hanging="227" w:left="1020" w:right="0"/>
        <w:rPr>
          <w:szCs w:val="21"/>
        </w:rPr>
      </w:pPr>
      <w:r>
        <w:rPr>
          <w:rFonts w:cs="Lato" w:ascii="Lato" w:hAnsi="Lato"/>
          <w:szCs w:val="21"/>
          <w:lang w:val="pl-PL"/>
        </w:rPr>
        <w:t>jakiego charakteru stosunki będą łączyły Wykonawcę z innym podmiotem,</w:t>
      </w:r>
    </w:p>
    <w:p>
      <w:pPr>
        <w:pStyle w:val="Normal"/>
        <w:numPr>
          <w:ilvl w:val="6"/>
          <w:numId w:val="10"/>
        </w:numPr>
        <w:spacing w:lineRule="auto" w:line="240" w:before="0" w:after="113"/>
        <w:ind w:hanging="227" w:left="1020" w:right="0"/>
        <w:rPr>
          <w:szCs w:val="21"/>
        </w:rPr>
      </w:pPr>
      <w:r>
        <w:rPr>
          <w:rFonts w:cs="Lato" w:ascii="Lato" w:hAnsi="Lato"/>
          <w:color w:val="auto"/>
          <w:szCs w:val="21"/>
          <w:lang w:val="pl-PL"/>
        </w:rPr>
        <w:t>jaki jest zakres i w jakim okresie inny podmiot będzie brał udział przy wykonywaniu zamówienia.</w:t>
      </w:r>
    </w:p>
    <w:p>
      <w:pPr>
        <w:pStyle w:val="Normal"/>
        <w:spacing w:lineRule="auto" w:line="240" w:before="0" w:after="113"/>
        <w:ind w:hanging="0" w:left="0" w:right="13"/>
        <w:rPr>
          <w:szCs w:val="21"/>
        </w:rPr>
      </w:pPr>
      <w:r>
        <w:rPr>
          <w:rFonts w:cs="Lato" w:ascii="Lato" w:hAnsi="Lato"/>
          <w:b/>
          <w:color w:val="auto"/>
          <w:szCs w:val="21"/>
          <w:u w:val="none" w:color="000000"/>
          <w:lang w:val="pl-PL"/>
        </w:rPr>
        <w:t>Zamawiający dokona oceny spełnienia w/w warunków na podstawie oświadczenia o spełnieniu warunków  udziału w postępowaniu – stanowiącego załącznik nr 2 do SWZ.</w:t>
      </w:r>
    </w:p>
    <w:p>
      <w:pPr>
        <w:pStyle w:val="Normal"/>
        <w:numPr>
          <w:ilvl w:val="0"/>
          <w:numId w:val="2"/>
        </w:numPr>
        <w:spacing w:lineRule="auto" w:line="240" w:before="0" w:after="113"/>
        <w:ind w:hanging="283" w:left="283" w:right="0"/>
        <w:rPr>
          <w:szCs w:val="21"/>
        </w:rPr>
      </w:pPr>
      <w:r>
        <w:rPr>
          <w:rFonts w:cs="Lato" w:ascii="Lato" w:hAnsi="Lato"/>
          <w:b/>
          <w:color w:val="auto"/>
          <w:szCs w:val="21"/>
          <w:lang w:val="pl-PL"/>
        </w:rPr>
        <w:t xml:space="preserve">Nie podlegają wykluczeniu </w:t>
      </w:r>
      <w:r>
        <w:rPr>
          <w:rFonts w:cs="Lato" w:ascii="Lato" w:hAnsi="Lato"/>
          <w:color w:val="auto"/>
          <w:szCs w:val="21"/>
          <w:lang w:val="pl-PL"/>
        </w:rPr>
        <w:t>- O udzielenie zamówienia mogą ubiegać się Wykonawcy, którzy nie podlegają wykluczeniu na podstawie art. 108 oraz art. 109 ust.1 pkt 4  i pkt. 7 ustawy, a mianowicie:</w:t>
      </w:r>
    </w:p>
    <w:p>
      <w:pPr>
        <w:pStyle w:val="Default"/>
        <w:widowControl w:val="false"/>
        <w:suppressAutoHyphens w:val="true"/>
        <w:bidi w:val="0"/>
        <w:spacing w:before="0" w:after="0"/>
        <w:ind w:hanging="0" w:left="0" w:right="907"/>
        <w:jc w:val="both"/>
        <w:rPr/>
      </w:pPr>
      <w:r>
        <w:rPr>
          <w:rFonts w:cs="Lato" w:ascii="Lato" w:hAnsi="Lato"/>
          <w:color w:val="auto"/>
          <w:sz w:val="21"/>
          <w:szCs w:val="21"/>
          <w:lang w:bidi="ar-SA"/>
        </w:rPr>
        <w:t xml:space="preserve">2.1 będącego osobą fizyczną, którego prawomocnie skazano za przestępstwo: </w:t>
      </w:r>
    </w:p>
    <w:p>
      <w:pPr>
        <w:pStyle w:val="Default"/>
        <w:widowControl w:val="false"/>
        <w:suppressAutoHyphens w:val="true"/>
        <w:bidi w:val="0"/>
        <w:spacing w:before="0" w:after="0"/>
        <w:ind w:hanging="0" w:left="0" w:right="907"/>
        <w:jc w:val="both"/>
        <w:rPr/>
      </w:pPr>
      <w:r>
        <w:rPr>
          <w:rFonts w:cs="Lato" w:ascii="Lato" w:hAnsi="Lato"/>
          <w:color w:val="auto"/>
          <w:sz w:val="21"/>
          <w:szCs w:val="21"/>
        </w:rPr>
        <w:t xml:space="preserve">2.1.1 udziału w zorganizowanej grupie przestępczej albo związku mającym na celu popełnienie przestępstwa lub przestępstwa skarbowego, o którym mowa w art. 258 Kodeksu karnego, </w:t>
      </w:r>
    </w:p>
    <w:p>
      <w:pPr>
        <w:pStyle w:val="Default"/>
        <w:widowControl w:val="false"/>
        <w:suppressAutoHyphens w:val="true"/>
        <w:bidi w:val="0"/>
        <w:spacing w:before="0" w:after="0"/>
        <w:ind w:hanging="0" w:left="0" w:right="907"/>
        <w:jc w:val="both"/>
        <w:rPr/>
      </w:pPr>
      <w:r>
        <w:rPr>
          <w:rFonts w:cs="Lato" w:ascii="Lato" w:hAnsi="Lato"/>
          <w:color w:val="auto"/>
          <w:sz w:val="21"/>
          <w:szCs w:val="21"/>
        </w:rPr>
        <w:t xml:space="preserve">2.1.2 handlu ludźmi, o którym mowa w art. 189a  Kodeksu karnego, </w:t>
      </w:r>
    </w:p>
    <w:p>
      <w:pPr>
        <w:pStyle w:val="Normal"/>
        <w:widowControl/>
        <w:suppressAutoHyphens w:val="true"/>
        <w:bidi w:val="0"/>
        <w:spacing w:lineRule="auto" w:line="240" w:before="0" w:after="0"/>
        <w:ind w:hanging="0" w:left="0" w:right="0"/>
        <w:jc w:val="both"/>
        <w:rPr/>
      </w:pPr>
      <w:r>
        <w:rPr>
          <w:rFonts w:cs="Lato" w:ascii="Lato" w:hAnsi="Lato"/>
          <w:color w:val="auto"/>
          <w:szCs w:val="21"/>
          <w:lang w:val="pl-PL"/>
        </w:rPr>
        <w:t>2.1.3 o którym mowa w art. 228–230a, art. 250a Kodeksu karnego lub w art. 46 lub art. 48 ustawy z dnia 25 czerwca 2010 r. o sporcie,</w:t>
      </w:r>
    </w:p>
    <w:p>
      <w:pPr>
        <w:pStyle w:val="Normal"/>
        <w:widowControl/>
        <w:tabs>
          <w:tab w:val="clear" w:pos="720"/>
          <w:tab w:val="left" w:pos="450" w:leader="none"/>
        </w:tabs>
        <w:suppressAutoHyphens w:val="true"/>
        <w:bidi w:val="0"/>
        <w:spacing w:lineRule="auto" w:line="240" w:before="0" w:after="0"/>
        <w:ind w:hanging="0" w:left="0" w:right="0"/>
        <w:jc w:val="both"/>
        <w:rPr/>
      </w:pPr>
      <w:r>
        <w:rPr>
          <w:rFonts w:cs="Lato" w:ascii="Lato" w:hAnsi="Lato"/>
          <w:color w:val="auto"/>
          <w:szCs w:val="21"/>
          <w:lang w:val="pl-PL"/>
        </w:rPr>
        <w:t xml:space="preserve">2.1.4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pPr>
        <w:pStyle w:val="Default"/>
        <w:widowControl w:val="false"/>
        <w:suppressAutoHyphens w:val="true"/>
        <w:bidi w:val="0"/>
        <w:spacing w:before="0" w:after="0"/>
        <w:ind w:hanging="0" w:left="0" w:right="0"/>
        <w:jc w:val="both"/>
        <w:rPr/>
      </w:pPr>
      <w:r>
        <w:rPr>
          <w:rFonts w:cs="Lato" w:ascii="Lato" w:hAnsi="Lato"/>
          <w:color w:val="auto"/>
          <w:sz w:val="21"/>
          <w:szCs w:val="21"/>
        </w:rPr>
        <w:t xml:space="preserve">2.1.5 charakterze terrorystycznym, o którym mowa w art. 115 § 20 Kodeksu karnego, lub mające na celu popełnienie tego przestępstwa, </w:t>
      </w:r>
    </w:p>
    <w:p>
      <w:pPr>
        <w:pStyle w:val="Default"/>
        <w:widowControl w:val="false"/>
        <w:suppressAutoHyphens w:val="true"/>
        <w:bidi w:val="0"/>
        <w:spacing w:before="0" w:after="0"/>
        <w:ind w:hanging="0" w:left="0" w:right="0"/>
        <w:jc w:val="both"/>
        <w:rPr/>
      </w:pPr>
      <w:r>
        <w:rPr>
          <w:rFonts w:cs="Lato" w:ascii="Lato" w:hAnsi="Lato"/>
          <w:color w:val="auto"/>
          <w:sz w:val="21"/>
          <w:szCs w:val="21"/>
        </w:rPr>
        <w:t xml:space="preserve">2.1.6 pracy małoletnich cudzoziemców, o którym mowa w art. 9 ust. 2 ustawy z dnia 15 czerwca 2012 r. o skutkach powierzania wykonywania pracy cudzoziemcom przebywającym wbrew przepisom na terytorium Rzeczypospolitej Polskiej (Dz. U. poz. 769), </w:t>
      </w:r>
    </w:p>
    <w:p>
      <w:pPr>
        <w:pStyle w:val="Default"/>
        <w:widowControl w:val="false"/>
        <w:suppressAutoHyphens w:val="true"/>
        <w:bidi w:val="0"/>
        <w:spacing w:before="0" w:after="0"/>
        <w:ind w:hanging="0" w:left="0" w:right="0"/>
        <w:jc w:val="both"/>
        <w:rPr/>
      </w:pPr>
      <w:r>
        <w:rPr>
          <w:rFonts w:cs="Lato" w:ascii="Lato" w:hAnsi="Lato"/>
          <w:color w:val="auto"/>
          <w:sz w:val="21"/>
          <w:szCs w:val="21"/>
        </w:rPr>
        <w:t xml:space="preserve">2.1.7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pPr>
        <w:pStyle w:val="Default"/>
        <w:widowControl w:val="false"/>
        <w:suppressAutoHyphens w:val="true"/>
        <w:bidi w:val="0"/>
        <w:spacing w:before="0" w:after="0"/>
        <w:ind w:hanging="0" w:left="0" w:right="0"/>
        <w:jc w:val="both"/>
        <w:rPr/>
      </w:pPr>
      <w:r>
        <w:rPr>
          <w:rFonts w:cs="Lato" w:ascii="Lato" w:hAnsi="Lato"/>
          <w:color w:val="auto"/>
          <w:sz w:val="21"/>
          <w:szCs w:val="21"/>
        </w:rPr>
        <w:t xml:space="preserve">2.1.8 o którym mowa w art. 9 ust. 1 i 3 lub art. 10 ustawy z dnia 15 czerwca 2012 r. o skutkach powierzania wykonywania pracy cudzoziemcom przebywającym wbrew przepisom na terytorium Rzeczypospolitej Polskiej lub za odpowiedni czyn zabroniony określony w przepisach prawa obcego; </w:t>
      </w:r>
    </w:p>
    <w:p>
      <w:pPr>
        <w:pStyle w:val="Default"/>
        <w:widowControl w:val="false"/>
        <w:suppressAutoHyphens w:val="true"/>
        <w:bidi w:val="0"/>
        <w:spacing w:before="0" w:after="113"/>
        <w:ind w:hanging="0" w:left="0" w:right="0"/>
        <w:jc w:val="both"/>
        <w:rPr>
          <w:sz w:val="21"/>
          <w:szCs w:val="21"/>
        </w:rPr>
      </w:pPr>
      <w:r>
        <w:rPr>
          <w:rFonts w:cs="Lato" w:ascii="Lato" w:hAnsi="Lato"/>
          <w:color w:val="auto"/>
          <w:sz w:val="21"/>
          <w:szCs w:val="21"/>
        </w:rPr>
        <w:t xml:space="preserve">2.2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pPr>
        <w:pStyle w:val="Default"/>
        <w:widowControl w:val="false"/>
        <w:suppressAutoHyphens w:val="true"/>
        <w:bidi w:val="0"/>
        <w:spacing w:before="0" w:after="113"/>
        <w:ind w:hanging="0" w:left="0" w:right="0"/>
        <w:jc w:val="both"/>
        <w:rPr>
          <w:sz w:val="21"/>
          <w:szCs w:val="21"/>
        </w:rPr>
      </w:pPr>
      <w:r>
        <w:rPr>
          <w:rFonts w:cs="Lato" w:ascii="Lato" w:hAnsi="Lato"/>
          <w:color w:val="auto"/>
          <w:sz w:val="21"/>
          <w:szCs w:val="21"/>
        </w:rPr>
        <w:t xml:space="preserve">2.3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pPr>
        <w:pStyle w:val="Default"/>
        <w:widowControl w:val="false"/>
        <w:suppressAutoHyphens w:val="true"/>
        <w:bidi w:val="0"/>
        <w:spacing w:before="0" w:after="113"/>
        <w:ind w:hanging="0" w:left="0" w:right="907"/>
        <w:jc w:val="both"/>
        <w:rPr>
          <w:sz w:val="21"/>
          <w:szCs w:val="21"/>
        </w:rPr>
      </w:pPr>
      <w:r>
        <w:rPr>
          <w:rFonts w:cs="Lato" w:ascii="Lato" w:hAnsi="Lato"/>
          <w:color w:val="auto"/>
          <w:sz w:val="21"/>
          <w:szCs w:val="21"/>
        </w:rPr>
        <w:t xml:space="preserve">2.4. wobec którego orzeczono zakaz ubiegania się o zamówienia publiczne; </w:t>
      </w:r>
    </w:p>
    <w:p>
      <w:pPr>
        <w:pStyle w:val="Default"/>
        <w:widowControl w:val="false"/>
        <w:suppressAutoHyphens w:val="true"/>
        <w:bidi w:val="0"/>
        <w:spacing w:before="0" w:after="113"/>
        <w:ind w:hanging="0" w:left="0" w:right="0"/>
        <w:jc w:val="both"/>
        <w:rPr>
          <w:sz w:val="21"/>
          <w:szCs w:val="21"/>
        </w:rPr>
      </w:pPr>
      <w:r>
        <w:rPr>
          <w:rFonts w:cs="Lato" w:ascii="Lato" w:hAnsi="Lato"/>
          <w:color w:val="auto"/>
          <w:sz w:val="21"/>
          <w:szCs w:val="21"/>
        </w:rPr>
        <w:t xml:space="preserve">2.5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pPr>
        <w:pStyle w:val="Normal"/>
        <w:widowControl/>
        <w:suppressAutoHyphens w:val="true"/>
        <w:bidi w:val="0"/>
        <w:spacing w:lineRule="auto" w:line="240" w:before="0" w:after="113"/>
        <w:ind w:hanging="0" w:left="0" w:right="0"/>
        <w:jc w:val="both"/>
        <w:rPr>
          <w:szCs w:val="21"/>
        </w:rPr>
      </w:pPr>
      <w:r>
        <w:rPr>
          <w:rFonts w:cs="Lato" w:ascii="Lato" w:hAnsi="Lato"/>
          <w:color w:val="auto"/>
          <w:szCs w:val="21"/>
          <w:lang w:val="pl-PL"/>
        </w:rPr>
        <w:t xml:space="preserve">2.6 jeżeli, w przypadkach, o których mowa w art. 85 ust. 1, doszło do zakłócenia konkurencji wynikającego z wcześniejszego zaangażowania tego wykonawcy lub podmiotu, który należy z wykonawcą do tej samej grupy </w:t>
      </w:r>
      <w:r>
        <w:rPr>
          <w:rFonts w:cs="Lato" w:ascii="Lato" w:hAnsi="Lato"/>
          <w:szCs w:val="21"/>
          <w:lang w:val="pl-PL"/>
        </w:rPr>
        <w:t>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pPr>
        <w:pStyle w:val="Normal"/>
        <w:spacing w:lineRule="auto" w:line="240" w:before="0" w:after="113"/>
        <w:ind w:hanging="0" w:left="0" w:right="0"/>
        <w:rPr>
          <w:szCs w:val="21"/>
        </w:rPr>
      </w:pPr>
      <w:r>
        <w:rPr>
          <w:rFonts w:cs="Lato" w:ascii="Lato" w:hAnsi="Lato"/>
          <w:szCs w:val="21"/>
          <w:u w:val="none" w:color="000000"/>
          <w:lang w:val="pl-PL"/>
        </w:rPr>
        <w:t>3. Z postępowania o udzielenie zamówienia Zamawiający wykluczy również Wykonawcę na podstawie art. 109 ust. 1 pkt 4 ustawy</w:t>
      </w:r>
      <w:r>
        <w:rPr>
          <w:rFonts w:cs="Lato" w:ascii="Lato" w:hAnsi="Lato"/>
          <w:szCs w:val="21"/>
          <w:lang w:val="pl-PL"/>
        </w:rP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Normal"/>
        <w:spacing w:lineRule="auto" w:line="240" w:before="0" w:after="113"/>
        <w:ind w:hanging="0" w:left="0" w:right="0"/>
        <w:rPr>
          <w:szCs w:val="21"/>
        </w:rPr>
      </w:pPr>
      <w:r>
        <w:rPr>
          <w:rFonts w:cs="Lato" w:ascii="Lato" w:hAnsi="Lato"/>
          <w:szCs w:val="21"/>
          <w:lang w:val="pl-PL"/>
        </w:rPr>
        <w:t xml:space="preserve">4. </w:t>
      </w:r>
      <w:r>
        <w:rPr>
          <w:rFonts w:cs="Lato" w:ascii="Lato" w:hAnsi="Lato"/>
          <w:szCs w:val="21"/>
          <w:u w:val="none" w:color="000000"/>
          <w:lang w:val="pl-PL"/>
        </w:rPr>
        <w:t xml:space="preserve"> Z postępowania o udzielenie zamówienia Zamawiający wykluczy również Wykonawcę na podstawie art. 109 ust. 7 ustawy</w:t>
      </w:r>
    </w:p>
    <w:p>
      <w:pPr>
        <w:pStyle w:val="Normal"/>
        <w:spacing w:lineRule="auto" w:line="240" w:before="0" w:after="113"/>
        <w:ind w:hanging="0" w:left="0" w:right="0"/>
        <w:rPr>
          <w:szCs w:val="21"/>
        </w:rPr>
      </w:pPr>
      <w:r>
        <w:rPr>
          <w:rFonts w:cs="Lato" w:ascii="Lato" w:hAnsi="Lato"/>
          <w:i/>
          <w:iCs/>
          <w:szCs w:val="21"/>
          <w:lang w:val="pl-PL"/>
        </w:rPr>
        <w:t>„</w:t>
      </w:r>
      <w:r>
        <w:rPr>
          <w:rFonts w:cs="Lato" w:ascii="Lato" w:hAnsi="Lato"/>
          <w:i/>
          <w:iCs/>
          <w:szCs w:val="21"/>
          <w:lang w:val="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pPr>
        <w:pStyle w:val="Normal"/>
        <w:widowControl/>
        <w:suppressAutoHyphens w:val="true"/>
        <w:bidi w:val="0"/>
        <w:spacing w:lineRule="auto" w:line="240" w:before="0" w:after="113"/>
        <w:ind w:hanging="0" w:left="0" w:right="0"/>
        <w:jc w:val="both"/>
        <w:rPr>
          <w:szCs w:val="21"/>
        </w:rPr>
      </w:pPr>
      <w:r>
        <w:rPr>
          <w:rFonts w:cs="Lato" w:ascii="Lato" w:hAnsi="Lato"/>
          <w:szCs w:val="21"/>
          <w:lang w:val="pl-PL"/>
        </w:rPr>
        <w:t>Zamawiający może wykluczyć Wykonawcę na każdym etapie postępowania o udzielenie zamówienia. Ofertę Wykonawcy wykluczonego uznaje się za odrzuconą.</w:t>
      </w:r>
    </w:p>
    <w:p>
      <w:pPr>
        <w:pStyle w:val="Normal"/>
        <w:spacing w:lineRule="auto" w:line="240" w:before="0" w:after="113"/>
        <w:ind w:hanging="0" w:left="0" w:right="0"/>
        <w:rPr>
          <w:rFonts w:ascii="Lato" w:hAnsi="Lato" w:cs="Lato"/>
          <w:color w:val="auto"/>
          <w:szCs w:val="21"/>
          <w:lang w:val="pl-PL"/>
        </w:rPr>
      </w:pPr>
      <w:r>
        <w:rPr>
          <w:rFonts w:cs="Lato" w:ascii="Lato" w:hAnsi="Lato"/>
          <w:szCs w:val="21"/>
          <w:lang w:val="pl-PL"/>
        </w:rPr>
        <w:t xml:space="preserve">5. </w:t>
      </w:r>
      <w:r>
        <w:rPr>
          <w:rFonts w:cs="Lato" w:ascii="Lato" w:hAnsi="Lato"/>
          <w:color w:val="auto"/>
          <w:szCs w:val="21"/>
          <w:lang w:val="pl-PL"/>
        </w:rPr>
        <w:t xml:space="preserve">Z postępowania o udzielenie zamówienia Zamawiający wyklucza się również Wykonawcę na podstawie ustawy z dnia 13 kwietnia 2022 r </w:t>
      </w:r>
      <w:r>
        <w:rPr>
          <w:rFonts w:cs="Lato" w:ascii="Lato" w:hAnsi="Lato"/>
          <w:i/>
          <w:iCs/>
          <w:color w:val="auto"/>
          <w:szCs w:val="21"/>
          <w:lang w:val="pl-PL"/>
        </w:rPr>
        <w:t>o szczególnych rozwiązaniach w zakresie przeciwdziałania wspieraniu agresji na Ukrainę oraz służących ochronie bezpieczeństwa narodowego</w:t>
      </w:r>
      <w:r>
        <w:rPr>
          <w:rFonts w:cs="Lato" w:ascii="Lato" w:hAnsi="Lato"/>
          <w:color w:val="auto"/>
          <w:szCs w:val="21"/>
          <w:lang w:val="pl-PL"/>
        </w:rPr>
        <w:t xml:space="preserve"> (Dz. U. poz. 835), zwanej dalej „ustawą z dnia 13 kwietnia 2022 r.” Zgodnie z art. 7 ust. 1 ww ustawy Zgodnie z treścią art. 7 ust. 1 ustawy z dnia 13 kwietnia 2022 r., z postępowania o udzielenie zamówienia publicznego lub konkursu prowadzonego na podstawie ustawy Pzp wyklucza się:</w:t>
      </w:r>
    </w:p>
    <w:p>
      <w:pPr>
        <w:pStyle w:val="Normal"/>
        <w:spacing w:lineRule="auto" w:line="240" w:before="0" w:after="0"/>
        <w:ind w:hanging="0" w:left="0" w:right="0"/>
        <w:rPr/>
      </w:pPr>
      <w:r>
        <w:rPr>
          <w:rFonts w:cs="Lato" w:ascii="Lato" w:hAnsi="Lato"/>
          <w:color w:val="auto"/>
          <w:szCs w:val="21"/>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 z dnia 13 kwietnia 2022 r;</w:t>
      </w:r>
    </w:p>
    <w:p>
      <w:pPr>
        <w:pStyle w:val="Normal"/>
        <w:spacing w:lineRule="auto" w:line="240" w:before="0" w:after="0"/>
        <w:ind w:hanging="0" w:left="0" w:right="0"/>
        <w:rPr/>
      </w:pPr>
      <w:r>
        <w:rPr>
          <w:rFonts w:cs="Lato" w:ascii="Lato" w:hAnsi="Lato"/>
          <w:color w:val="auto"/>
          <w:szCs w:val="21"/>
          <w:lang w:val="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na12 podstawie decyzji w sprawie wpisu na listę rozstrzygającej o zastosowaniu środka, o którym mowa w art. 1 pkt 3 ustawy z dnia 13 kwietnia 2022 r.;</w:t>
      </w:r>
    </w:p>
    <w:p>
      <w:pPr>
        <w:pStyle w:val="Normal"/>
        <w:spacing w:lineRule="auto" w:line="240" w:before="0" w:after="0"/>
        <w:ind w:hanging="0" w:left="0" w:right="0"/>
        <w:rPr/>
      </w:pPr>
      <w:r>
        <w:rPr>
          <w:rFonts w:cs="Lato" w:ascii="Lato" w:hAnsi="Lato"/>
          <w:color w:val="auto"/>
          <w:szCs w:val="21"/>
          <w:lang w:val="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w:t>
      </w:r>
    </w:p>
    <w:p>
      <w:pPr>
        <w:pStyle w:val="Normal"/>
        <w:spacing w:lineRule="auto" w:line="240" w:before="0" w:after="0"/>
        <w:ind w:hanging="0" w:left="0" w:right="0"/>
        <w:rPr>
          <w:rFonts w:ascii="Lato" w:hAnsi="Lato" w:cs="Lato"/>
          <w:color w:val="auto"/>
          <w:szCs w:val="21"/>
          <w:lang w:val="pl-PL"/>
        </w:rPr>
      </w:pPr>
      <w:r>
        <w:rPr>
          <w:rFonts w:cs="Lato" w:ascii="Lato" w:hAnsi="Lato"/>
          <w:color w:val="auto"/>
          <w:szCs w:val="21"/>
          <w:lang w:val="pl-PL"/>
        </w:rPr>
      </w:r>
    </w:p>
    <w:p>
      <w:pPr>
        <w:pStyle w:val="Normal"/>
        <w:spacing w:lineRule="auto" w:line="240" w:before="0" w:after="113"/>
        <w:ind w:hanging="0" w:left="0" w:right="0"/>
        <w:rPr>
          <w:szCs w:val="21"/>
        </w:rPr>
      </w:pPr>
      <w:r>
        <w:rPr>
          <w:rFonts w:cs="Lato" w:ascii="Lato" w:hAnsi="Lato"/>
          <w:b/>
          <w:bCs/>
          <w:color w:val="auto"/>
          <w:szCs w:val="21"/>
          <w:lang w:val="pl-PL"/>
        </w:rPr>
        <w:t xml:space="preserve">6. </w:t>
      </w:r>
      <w:r>
        <w:rPr>
          <w:rFonts w:cs="Lato" w:ascii="Lato" w:hAnsi="Lato"/>
          <w:b/>
          <w:bCs/>
          <w:color w:val="auto"/>
          <w:szCs w:val="21"/>
          <w:u w:val="none" w:color="000000"/>
          <w:lang w:val="pl-PL"/>
        </w:rPr>
        <w:t>Zamawiający dokona oceny spełnienia w/w warunków na podstawie oświadczenia o braku podstaw do wykluczenia  – stanowiącego załącznik nr 3 do Specyfikacji warunków  zamówienia.</w:t>
      </w:r>
    </w:p>
    <w:p>
      <w:pPr>
        <w:pStyle w:val="Normal"/>
        <w:widowControl/>
        <w:suppressAutoHyphens w:val="true"/>
        <w:bidi w:val="0"/>
        <w:spacing w:lineRule="auto" w:line="240" w:before="0" w:after="113"/>
        <w:ind w:hanging="0" w:left="0" w:right="0"/>
        <w:jc w:val="both"/>
        <w:rPr>
          <w:szCs w:val="21"/>
        </w:rPr>
      </w:pPr>
      <w:r>
        <w:rPr>
          <w:rFonts w:cs="Lato" w:ascii="Lato" w:hAnsi="Lato"/>
          <w:color w:val="auto"/>
          <w:szCs w:val="21"/>
          <w:lang w:val="pl-PL"/>
        </w:rPr>
        <w:t xml:space="preserve">6.1 Wykonawca może w celu potwierdzenia spełniania warunków udziału w postępowaniu, w odniesieniu do przedmiotowego zamówienia, polegać na zdolnościach technicznych lub zawodowych lub sytuacji finansowej lub ekonomicznej innych podmiotów, niezależnie od charakteru prawnego łączących go z nim stosunków prawnych. Wykonawca w takiej sytuacji zobowiązany jest udowodnić Zamawiającemu, że realizując zamówienie będzie dysponował niezbędnymi zasobami tych podmiotów, w szczególności przedstawiając w tym celu </w:t>
      </w:r>
      <w:r>
        <w:rPr>
          <w:rFonts w:cs="Lato" w:ascii="Lato" w:hAnsi="Lato"/>
          <w:color w:val="auto"/>
          <w:szCs w:val="21"/>
          <w:u w:val="single" w:color="000000"/>
          <w:lang w:val="pl-PL"/>
        </w:rPr>
        <w:t>pisemne zobowiązanie tych podmiotów (oryginał) do oddania mu do dyspozycji niezbędnych zasobów na okres korzystania z nich przy wykonywaniu zamówienia.</w:t>
      </w:r>
      <w:r>
        <w:rPr>
          <w:rFonts w:cs="Lato" w:ascii="Lato" w:hAnsi="Lato"/>
          <w:color w:val="auto"/>
          <w:szCs w:val="21"/>
          <w:lang w:val="pl-PL"/>
        </w:rPr>
        <w:t xml:space="preserve"> 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wykonawcy stanowiącym załącznik nr 2 i 3 do niniejszej specyfikacji.</w:t>
      </w:r>
    </w:p>
    <w:p>
      <w:pPr>
        <w:pStyle w:val="Normal"/>
        <w:widowControl/>
        <w:suppressAutoHyphens w:val="true"/>
        <w:bidi w:val="0"/>
        <w:spacing w:lineRule="auto" w:line="240" w:before="0" w:after="113"/>
        <w:ind w:hanging="0" w:left="0" w:right="0"/>
        <w:jc w:val="both"/>
        <w:rPr>
          <w:szCs w:val="21"/>
        </w:rPr>
      </w:pPr>
      <w:r>
        <w:rPr>
          <w:rFonts w:cs="Lato" w:ascii="Lato" w:hAnsi="Lato"/>
          <w:color w:val="auto"/>
          <w:szCs w:val="21"/>
          <w:lang w:val="pl-PL"/>
        </w:rPr>
        <w:t>6.2 Wykonawca, który zamierza powierzyć wykonanie części zamówienia podwykonawcom, w celu wykazania braku istnienia wobec nich podstaw wykluczenia z udziału w postępowaniu zamieszcza informacje o podwykonawcach w oświadczeniu Wykonawcy – załącznik nr 3.</w:t>
      </w:r>
    </w:p>
    <w:p>
      <w:pPr>
        <w:pStyle w:val="Normal"/>
        <w:widowControl/>
        <w:suppressAutoHyphens w:val="true"/>
        <w:bidi w:val="0"/>
        <w:spacing w:lineRule="auto" w:line="240" w:before="0" w:after="113"/>
        <w:ind w:hanging="0" w:left="0" w:right="0"/>
        <w:jc w:val="both"/>
        <w:rPr>
          <w:szCs w:val="21"/>
        </w:rPr>
      </w:pPr>
      <w:r>
        <w:rPr>
          <w:rFonts w:cs="Lato" w:ascii="Lato" w:hAnsi="Lato"/>
          <w:color w:val="auto"/>
          <w:szCs w:val="21"/>
          <w:lang w:val="pl-PL"/>
        </w:rPr>
        <w:t>6.3 Wykonawcy mogą wspólnie ubiegać się o udzielenie zamówienia (np. konsorcjum, spółka cywilna), ustanawiają wówczas pełnomocnika do reprezentowania ich w postępowaniu i zawarcia umowy (</w:t>
      </w:r>
      <w:r>
        <w:rPr>
          <w:rFonts w:cs="Lato" w:ascii="Lato" w:hAnsi="Lato"/>
          <w:i/>
          <w:color w:val="auto"/>
          <w:szCs w:val="21"/>
          <w:lang w:val="pl-PL"/>
        </w:rPr>
        <w:t>do oferty należy</w:t>
      </w:r>
      <w:r>
        <w:rPr>
          <w:rFonts w:cs="Lato" w:ascii="Lato" w:hAnsi="Lato"/>
          <w:color w:val="auto"/>
          <w:szCs w:val="21"/>
          <w:lang w:val="pl-PL"/>
        </w:rPr>
        <w:t xml:space="preserve"> </w:t>
      </w:r>
      <w:r>
        <w:rPr>
          <w:rFonts w:cs="Lato" w:ascii="Lato" w:hAnsi="Lato"/>
          <w:i/>
          <w:color w:val="auto"/>
          <w:szCs w:val="21"/>
          <w:lang w:val="pl-PL"/>
        </w:rPr>
        <w:t>dołączyć odpowiednie pełnomocnictwo</w:t>
      </w:r>
      <w:r>
        <w:rPr>
          <w:rFonts w:cs="Lato" w:ascii="Lato" w:hAnsi="Lato"/>
          <w:color w:val="auto"/>
          <w:szCs w:val="21"/>
          <w:lang w:val="pl-PL"/>
        </w:rPr>
        <w:t>). Wszelka korespondencja oraz rozliczenia dokonywane będą wyłącznie z podmiotem występującym jako pełnomocnik pozostałych. W takim przypadku warunki udziału w postępowaniu, dotyczące Wykonawcy, odnoszą się odpowiednio do Wykonawców, którzy ubiegają się wspólnie o zamówienie publiczne. Oferta musi być podpisana w taki sposób, aby prawnie zobowiązywała wszystkie podmioty występujące wspólnie. Wykonawcy wspólnie ubiegający się o zamówienie ponoszą solidarną odpowiedzialność za wykonanie umowy.</w:t>
      </w:r>
    </w:p>
    <w:p>
      <w:pPr>
        <w:pStyle w:val="Normal"/>
        <w:spacing w:lineRule="auto" w:line="240" w:before="0" w:after="113"/>
        <w:ind w:hanging="0" w:left="0" w:right="0"/>
        <w:rPr>
          <w:szCs w:val="21"/>
        </w:rPr>
      </w:pPr>
      <w:r>
        <w:rPr>
          <w:rFonts w:cs="Lato" w:ascii="Lato" w:hAnsi="Lato"/>
          <w:color w:val="auto"/>
          <w:szCs w:val="21"/>
          <w:u w:val="none" w:color="000000"/>
          <w:lang w:val="pl-PL"/>
        </w:rPr>
        <w:t>7. W przypadku Wykonawców wspólnie ubiegających się o udzielenie zamówienia warunek określony w pkt. 2 powinien spełniać każdy z Wykonawców samodzielnie.</w:t>
      </w:r>
    </w:p>
    <w:p>
      <w:pPr>
        <w:pStyle w:val="Normal"/>
        <w:spacing w:lineRule="auto" w:line="240" w:before="0" w:after="113"/>
        <w:ind w:hanging="0" w:left="0" w:right="0"/>
        <w:rPr>
          <w:szCs w:val="21"/>
        </w:rPr>
      </w:pPr>
      <w:r>
        <w:rPr>
          <w:rFonts w:cs="Lato" w:ascii="Lato" w:hAnsi="Lato"/>
          <w:color w:val="auto"/>
          <w:szCs w:val="21"/>
          <w:u w:val="none" w:color="000000"/>
          <w:lang w:val="pl-PL"/>
        </w:rPr>
        <w:t>8. W przypadku Wykonawców wspólnie ubiegających się o udzielenie zamówienia, każdy z warunków określonych w pkt. 1 winien spełniać co najmniej jeden z tych Wykonawców albo wszyscy Wykonawcy wspólnie.</w:t>
      </w:r>
    </w:p>
    <w:p>
      <w:pPr>
        <w:pStyle w:val="Normal"/>
        <w:spacing w:lineRule="auto" w:line="240" w:before="0" w:after="113"/>
        <w:ind w:hanging="0" w:left="0" w:right="0"/>
        <w:rPr>
          <w:szCs w:val="21"/>
        </w:rPr>
      </w:pPr>
      <w:r>
        <w:rPr>
          <w:rFonts w:cs="Lato" w:ascii="Lato" w:hAnsi="Lato"/>
          <w:b/>
          <w:color w:val="auto"/>
          <w:szCs w:val="21"/>
          <w:lang w:val="pl-PL"/>
        </w:rPr>
        <w:t>9. Spełnienie powyższych warunków podlegać będzie ocenie Zamawiającego dokonywanej metodą 0 – 1 tj. spełnia – nie spełnia w oparciu o oświadczenia stanowiące załączniki do prawidłowo sporządzonej oferty.</w:t>
      </w:r>
    </w:p>
    <w:p>
      <w:pPr>
        <w:pStyle w:val="Normal"/>
        <w:spacing w:lineRule="auto" w:line="240" w:before="0" w:after="113"/>
        <w:ind w:hanging="0" w:left="278" w:right="0"/>
        <w:jc w:val="center"/>
        <w:rPr>
          <w:szCs w:val="21"/>
        </w:rPr>
      </w:pPr>
      <w:r>
        <w:rPr>
          <w:szCs w:val="21"/>
        </w:rPr>
      </w:r>
    </w:p>
    <w:p>
      <w:pPr>
        <w:pStyle w:val="Normal"/>
        <w:spacing w:lineRule="auto" w:line="240" w:before="0" w:after="113"/>
        <w:ind w:hanging="0" w:left="278" w:right="0"/>
        <w:jc w:val="center"/>
        <w:rPr>
          <w:szCs w:val="21"/>
        </w:rPr>
      </w:pPr>
      <w:r>
        <w:rPr>
          <w:rFonts w:cs="Lato" w:ascii="Lato" w:hAnsi="Lato"/>
          <w:b/>
          <w:szCs w:val="21"/>
          <w:lang w:val="pl-PL"/>
        </w:rPr>
        <w:t>ROZDZIAŁ VI</w:t>
      </w:r>
    </w:p>
    <w:p>
      <w:pPr>
        <w:pStyle w:val="Normal"/>
        <w:spacing w:lineRule="auto" w:line="240" w:before="0" w:after="113"/>
        <w:ind w:hanging="0" w:left="0" w:right="0"/>
        <w:rPr>
          <w:rFonts w:ascii="Lato" w:hAnsi="Lato"/>
          <w:szCs w:val="21"/>
        </w:rPr>
      </w:pPr>
      <w:r>
        <w:rPr>
          <w:rFonts w:cs="Lato" w:ascii="Lato" w:hAnsi="Lato"/>
          <w:b/>
          <w:color w:val="auto"/>
          <w:szCs w:val="21"/>
          <w:lang w:val="pl-PL"/>
        </w:rPr>
        <w:t>Informacja o sposobie porozumiewania się Zamawiającego z Wykonawcami</w:t>
      </w:r>
    </w:p>
    <w:p>
      <w:pPr>
        <w:pStyle w:val="Normal"/>
        <w:spacing w:lineRule="auto" w:line="240" w:before="0" w:after="113"/>
        <w:ind w:hanging="0" w:left="340" w:right="907"/>
        <w:rPr/>
      </w:pPr>
      <w:r>
        <w:rPr>
          <w:rFonts w:cs="Lato" w:ascii="Lato" w:hAnsi="Lato"/>
          <w:color w:val="auto"/>
          <w:szCs w:val="21"/>
          <w:lang w:val="pl-PL" w:bidi="ar-SA"/>
        </w:rPr>
        <w:t xml:space="preserve">1. Zamawiający wyznacza następujące osoby do kontaktu z Wykonawcami:  </w:t>
      </w:r>
    </w:p>
    <w:p>
      <w:pPr>
        <w:pStyle w:val="Normal"/>
        <w:numPr>
          <w:ilvl w:val="0"/>
          <w:numId w:val="7"/>
        </w:numPr>
        <w:spacing w:lineRule="auto" w:line="240" w:before="0" w:after="113"/>
        <w:ind w:hanging="340" w:left="737" w:right="0"/>
        <w:rPr/>
      </w:pPr>
      <w:r>
        <w:rPr>
          <w:rFonts w:ascii="Lato" w:hAnsi="Lato"/>
          <w:szCs w:val="21"/>
          <w:lang w:val="pl-PL" w:bidi="ar-SA"/>
        </w:rPr>
        <w:t xml:space="preserve">Agnieszka Sikora – kierownik działu żywienia w sprawach związanych z przedmiotem zamówienia </w:t>
      </w:r>
      <w:hyperlink r:id="rId4">
        <w:r>
          <w:rPr>
            <w:rStyle w:val="Style9"/>
            <w:rFonts w:ascii="Lato" w:hAnsi="Lato"/>
            <w:color w:val="000080"/>
            <w:szCs w:val="21"/>
            <w:u w:val="single"/>
            <w:lang w:val="pl-PL" w:eastAsia="zh-CN" w:bidi="ar-SA"/>
          </w:rPr>
          <w:t>zywienia@dpsbab.krakow.pl</w:t>
        </w:r>
      </w:hyperlink>
    </w:p>
    <w:p>
      <w:pPr>
        <w:pStyle w:val="Normal"/>
        <w:spacing w:lineRule="auto" w:line="240" w:before="0" w:after="113"/>
        <w:ind w:hanging="0" w:left="340" w:right="0"/>
        <w:rPr/>
      </w:pPr>
      <w:r>
        <w:rPr>
          <w:rFonts w:ascii="Lato" w:hAnsi="Lato"/>
          <w:szCs w:val="21"/>
          <w:lang w:val="pl-PL" w:bidi="ar-SA"/>
        </w:rPr>
        <w:t xml:space="preserve">2. </w:t>
      </w:r>
      <w:r>
        <w:rPr>
          <w:rFonts w:cs="Lato" w:ascii="Lato" w:hAnsi="Lato"/>
          <w:color w:val="auto"/>
          <w:szCs w:val="21"/>
          <w:lang w:val="pl-PL" w:bidi="ar-SA"/>
        </w:rPr>
        <w:t xml:space="preserve">Zamawiający na swojej stronie internetowej </w:t>
      </w:r>
      <w:hyperlink r:id="rId5">
        <w:r>
          <w:rPr>
            <w:rStyle w:val="Style9"/>
            <w:rFonts w:cs="Lato" w:ascii="Lato" w:hAnsi="Lato"/>
            <w:color w:val="auto"/>
            <w:szCs w:val="21"/>
            <w:u w:val="none" w:color="0000FF"/>
            <w:lang w:val="pl-PL" w:bidi="ar-SA"/>
          </w:rPr>
          <w:t>https://www.bip.krakow.pl/?bip_id=303</w:t>
        </w:r>
      </w:hyperlink>
      <w:r>
        <w:rPr>
          <w:rStyle w:val="Hyperlink"/>
          <w:rFonts w:cs="Lato" w:ascii="Lato" w:hAnsi="Lato"/>
          <w:color w:val="auto"/>
          <w:szCs w:val="21"/>
          <w:u w:val="none" w:color="0000FF"/>
          <w:lang w:val="pl-PL" w:bidi="ar-SA"/>
        </w:rPr>
        <w:t xml:space="preserve">  w zakładce:</w:t>
      </w:r>
      <w:r>
        <w:rPr>
          <w:rStyle w:val="Hyperlink"/>
          <w:rFonts w:cs="Lato" w:ascii="Lato" w:hAnsi="Lato"/>
          <w:b/>
          <w:bCs/>
          <w:color w:val="auto"/>
          <w:szCs w:val="21"/>
          <w:u w:val="none" w:color="0000FF"/>
          <w:lang w:val="pl-PL" w:bidi="ar-SA"/>
        </w:rPr>
        <w:t xml:space="preserve"> FINANSE I MIENIE&gt;Zamówienia publiczne</w:t>
      </w:r>
      <w:r>
        <w:rPr>
          <w:rStyle w:val="Hyperlink"/>
          <w:rFonts w:cs="Lato" w:ascii="Lato" w:hAnsi="Lato"/>
          <w:color w:val="auto"/>
          <w:szCs w:val="21"/>
          <w:u w:val="none" w:color="0000FF"/>
          <w:lang w:val="pl-PL" w:bidi="ar-SA"/>
        </w:rPr>
        <w:t xml:space="preserve"> zamieszcza pełną dokumentację z przebiegu udzielenia zamówienia. </w:t>
      </w:r>
    </w:p>
    <w:p>
      <w:pPr>
        <w:pStyle w:val="Normal"/>
        <w:spacing w:lineRule="auto" w:line="240" w:before="0" w:after="113"/>
        <w:ind w:hanging="0" w:left="340" w:right="0"/>
        <w:rPr/>
      </w:pPr>
      <w:r>
        <w:rPr>
          <w:rStyle w:val="Hyperlink"/>
          <w:rFonts w:cs="Lato" w:ascii="Lato" w:hAnsi="Lato"/>
          <w:color w:val="auto"/>
          <w:szCs w:val="21"/>
          <w:u w:val="none" w:color="0000FF"/>
          <w:lang w:val="pl-PL" w:bidi="ar-SA"/>
        </w:rPr>
        <w:t xml:space="preserve">3. </w:t>
      </w:r>
      <w:r>
        <w:rPr>
          <w:rStyle w:val="Hyperlink"/>
          <w:rFonts w:eastAsia="Lato" w:cs="Lato" w:ascii="Lato" w:hAnsi="Lato"/>
          <w:color w:val="auto"/>
          <w:szCs w:val="21"/>
          <w:u w:val="none"/>
          <w:lang w:val="pl-PL" w:bidi="ar-SA"/>
        </w:rPr>
        <w:t>Nie udziela się żadnych ustnych i telefonicznych informacji, wyjaśnień czy odpowiedzi na kierowane do Zamawiającego zapytania w sprawach wymagających zachowania formy pisemnej.</w:t>
      </w:r>
    </w:p>
    <w:p>
      <w:pPr>
        <w:pStyle w:val="Normal"/>
        <w:spacing w:lineRule="auto" w:line="240" w:before="0" w:after="113"/>
        <w:ind w:hanging="0" w:left="340" w:right="0"/>
        <w:rPr>
          <w:rFonts w:ascii="Lato" w:hAnsi="Lato"/>
          <w:lang w:val="pl-PL" w:bidi="ar-SA"/>
        </w:rPr>
      </w:pPr>
      <w:r>
        <w:rPr>
          <w:rFonts w:ascii="Lato" w:hAnsi="Lato"/>
          <w:lang w:val="pl-PL" w:bidi="ar-SA"/>
        </w:rPr>
        <w:t>4. Komunikacja w postępowaniu o udzielenie zamówienia, w tym składanie ofert,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 o świadczeniu usług drogą elektroniczną (t.j. Dz.U.2024 poz. 1513).</w:t>
      </w:r>
    </w:p>
    <w:p>
      <w:pPr>
        <w:pStyle w:val="Normal"/>
        <w:spacing w:lineRule="auto" w:line="240" w:before="0" w:after="113"/>
        <w:ind w:hanging="0" w:left="340" w:right="0"/>
        <w:rPr>
          <w:rFonts w:ascii="Lato" w:hAnsi="Lato"/>
          <w:lang w:val="pl-PL" w:bidi="ar-SA"/>
        </w:rPr>
      </w:pPr>
      <w:r>
        <w:rPr>
          <w:rFonts w:ascii="Lato" w:hAnsi="Lato"/>
          <w:lang w:val="pl-PL" w:bidi="ar-SA"/>
        </w:rPr>
        <w:t>5. Ofertę, oświadczenia, o których mowa w art. 125 ust. 1 Pzp, podmiotowe środki dowodowe,  pełnomocnictwa, zobowiązanie podmiotu udostępniającego zasoby sporządza się w postaci elektronicznej, w ogólnie dostępnych formatach danych, w szczególności w formatach .txt, .rtf, .pdf, .doc, .docx, .odt. Ofertę wraz z podmiotowymi i przedmiotowymi środkami dowodowymi oraz pozostałymi dokumentami składa się, pod rygorem nieważności, w formie elektronicznej lub w postaci elektronicznej opatrzonej kwalifikowanym podpisem elektronicznym, podpisem zaufanym lub podpisem osobistym.</w:t>
      </w:r>
    </w:p>
    <w:p>
      <w:pPr>
        <w:pStyle w:val="Normal"/>
        <w:spacing w:lineRule="auto" w:line="240" w:before="0" w:after="113"/>
        <w:ind w:hanging="0" w:left="340" w:right="0"/>
        <w:rPr>
          <w:rFonts w:ascii="Lato" w:hAnsi="Lato"/>
          <w:lang w:val="pl-PL" w:bidi="ar-SA"/>
        </w:rPr>
      </w:pPr>
      <w:r>
        <w:rPr>
          <w:rFonts w:ascii="Lato" w:hAnsi="Lato"/>
          <w:lang w:val="pl-PL" w:bidi="ar-SA"/>
        </w:rPr>
        <w:t>6. W postępowaniu o udzielenie zamówienia komunikacja między Zamawiającym a Wykonawcami odbywa się przy użyciu Platformy e-Zamówienia, która jest dostępna pod adresem https://ezamowienia.gov.pl</w:t>
      </w:r>
    </w:p>
    <w:p>
      <w:pPr>
        <w:pStyle w:val="Normal"/>
        <w:spacing w:lineRule="auto" w:line="240" w:before="0" w:after="113"/>
        <w:ind w:hanging="0" w:left="340" w:right="0"/>
        <w:rPr>
          <w:rFonts w:ascii="Lato" w:hAnsi="Lato"/>
          <w:lang w:val="pl-PL" w:bidi="ar-SA"/>
        </w:rPr>
      </w:pPr>
      <w:r>
        <w:rPr>
          <w:rFonts w:ascii="Lato" w:hAnsi="Lato"/>
          <w:lang w:val="pl-PL" w:bidi="ar-SA"/>
        </w:rPr>
        <w:t>7. Korzystanie z Platformy e-Zamówienia jest bezpłatne.</w:t>
      </w:r>
    </w:p>
    <w:p>
      <w:pPr>
        <w:pStyle w:val="Normal"/>
        <w:spacing w:lineRule="auto" w:line="240" w:before="0" w:after="113"/>
        <w:ind w:hanging="0" w:left="340" w:right="0"/>
        <w:rPr>
          <w:rFonts w:ascii="Lato" w:hAnsi="Lato"/>
          <w:lang w:val="pl-PL" w:bidi="ar-SA"/>
        </w:rPr>
      </w:pPr>
      <w:r>
        <w:rPr>
          <w:rFonts w:ascii="Lato" w:hAnsi="Lato"/>
          <w:lang w:val="pl-PL" w:bidi="ar-SA"/>
        </w:rPr>
        <w:t>8. Postępowanie można wyszukać również ze strony głównej Platformy e-Zamówienia (przycisk „Przeglądaj postępowania/konkursy”).</w:t>
      </w:r>
    </w:p>
    <w:p>
      <w:pPr>
        <w:pStyle w:val="Normal"/>
        <w:spacing w:lineRule="auto" w:line="240" w:before="0" w:after="113"/>
        <w:ind w:hanging="0" w:left="340" w:right="0"/>
        <w:rPr>
          <w:lang w:val="pl-PL" w:bidi="ar-SA"/>
        </w:rPr>
      </w:pPr>
      <w:r>
        <w:rPr>
          <w:rFonts w:ascii="Lato" w:hAnsi="Lato"/>
          <w:lang w:val="pl-PL" w:bidi="ar-SA"/>
        </w:rPr>
        <w:t>9.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w:t>
      </w:r>
      <w:r>
        <w:rPr>
          <w:lang w:val="pl-PL" w:bidi="ar-SA"/>
        </w:rPr>
        <w:t xml:space="preserve"> </w:t>
      </w:r>
      <w:r>
        <w:rPr>
          <w:rFonts w:ascii="Lato" w:hAnsi="Lato"/>
          <w:lang w:val="pl-PL" w:bidi="ar-SA"/>
        </w:rPr>
        <w:t>Regulamin Platformy e-Zamówienia, dostępny na stronie internetowej https://ezamowienia.gov.pl oraz informacje zamieszczone w zakładce „Centrum Pomocy”.</w:t>
      </w:r>
    </w:p>
    <w:p>
      <w:pPr>
        <w:pStyle w:val="Normal"/>
        <w:spacing w:lineRule="auto" w:line="240" w:before="0" w:after="113"/>
        <w:ind w:hanging="0" w:left="340" w:right="0"/>
        <w:rPr>
          <w:rFonts w:ascii="Lato" w:hAnsi="Lato"/>
          <w:lang w:val="pl-PL" w:bidi="ar-SA"/>
        </w:rPr>
      </w:pPr>
      <w:r>
        <w:rPr>
          <w:rFonts w:ascii="Lato" w:hAnsi="Lato"/>
          <w:lang w:val="pl-PL" w:bidi="ar-SA"/>
        </w:rPr>
        <w:t>10. Wykonawca dla pełnego korzystania z Platformy, w tym złożenia oferty, powinien oprócz rejestracji dokonać również aktywacji konta podmiotu oraz nadać pełne uprawnienia dla użytkowników. Interaktywne instrukcje dostępne są na stronie https://ezamowienia.gov.pl/pl/komponent-edukacyjny .</w:t>
      </w:r>
    </w:p>
    <w:p>
      <w:pPr>
        <w:pStyle w:val="Normal"/>
        <w:spacing w:lineRule="auto" w:line="240" w:before="0" w:after="113"/>
        <w:ind w:hanging="0" w:left="340" w:right="0"/>
        <w:rPr>
          <w:rFonts w:ascii="Lato" w:hAnsi="Lato"/>
          <w:lang w:val="pl-PL" w:bidi="ar-SA"/>
        </w:rPr>
      </w:pPr>
      <w:r>
        <w:rPr>
          <w:rFonts w:ascii="Lato" w:hAnsi="Lato"/>
          <w:lang w:val="pl-PL" w:bidi="ar-SA"/>
        </w:rPr>
        <w:t>11. Przeglądanie i pobieranie publicznej treści dokumentacji postępowania nie wymaga posiadania konta na Platformie e-Zamówienia ani logowania.</w:t>
      </w:r>
    </w:p>
    <w:p>
      <w:pPr>
        <w:pStyle w:val="Normal"/>
        <w:spacing w:lineRule="auto" w:line="240" w:before="0" w:after="113"/>
        <w:ind w:hanging="0" w:left="340" w:right="0"/>
        <w:rPr>
          <w:rFonts w:ascii="Lato" w:hAnsi="Lato"/>
          <w:lang w:val="pl-PL" w:bidi="ar-SA"/>
        </w:rPr>
      </w:pPr>
      <w:r>
        <w:rPr>
          <w:rFonts w:ascii="Lato" w:hAnsi="Lato"/>
          <w:lang w:val="pl-PL" w:bidi="ar-SA"/>
        </w:rPr>
        <w:t>12.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pPr>
        <w:pStyle w:val="Normal"/>
        <w:spacing w:lineRule="auto" w:line="240" w:before="0" w:after="113"/>
        <w:ind w:hanging="0" w:left="340" w:right="0"/>
        <w:rPr>
          <w:rFonts w:ascii="Lato" w:hAnsi="Lato"/>
          <w:lang w:val="pl-PL" w:bidi="ar-SA"/>
        </w:rPr>
      </w:pPr>
      <w:r>
        <w:rPr>
          <w:rFonts w:ascii="Lato" w:hAnsi="Lato"/>
          <w:lang w:val="pl-PL" w:bidi="ar-SA"/>
        </w:rPr>
        <w:t>13. Informacje, oświadczenia lub dokumenty, inne niż wymienione w § 2 ust. 1 rozporządzenia Prezesa Rady Ministrów w sprawie wymagań dla dokumentów elektronicznych, przekazywane w postępowaniu sporządza się w postaci elektronicznej jako tekst wpisany bezpośrednio do wiadomości przekazywanej przy użyciu środków komunikacji elektronicznej (np. w treści wiadomości e-mail lub w treści „Formularza do komunikacji”).</w:t>
      </w:r>
    </w:p>
    <w:p>
      <w:pPr>
        <w:pStyle w:val="Normal"/>
        <w:spacing w:lineRule="auto" w:line="240" w:before="0" w:after="113"/>
        <w:ind w:hanging="0" w:left="340" w:right="0"/>
        <w:rPr>
          <w:rFonts w:ascii="Lato" w:hAnsi="Lato"/>
          <w:lang w:val="pl-PL" w:bidi="ar-SA"/>
        </w:rPr>
      </w:pPr>
      <w:r>
        <w:rPr>
          <w:rFonts w:ascii="Lato" w:hAnsi="Lato"/>
          <w:lang w:val="pl-PL" w:bidi="ar-SA"/>
        </w:rPr>
        <w:t>14.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w:t>
      </w:r>
    </w:p>
    <w:p>
      <w:pPr>
        <w:pStyle w:val="Normal"/>
        <w:spacing w:lineRule="auto" w:line="240" w:before="0" w:after="113"/>
        <w:ind w:hanging="0" w:left="340" w:right="0"/>
        <w:rPr>
          <w:rFonts w:ascii="Lato" w:hAnsi="Lato"/>
          <w:lang w:val="pl-PL" w:bidi="ar-SA"/>
        </w:rPr>
      </w:pPr>
      <w:r>
        <w:rPr>
          <w:rFonts w:ascii="Lato" w:hAnsi="Lato"/>
          <w:lang w:val="pl-PL" w:bidi="ar-SA"/>
        </w:rPr>
        <w:t>15.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pPr>
        <w:pStyle w:val="Normal"/>
        <w:spacing w:lineRule="auto" w:line="240" w:before="0" w:after="113"/>
        <w:ind w:hanging="0" w:left="340" w:right="0"/>
        <w:rPr>
          <w:rFonts w:ascii="Lato" w:hAnsi="Lato"/>
          <w:lang w:val="pl-PL" w:bidi="ar-SA"/>
        </w:rPr>
      </w:pPr>
      <w:r>
        <w:rPr>
          <w:rFonts w:ascii="Lato" w:hAnsi="Lato"/>
          <w:lang w:val="pl-PL" w:bidi="ar-SA"/>
        </w:rPr>
        <w:t>16.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pPr>
        <w:pStyle w:val="Normal"/>
        <w:spacing w:lineRule="auto" w:line="240" w:before="0" w:after="113"/>
        <w:ind w:hanging="0" w:left="340" w:right="0"/>
        <w:rPr>
          <w:rFonts w:ascii="Lato" w:hAnsi="Lato"/>
          <w:lang w:val="pl-PL" w:bidi="ar-SA"/>
        </w:rPr>
      </w:pPr>
      <w:r>
        <w:rPr>
          <w:rFonts w:ascii="Lato" w:hAnsi="Lato"/>
          <w:lang w:val="pl-PL" w:bidi="ar-SA"/>
        </w:rPr>
        <w:t>17. Wszystkie wysłane i odebrane w postępowaniu przez wykonawcę wiadomości widoczne są po zalogowaniu w podglądzie postępowania w zakładce „Komunikacja”.</w:t>
      </w:r>
    </w:p>
    <w:p>
      <w:pPr>
        <w:pStyle w:val="Normal"/>
        <w:spacing w:lineRule="auto" w:line="240" w:before="0" w:after="113"/>
        <w:ind w:hanging="0" w:left="340" w:right="0"/>
        <w:rPr>
          <w:rFonts w:ascii="Lato" w:hAnsi="Lato"/>
          <w:lang w:val="pl-PL" w:bidi="ar-SA"/>
        </w:rPr>
      </w:pPr>
      <w:r>
        <w:rPr>
          <w:rFonts w:ascii="Lato" w:hAnsi="Lato"/>
          <w:lang w:val="pl-PL" w:bidi="ar-SA"/>
        </w:rPr>
        <w:t>18. Maksymalny rozmiar plików przesyłanych za pośrednictwem „Formularzy do komunikacji” wynosi 150 MB (wielkość ta dotyczy plików przesyłanych jako załączniki do jednego formularza).</w:t>
      </w:r>
    </w:p>
    <w:p>
      <w:pPr>
        <w:pStyle w:val="Normal"/>
        <w:spacing w:lineRule="auto" w:line="240" w:before="0" w:after="113"/>
        <w:ind w:hanging="0" w:left="340" w:right="0"/>
        <w:rPr>
          <w:rFonts w:ascii="Lato" w:hAnsi="Lato"/>
          <w:lang w:val="pl-PL" w:bidi="ar-SA"/>
        </w:rPr>
      </w:pPr>
      <w:r>
        <w:rPr>
          <w:rFonts w:ascii="Lato" w:hAnsi="Lato"/>
          <w:lang w:val="pl-PL" w:bidi="ar-SA"/>
        </w:rPr>
        <w:t>19. Minimalne wymagania techniczne dotyczące sprzętu używanego w celu korzystania z usług Platformy e-Zamówienia oraz informacje dotyczące specyfikacji połączenia określa Regulamin Platformy e-Zamówienia.</w:t>
      </w:r>
    </w:p>
    <w:p>
      <w:pPr>
        <w:pStyle w:val="Normal"/>
        <w:spacing w:lineRule="auto" w:line="240" w:before="0" w:after="113"/>
        <w:ind w:hanging="0" w:left="340" w:right="0"/>
        <w:rPr>
          <w:rFonts w:ascii="Lato" w:hAnsi="Lato"/>
          <w:lang w:val="pl-PL" w:bidi="ar-SA"/>
        </w:rPr>
      </w:pPr>
      <w:r>
        <w:rPr>
          <w:rFonts w:ascii="Lato" w:hAnsi="Lato"/>
          <w:lang w:val="pl-PL" w:bidi="ar-SA"/>
        </w:rPr>
        <w:t xml:space="preserve">20. Zamawiający nie przewiduje odstąpienia od użycia środków komunikacji elektronicznej. </w:t>
      </w:r>
    </w:p>
    <w:p>
      <w:pPr>
        <w:pStyle w:val="Normal"/>
        <w:spacing w:lineRule="auto" w:line="240" w:before="0" w:after="113"/>
        <w:ind w:hanging="0" w:left="340" w:right="0"/>
        <w:rPr>
          <w:rFonts w:ascii="Lato" w:hAnsi="Lato"/>
          <w:lang w:val="pl-PL" w:bidi="ar-SA"/>
        </w:rPr>
      </w:pPr>
      <w:r>
        <w:rPr>
          <w:rFonts w:ascii="Lato" w:hAnsi="Lato"/>
          <w:lang w:val="pl-PL" w:bidi="ar-SA"/>
        </w:rPr>
        <w:t>21. W korespondencji kierowanej do Zamawiającego Wykonawcy powinni posługiwać się numerem przedmiotowego postępowania.</w:t>
      </w:r>
    </w:p>
    <w:p>
      <w:pPr>
        <w:pStyle w:val="Normal"/>
        <w:spacing w:lineRule="auto" w:line="240" w:before="0" w:after="113"/>
        <w:ind w:hanging="0" w:left="340" w:right="0"/>
        <w:rPr>
          <w:rFonts w:ascii="Lato" w:hAnsi="Lato"/>
          <w:lang w:val="pl-PL" w:bidi="ar-SA"/>
        </w:rPr>
      </w:pPr>
      <w:r>
        <w:rPr>
          <w:rFonts w:ascii="Lato" w:hAnsi="Lato"/>
          <w:lang w:val="pl-PL" w:bidi="ar-SA"/>
        </w:rPr>
        <w:t>22. Wykonawca może zwrócić się do Zamawiającego z wnioskiem o wyjaśnienie treści SWZ.</w:t>
      </w:r>
    </w:p>
    <w:p>
      <w:pPr>
        <w:pStyle w:val="Normal"/>
        <w:spacing w:lineRule="auto" w:line="240" w:before="0" w:after="113"/>
        <w:ind w:hanging="0" w:left="340" w:right="0"/>
        <w:rPr>
          <w:rFonts w:ascii="Lato" w:hAnsi="Lato"/>
          <w:lang w:val="pl-PL" w:bidi="ar-SA"/>
        </w:rPr>
      </w:pPr>
      <w:r>
        <w:rPr>
          <w:rFonts w:ascii="Lato" w:hAnsi="Lato"/>
          <w:lang w:val="pl-PL" w:bidi="ar-SA"/>
        </w:rPr>
        <w:t>23.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pPr>
        <w:pStyle w:val="Normal"/>
        <w:spacing w:lineRule="auto" w:line="240" w:before="0" w:after="113"/>
        <w:ind w:hanging="0" w:left="340" w:right="0"/>
        <w:rPr>
          <w:rFonts w:ascii="Lato" w:hAnsi="Lato"/>
          <w:lang w:val="pl-PL" w:bidi="ar-SA"/>
        </w:rPr>
      </w:pPr>
      <w:r>
        <w:rPr>
          <w:rFonts w:ascii="Lato" w:hAnsi="Lato"/>
          <w:lang w:val="pl-PL" w:bidi="ar-SA"/>
        </w:rPr>
        <w:t xml:space="preserve">24. Jeżeli zamawiający nie udzieli wyjaśnień w terminie, o którym mowa w ust. 24,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24, zamawiający nie ma obowiązku udzielania wyjaśnień SWZ oraz obowiązku przedłużenia terminu składania ofert. </w:t>
      </w:r>
    </w:p>
    <w:p>
      <w:pPr>
        <w:pStyle w:val="Normal"/>
        <w:spacing w:lineRule="auto" w:line="240" w:before="0" w:after="113"/>
        <w:ind w:hanging="0" w:left="340" w:right="0"/>
        <w:rPr>
          <w:rFonts w:ascii="Lato" w:hAnsi="Lato"/>
          <w:lang w:val="pl-PL" w:bidi="ar-SA"/>
        </w:rPr>
      </w:pPr>
      <w:r>
        <w:rPr>
          <w:rFonts w:ascii="Lato" w:hAnsi="Lato"/>
          <w:lang w:val="pl-PL" w:bidi="ar-SA"/>
        </w:rPr>
        <w:t>25. Przedłużenie terminu składania ofert, o których mowa w ust. 25, nie wpływa na bieg terminu składania wniosku o wyjaśnienie treści SWZ.</w:t>
      </w:r>
    </w:p>
    <w:p>
      <w:pPr>
        <w:pStyle w:val="Normal"/>
        <w:spacing w:lineRule="auto" w:line="240" w:before="0" w:after="113"/>
        <w:ind w:hanging="10" w:left="263" w:right="0"/>
        <w:jc w:val="center"/>
        <w:rPr>
          <w:szCs w:val="21"/>
        </w:rPr>
      </w:pPr>
      <w:r>
        <w:rPr>
          <w:szCs w:val="21"/>
        </w:rPr>
      </w:r>
    </w:p>
    <w:p>
      <w:pPr>
        <w:pStyle w:val="Normal"/>
        <w:spacing w:lineRule="auto" w:line="240" w:before="0" w:after="113"/>
        <w:ind w:hanging="10" w:left="263" w:right="0"/>
        <w:jc w:val="center"/>
        <w:rPr>
          <w:szCs w:val="21"/>
        </w:rPr>
      </w:pPr>
      <w:r>
        <w:rPr>
          <w:rFonts w:eastAsia="Times New Roman" w:cs="Lato" w:ascii="Lato" w:hAnsi="Lato"/>
          <w:b/>
          <w:szCs w:val="21"/>
          <w:lang w:val="pl-PL"/>
        </w:rPr>
        <w:t>ROZDZIAŁ VII</w:t>
      </w:r>
    </w:p>
    <w:p>
      <w:pPr>
        <w:pStyle w:val="Normal"/>
        <w:spacing w:lineRule="auto" w:line="240" w:before="0" w:after="113"/>
        <w:ind w:hanging="0" w:left="57" w:right="0"/>
        <w:jc w:val="left"/>
        <w:rPr>
          <w:szCs w:val="21"/>
        </w:rPr>
      </w:pPr>
      <w:r>
        <w:rPr>
          <w:rFonts w:eastAsia="Lato" w:cs="Lato" w:ascii="Lato" w:hAnsi="Lato"/>
          <w:b/>
          <w:color w:val="auto"/>
          <w:szCs w:val="21"/>
          <w:lang w:val="pl-PL"/>
        </w:rPr>
        <w:t xml:space="preserve">Wadium: </w:t>
      </w:r>
      <w:r>
        <w:rPr>
          <w:rFonts w:eastAsia="Lato" w:cs="Lato" w:ascii="Lato" w:hAnsi="Lato"/>
          <w:color w:val="auto"/>
          <w:szCs w:val="21"/>
          <w:lang w:val="pl-PL"/>
        </w:rPr>
        <w:t xml:space="preserve">Zamawiający nie wymaga wniesienia wadium przez Wykonawcę. </w:t>
      </w:r>
    </w:p>
    <w:p>
      <w:pPr>
        <w:pStyle w:val="Normal"/>
        <w:spacing w:lineRule="auto" w:line="240" w:before="0" w:after="113"/>
        <w:ind w:hanging="0" w:left="278" w:right="0"/>
        <w:jc w:val="center"/>
        <w:rPr>
          <w:szCs w:val="21"/>
        </w:rPr>
      </w:pPr>
      <w:r>
        <w:rPr>
          <w:rFonts w:cs="Lato" w:ascii="Lato" w:hAnsi="Lato"/>
          <w:b/>
          <w:szCs w:val="21"/>
          <w:lang w:val="pl-PL"/>
        </w:rPr>
        <w:t xml:space="preserve">ROZDZIAŁ VIII   </w:t>
      </w:r>
    </w:p>
    <w:p>
      <w:pPr>
        <w:pStyle w:val="Normal"/>
        <w:spacing w:lineRule="auto" w:line="240" w:before="0" w:after="113"/>
        <w:ind w:hanging="10" w:left="275" w:right="0"/>
        <w:jc w:val="left"/>
        <w:rPr>
          <w:szCs w:val="21"/>
        </w:rPr>
      </w:pPr>
      <w:r>
        <w:rPr>
          <w:rFonts w:cs="Lato" w:ascii="Lato" w:hAnsi="Lato"/>
          <w:b/>
          <w:szCs w:val="21"/>
          <w:lang w:val="pl-PL"/>
        </w:rPr>
        <w:t>Termin związania ofertą.</w:t>
      </w:r>
    </w:p>
    <w:p>
      <w:pPr>
        <w:pStyle w:val="Normal"/>
        <w:spacing w:lineRule="auto" w:line="240" w:before="0" w:after="113"/>
        <w:ind w:hanging="10" w:left="287" w:right="13"/>
        <w:rPr>
          <w:szCs w:val="21"/>
        </w:rPr>
      </w:pPr>
      <w:r>
        <w:rPr>
          <w:rFonts w:cs="Lato" w:ascii="Lato" w:hAnsi="Lato"/>
          <w:szCs w:val="21"/>
          <w:lang w:val="pl-PL"/>
        </w:rPr>
        <w:t>1. Termin związania złożoną ofertą wynosi 30 dni (do 7.10.2026</w:t>
      </w:r>
      <w:r>
        <w:rPr>
          <w:rFonts w:cs="Lato" w:ascii="Lato" w:hAnsi="Lato"/>
          <w:szCs w:val="21"/>
          <w:shd w:fill="auto" w:val="clear"/>
          <w:lang w:val="pl-PL"/>
        </w:rPr>
        <w:t>)</w:t>
      </w:r>
      <w:r>
        <w:rPr>
          <w:rFonts w:cs="Lato" w:ascii="Lato" w:hAnsi="Lato"/>
          <w:i/>
          <w:iCs/>
          <w:szCs w:val="21"/>
          <w:lang w:val="pl-PL"/>
        </w:rPr>
        <w:t>.</w:t>
      </w:r>
      <w:r>
        <w:rPr>
          <w:rFonts w:cs="Lato" w:ascii="Lato" w:hAnsi="Lato"/>
          <w:szCs w:val="21"/>
          <w:lang w:val="pl-PL"/>
        </w:rPr>
        <w:t xml:space="preserve"> </w:t>
      </w:r>
    </w:p>
    <w:p>
      <w:pPr>
        <w:pStyle w:val="Normal"/>
        <w:spacing w:lineRule="auto" w:line="240" w:before="0" w:after="113"/>
        <w:ind w:hanging="10" w:left="287" w:right="13"/>
        <w:rPr>
          <w:szCs w:val="21"/>
        </w:rPr>
      </w:pPr>
      <w:r>
        <w:rPr>
          <w:rFonts w:cs="Lato" w:ascii="Lato" w:hAnsi="Lato"/>
          <w:szCs w:val="21"/>
          <w:lang w:val="pl-PL"/>
        </w:rPr>
        <w:t>2. Bieg terminu związania ofertą rozpoczyna się wraz z upływem terminu składania ofert.</w:t>
      </w:r>
    </w:p>
    <w:p>
      <w:pPr>
        <w:pStyle w:val="Normal"/>
        <w:spacing w:lineRule="auto" w:line="240" w:before="0" w:after="113"/>
        <w:ind w:hanging="10" w:left="287" w:right="13"/>
        <w:rPr>
          <w:rFonts w:ascii="Lato" w:hAnsi="Lato" w:cs="Lato"/>
          <w:szCs w:val="21"/>
          <w:lang w:val="pl-PL"/>
        </w:rPr>
      </w:pPr>
      <w:r>
        <w:rPr>
          <w:rFonts w:cs="Lato" w:ascii="Lato" w:hAnsi="Lato"/>
          <w:szCs w:val="21"/>
          <w:lang w:val="pl-PL"/>
        </w:rPr>
        <w:t xml:space="preserve">3. W przypadku, gdy wybór najkorzystniejszej oferty nie nastąpi przed upływem terminu związania ofertą określonego w SWZ, Zamawiający przed upływem terminu związania ofertą może zwrócić się jednokrotnie do Wykonawców o wyrażenie zgody na przedłużenie tego terminu o wskazywany przez niego okres, nie dłuższy niż 60 dni. </w:t>
      </w:r>
    </w:p>
    <w:p>
      <w:pPr>
        <w:pStyle w:val="Normal"/>
        <w:spacing w:lineRule="auto" w:line="240" w:before="0" w:after="113"/>
        <w:ind w:hanging="0" w:left="278" w:right="13"/>
        <w:jc w:val="center"/>
        <w:rPr>
          <w:szCs w:val="21"/>
        </w:rPr>
      </w:pPr>
      <w:r>
        <w:rPr>
          <w:rFonts w:cs="Lato" w:ascii="Lato" w:hAnsi="Lato"/>
          <w:b/>
          <w:szCs w:val="21"/>
          <w:lang w:val="pl-PL"/>
        </w:rPr>
        <w:t xml:space="preserve">ROZDZIAŁ IX   </w:t>
      </w:r>
    </w:p>
    <w:p>
      <w:pPr>
        <w:pStyle w:val="Normal"/>
        <w:spacing w:lineRule="auto" w:line="240" w:before="0" w:after="113"/>
        <w:ind w:hanging="0" w:left="265" w:right="0"/>
        <w:jc w:val="left"/>
        <w:rPr>
          <w:szCs w:val="21"/>
        </w:rPr>
      </w:pPr>
      <w:r>
        <w:rPr>
          <w:rFonts w:cs="Lato" w:ascii="Lato" w:hAnsi="Lato"/>
          <w:b/>
          <w:szCs w:val="21"/>
          <w:lang w:val="pl-PL"/>
        </w:rPr>
        <w:t>Opis sposobu przygotowania ofert:</w:t>
      </w:r>
    </w:p>
    <w:p>
      <w:pPr>
        <w:pStyle w:val="Normal"/>
        <w:spacing w:lineRule="auto" w:line="240" w:before="0" w:after="113"/>
        <w:ind w:hanging="0" w:left="0" w:right="0"/>
        <w:rPr>
          <w:szCs w:val="21"/>
        </w:rPr>
      </w:pPr>
      <w:r>
        <w:rPr>
          <w:rFonts w:eastAsia="Times New Roman" w:cs="Lato" w:ascii="Lato" w:hAnsi="Lato"/>
          <w:color w:val="auto"/>
          <w:szCs w:val="21"/>
          <w:lang w:val="pl-PL"/>
        </w:rPr>
        <w:t xml:space="preserve">Na ofertę składają się: </w:t>
      </w:r>
    </w:p>
    <w:p>
      <w:pPr>
        <w:pStyle w:val="Normal"/>
        <w:numPr>
          <w:ilvl w:val="0"/>
          <w:numId w:val="5"/>
        </w:numPr>
        <w:spacing w:lineRule="auto" w:line="240" w:before="0" w:after="113"/>
        <w:ind w:hanging="340" w:left="680" w:right="0"/>
        <w:rPr/>
      </w:pPr>
      <w:r>
        <w:rPr>
          <w:rFonts w:cs="Lato" w:ascii="Lato" w:hAnsi="Lato"/>
          <w:color w:val="auto"/>
          <w:szCs w:val="21"/>
          <w:lang w:val="pl-PL"/>
        </w:rPr>
        <w:t xml:space="preserve">Wypełniony formularz ofertowy – </w:t>
      </w:r>
      <w:r>
        <w:rPr>
          <w:rFonts w:cs="Lato" w:ascii="Lato" w:hAnsi="Lato"/>
          <w:b/>
          <w:bCs/>
          <w:color w:val="auto"/>
          <w:szCs w:val="21"/>
          <w:lang w:val="pl-PL"/>
        </w:rPr>
        <w:t>załącznik nr 1</w:t>
      </w:r>
      <w:r>
        <w:rPr>
          <w:rFonts w:cs="Lato" w:ascii="Lato" w:hAnsi="Lato"/>
          <w:color w:val="auto"/>
          <w:szCs w:val="21"/>
          <w:lang w:val="pl-PL"/>
        </w:rPr>
        <w:t xml:space="preserve"> do SWZ.</w:t>
      </w:r>
    </w:p>
    <w:p>
      <w:pPr>
        <w:pStyle w:val="Normal"/>
        <w:numPr>
          <w:ilvl w:val="0"/>
          <w:numId w:val="5"/>
        </w:numPr>
        <w:spacing w:lineRule="auto" w:line="240" w:before="0" w:after="113"/>
        <w:ind w:hanging="340" w:left="680" w:right="0"/>
        <w:rPr/>
      </w:pPr>
      <w:r>
        <w:rPr>
          <w:rFonts w:cs="Lato" w:ascii="Lato" w:hAnsi="Lato"/>
          <w:color w:val="auto"/>
          <w:szCs w:val="21"/>
          <w:lang w:val="pl-PL"/>
        </w:rPr>
        <w:t xml:space="preserve">Wypełniony  formularz asortymentowo-cenowy w/g </w:t>
      </w:r>
      <w:r>
        <w:rPr>
          <w:rFonts w:cs="Lato" w:ascii="Lato" w:hAnsi="Lato"/>
          <w:b/>
          <w:bCs/>
          <w:color w:val="auto"/>
          <w:szCs w:val="21"/>
          <w:lang w:val="pl-PL"/>
        </w:rPr>
        <w:t>załącznika nr 1A - 1H,</w:t>
      </w:r>
    </w:p>
    <w:p>
      <w:pPr>
        <w:pStyle w:val="Normal"/>
        <w:numPr>
          <w:ilvl w:val="0"/>
          <w:numId w:val="5"/>
        </w:numPr>
        <w:spacing w:lineRule="auto" w:line="240" w:before="0" w:after="113"/>
        <w:ind w:hanging="340" w:left="680" w:right="0"/>
        <w:rPr/>
      </w:pPr>
      <w:r>
        <w:rPr>
          <w:rFonts w:cs="Lato" w:ascii="Lato" w:hAnsi="Lato"/>
          <w:color w:val="auto"/>
          <w:szCs w:val="21"/>
          <w:lang w:val="pl-PL"/>
        </w:rPr>
        <w:t xml:space="preserve">Oświadczenie o spełnieniu warunków udziału w postępowaniu - </w:t>
      </w:r>
      <w:r>
        <w:rPr>
          <w:rFonts w:cs="Lato" w:ascii="Lato" w:hAnsi="Lato"/>
          <w:b/>
          <w:bCs/>
          <w:color w:val="auto"/>
          <w:szCs w:val="21"/>
          <w:lang w:val="pl-PL"/>
        </w:rPr>
        <w:t>wg załącznika nr 2</w:t>
      </w:r>
      <w:r>
        <w:rPr>
          <w:rFonts w:cs="Lato" w:ascii="Lato" w:hAnsi="Lato"/>
          <w:color w:val="auto"/>
          <w:szCs w:val="21"/>
          <w:lang w:val="pl-PL"/>
        </w:rPr>
        <w:t xml:space="preserve"> do SWZ,</w:t>
      </w:r>
    </w:p>
    <w:p>
      <w:pPr>
        <w:pStyle w:val="Normal"/>
        <w:numPr>
          <w:ilvl w:val="0"/>
          <w:numId w:val="5"/>
        </w:numPr>
        <w:spacing w:lineRule="auto" w:line="240" w:before="0" w:after="113"/>
        <w:ind w:hanging="340" w:left="680" w:right="0"/>
        <w:rPr/>
      </w:pPr>
      <w:r>
        <w:rPr>
          <w:rFonts w:cs="Lato" w:ascii="Lato" w:hAnsi="Lato"/>
          <w:color w:val="auto"/>
          <w:szCs w:val="21"/>
          <w:lang w:val="pl-PL"/>
        </w:rPr>
        <w:t xml:space="preserve">Oświadczenie wykonawcy o braku podstaw do wykluczenia z postępowania - </w:t>
      </w:r>
      <w:r>
        <w:rPr>
          <w:rFonts w:cs="Lato" w:ascii="Lato" w:hAnsi="Lato"/>
          <w:b/>
          <w:bCs/>
          <w:color w:val="auto"/>
          <w:szCs w:val="21"/>
          <w:lang w:val="pl-PL"/>
        </w:rPr>
        <w:t>wg załącznika nr 3</w:t>
      </w:r>
      <w:r>
        <w:rPr>
          <w:rFonts w:cs="Lato" w:ascii="Lato" w:hAnsi="Lato"/>
          <w:color w:val="auto"/>
          <w:szCs w:val="21"/>
          <w:lang w:val="pl-PL"/>
        </w:rPr>
        <w:t xml:space="preserve"> do SWZ,</w:t>
      </w:r>
    </w:p>
    <w:p>
      <w:pPr>
        <w:pStyle w:val="Normal"/>
        <w:numPr>
          <w:ilvl w:val="0"/>
          <w:numId w:val="5"/>
        </w:numPr>
        <w:spacing w:lineRule="auto" w:line="240" w:before="0" w:after="113"/>
        <w:ind w:hanging="340" w:left="680" w:right="0"/>
        <w:rPr/>
      </w:pPr>
      <w:r>
        <w:rPr>
          <w:rFonts w:cs="Lato" w:ascii="Lato" w:hAnsi="Lato"/>
          <w:color w:val="auto"/>
          <w:szCs w:val="21"/>
          <w:lang w:val="pl-PL"/>
        </w:rPr>
        <w:t>Dokument, z którego wynika upoważnienie Wykonawcy do podpisania oferty lub pełnomocnictwo do reprezentowania wykonawcy,</w:t>
      </w:r>
      <w:r>
        <w:rPr>
          <w:rFonts w:cs="Lato" w:ascii="Lato" w:hAnsi="Lato"/>
          <w:color w:val="auto"/>
          <w:szCs w:val="21"/>
          <w:u w:val="single"/>
          <w:lang w:val="pl-PL"/>
        </w:rPr>
        <w:t xml:space="preserve"> o ile ofertę składa pełnomocnik.</w:t>
      </w:r>
    </w:p>
    <w:p>
      <w:pPr>
        <w:pStyle w:val="Normal"/>
        <w:numPr>
          <w:ilvl w:val="0"/>
          <w:numId w:val="5"/>
        </w:numPr>
        <w:spacing w:lineRule="auto" w:line="240" w:before="0" w:after="113"/>
        <w:ind w:hanging="340" w:left="680" w:right="0"/>
        <w:rPr/>
      </w:pPr>
      <w:r>
        <w:rPr>
          <w:rFonts w:cs="Lato" w:ascii="Lato" w:hAnsi="Lato"/>
          <w:color w:val="auto"/>
          <w:szCs w:val="21"/>
          <w:lang w:val="pl-PL"/>
        </w:rPr>
        <w:t xml:space="preserve">Oświadczenie wykonawcy, w zakresie art. 108 ust. 1 pkt 5 ustawy PZP, o braku przynależności do tej samej grupy kapitałowej, w rozumieniu ustawy z dnia 16 lutego 2007 r. o ochronie konkurencji i konsumentów (DZ.U. z 2019 r. poz. 369) z innym Wykonawcą, który złożył odrębną ofertę – </w:t>
      </w:r>
      <w:r>
        <w:rPr>
          <w:rFonts w:cs="Lato" w:ascii="Lato" w:hAnsi="Lato"/>
          <w:b/>
          <w:color w:val="auto"/>
          <w:szCs w:val="21"/>
          <w:lang w:val="pl-PL"/>
        </w:rPr>
        <w:t>wg Załącznika nr</w:t>
      </w:r>
      <w:r>
        <w:rPr>
          <w:rFonts w:cs="Lato" w:ascii="Lato" w:hAnsi="Lato"/>
          <w:color w:val="auto"/>
          <w:szCs w:val="21"/>
          <w:lang w:val="pl-PL"/>
        </w:rPr>
        <w:t xml:space="preserve"> </w:t>
      </w:r>
      <w:r>
        <w:rPr>
          <w:rFonts w:cs="Lato" w:ascii="Lato" w:hAnsi="Lato"/>
          <w:b/>
          <w:color w:val="auto"/>
          <w:szCs w:val="21"/>
          <w:lang w:val="pl-PL"/>
        </w:rPr>
        <w:t xml:space="preserve">4 </w:t>
      </w:r>
      <w:r>
        <w:rPr>
          <w:rFonts w:cs="Lato" w:ascii="Lato" w:hAnsi="Lato"/>
          <w:color w:val="auto"/>
          <w:szCs w:val="21"/>
          <w:lang w:val="pl-PL"/>
        </w:rPr>
        <w:t xml:space="preserve">do SWZ – </w:t>
      </w:r>
      <w:r>
        <w:rPr>
          <w:rFonts w:cs="Lato" w:ascii="Lato" w:hAnsi="Lato"/>
          <w:b/>
          <w:bCs/>
          <w:color w:val="auto"/>
          <w:szCs w:val="21"/>
          <w:lang w:val="pl-PL"/>
        </w:rPr>
        <w:t>Wybrany Wykonawca – na żądanie Zamawiającego.</w:t>
      </w:r>
    </w:p>
    <w:p>
      <w:pPr>
        <w:pStyle w:val="Normal"/>
        <w:numPr>
          <w:ilvl w:val="0"/>
          <w:numId w:val="5"/>
        </w:numPr>
        <w:spacing w:lineRule="auto" w:line="240" w:before="0" w:after="113"/>
        <w:ind w:hanging="340" w:left="680" w:right="0"/>
        <w:rPr/>
      </w:pPr>
      <w:r>
        <w:rPr>
          <w:rFonts w:cs="Lato" w:ascii="Lato" w:hAnsi="Lato"/>
          <w:color w:val="auto"/>
          <w:szCs w:val="21"/>
          <w:lang w:val="pl-PL"/>
        </w:rPr>
        <w:t>Każdy Wykonawca może złożyć tylko jedną ofertę. Wykonawca, który przedłoży więcej niż jedną ofertę  zostanie wykluczony z postępowania.</w:t>
      </w:r>
    </w:p>
    <w:p>
      <w:pPr>
        <w:pStyle w:val="Normal"/>
        <w:numPr>
          <w:ilvl w:val="0"/>
          <w:numId w:val="5"/>
        </w:numPr>
        <w:spacing w:lineRule="auto" w:line="240" w:before="0" w:after="113"/>
        <w:ind w:hanging="340" w:left="680" w:right="0"/>
        <w:rPr/>
      </w:pPr>
      <w:r>
        <w:rPr>
          <w:rFonts w:cs="Lato" w:ascii="Lato" w:hAnsi="Lato"/>
          <w:color w:val="auto"/>
          <w:szCs w:val="21"/>
          <w:lang w:val="pl-PL"/>
        </w:rPr>
        <w:t>Oferta musi być sporządzona w formie pisemnej w języku polskim, czytelnie w sposób trwały oraz podpisana (w</w:t>
      </w:r>
      <w:r>
        <w:rPr>
          <w:rFonts w:eastAsia="Open Sans" w:cs="Lato" w:ascii="Lato" w:hAnsi="Lato"/>
          <w:color w:val="auto"/>
          <w:szCs w:val="21"/>
          <w:lang w:val="pl-PL"/>
        </w:rPr>
        <w:t>ymagany kwalifikowany podpis elektroniczny lub podpis zaufany lub podpis osobisty)</w:t>
      </w:r>
      <w:r>
        <w:rPr>
          <w:rFonts w:cs="Lato" w:ascii="Lato" w:hAnsi="Lato"/>
          <w:color w:val="auto"/>
          <w:szCs w:val="21"/>
          <w:lang w:val="pl-PL"/>
        </w:rPr>
        <w:t xml:space="preserve"> przez osobę upoważnioną do reprezentowania firmy na zewnątrz (zgodnie z postanowieniami aktualnego rejestru handlowego, wpisu do ewidencji działalności gospodarczej) lub osobę legitymującą się pełnomocnictwem udzielonym przez tą osobę - w takim przypadku do oferty należy dołączyć pełnomocnictwo.</w:t>
      </w:r>
    </w:p>
    <w:p>
      <w:pPr>
        <w:pStyle w:val="Normal"/>
        <w:numPr>
          <w:ilvl w:val="0"/>
          <w:numId w:val="5"/>
        </w:numPr>
        <w:spacing w:lineRule="auto" w:line="240" w:before="0" w:after="113"/>
        <w:ind w:hanging="340" w:left="680" w:right="0"/>
        <w:rPr>
          <w:rFonts w:ascii="Lato" w:hAnsi="Lato"/>
        </w:rPr>
      </w:pPr>
      <w:r>
        <w:rPr>
          <w:rFonts w:cs="Lato" w:ascii="Lato" w:hAnsi="Lato"/>
          <w:color w:val="auto"/>
          <w:szCs w:val="21"/>
          <w:lang w:val="pl-PL" w:bidi="ar-SA"/>
        </w:rPr>
        <w:t>Wykonawca poniesie wszystkie koszty związane z przygotowaniem oferty.</w:t>
      </w:r>
    </w:p>
    <w:p>
      <w:pPr>
        <w:pStyle w:val="Normal"/>
        <w:numPr>
          <w:ilvl w:val="0"/>
          <w:numId w:val="5"/>
        </w:numPr>
        <w:spacing w:lineRule="auto" w:line="240" w:before="0" w:after="113"/>
        <w:ind w:hanging="340" w:left="680" w:right="0"/>
        <w:rPr>
          <w:rFonts w:ascii="Lato" w:hAnsi="Lato"/>
        </w:rPr>
      </w:pPr>
      <w:r>
        <w:rPr>
          <w:rFonts w:cs="Lato" w:ascii="Lato" w:hAnsi="Lato"/>
          <w:color w:val="auto"/>
          <w:szCs w:val="21"/>
          <w:lang w:val="pl-PL" w:bidi="ar-SA"/>
        </w:rPr>
        <w:t xml:space="preserve">Wykonawca składa ofertę za pośrednictwem platformy e-Zamówienia. </w:t>
      </w:r>
    </w:p>
    <w:p>
      <w:pPr>
        <w:pStyle w:val="Normal"/>
        <w:numPr>
          <w:ilvl w:val="0"/>
          <w:numId w:val="5"/>
        </w:numPr>
        <w:spacing w:lineRule="auto" w:line="240" w:before="0" w:after="113"/>
        <w:ind w:hanging="10" w:left="287" w:right="0"/>
        <w:rPr>
          <w:rFonts w:ascii="Lato" w:hAnsi="Lato"/>
        </w:rPr>
      </w:pPr>
      <w:r>
        <w:rPr>
          <w:rFonts w:ascii="Lato" w:hAnsi="Lato"/>
          <w:lang w:val="pl-PL" w:bidi="ar-SA"/>
        </w:rPr>
        <w:t>Za datę przekazania oferty, wniosków, zawiadomień przyjmuje się datę ich przekazania na platformę.</w:t>
      </w:r>
    </w:p>
    <w:p>
      <w:pPr>
        <w:pStyle w:val="Normal"/>
        <w:numPr>
          <w:ilvl w:val="0"/>
          <w:numId w:val="5"/>
        </w:numPr>
        <w:spacing w:lineRule="auto" w:line="240" w:before="0" w:after="113"/>
        <w:ind w:hanging="10" w:left="287" w:right="0"/>
        <w:rPr>
          <w:rFonts w:ascii="Lato" w:hAnsi="Lato"/>
        </w:rPr>
      </w:pPr>
      <w:r>
        <w:rPr>
          <w:rFonts w:ascii="Lato" w:hAnsi="Lato"/>
          <w:lang w:val="pl-PL" w:bidi="ar-SA"/>
        </w:rPr>
        <w:t xml:space="preserve">Wykonawca powinien pobrać „Formularz ofertowy” oraz wymagane załączniki z platformy e-Zamówienia, zapisać je na dysku komputera użytkownika, uzupełnić danymi wymaganymi przez Zamawiającego i podpisać odpowiednim rodzajem podpisu elektronicznego. </w:t>
      </w:r>
    </w:p>
    <w:p>
      <w:pPr>
        <w:pStyle w:val="Normal"/>
        <w:numPr>
          <w:ilvl w:val="0"/>
          <w:numId w:val="5"/>
        </w:numPr>
        <w:spacing w:lineRule="auto" w:line="240" w:before="0" w:after="113"/>
        <w:ind w:hanging="10" w:left="287" w:right="0"/>
        <w:rPr>
          <w:rFonts w:ascii="Lato" w:hAnsi="Lato"/>
        </w:rPr>
      </w:pPr>
      <w:r>
        <w:rPr>
          <w:rFonts w:ascii="Lato" w:hAnsi="Lato"/>
          <w:lang w:val="pl-PL" w:bidi="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pPr>
        <w:pStyle w:val="Normal"/>
        <w:numPr>
          <w:ilvl w:val="0"/>
          <w:numId w:val="5"/>
        </w:numPr>
        <w:spacing w:lineRule="auto" w:line="240" w:before="0" w:after="113"/>
        <w:ind w:hanging="340" w:left="680" w:right="0"/>
        <w:rPr>
          <w:rFonts w:ascii="Lato" w:hAnsi="Lato"/>
        </w:rPr>
      </w:pPr>
      <w:r>
        <w:rPr>
          <w:rFonts w:cs="Lato" w:ascii="Lato" w:hAnsi="Lato"/>
          <w:color w:val="auto"/>
          <w:szCs w:val="21"/>
          <w:lang w:val="pl-PL"/>
        </w:rPr>
        <w:t>Zamawiający nie dopuszcza składania ofert wariantowych.</w:t>
      </w:r>
    </w:p>
    <w:p>
      <w:pPr>
        <w:pStyle w:val="Normal"/>
        <w:numPr>
          <w:ilvl w:val="0"/>
          <w:numId w:val="5"/>
        </w:numPr>
        <w:spacing w:lineRule="auto" w:line="240" w:before="0" w:after="113"/>
        <w:ind w:hanging="340" w:left="680" w:right="0"/>
        <w:rPr>
          <w:rFonts w:ascii="Lato" w:hAnsi="Lato"/>
        </w:rPr>
      </w:pPr>
      <w:r>
        <w:rPr>
          <w:rFonts w:cs="Lato" w:ascii="Lato" w:hAnsi="Lato"/>
          <w:color w:val="auto"/>
          <w:szCs w:val="21"/>
          <w:lang w:val="pl-PL"/>
        </w:rPr>
        <w:t>Zamawiający nie przewiduje przeprowadzenia aukcji elektronicznej.</w:t>
      </w:r>
    </w:p>
    <w:p>
      <w:pPr>
        <w:pStyle w:val="Normal"/>
        <w:numPr>
          <w:ilvl w:val="0"/>
          <w:numId w:val="5"/>
        </w:numPr>
        <w:spacing w:lineRule="auto" w:line="240" w:before="0" w:after="113"/>
        <w:ind w:hanging="340" w:left="680" w:right="0"/>
        <w:rPr>
          <w:rFonts w:ascii="Lato" w:hAnsi="Lato"/>
        </w:rPr>
      </w:pPr>
      <w:r>
        <w:rPr>
          <w:rFonts w:cs="Lato" w:ascii="Lato" w:hAnsi="Lato"/>
          <w:color w:val="auto"/>
          <w:szCs w:val="21"/>
          <w:lang w:val="pl-PL"/>
        </w:rPr>
        <w:t>Wykonawca nie może wycofać oferty ani wprowadzać jakichkolwiek zmian w treści oferty po upływie terminu składania ofert.</w:t>
      </w:r>
    </w:p>
    <w:p>
      <w:pPr>
        <w:pStyle w:val="Normal"/>
        <w:numPr>
          <w:ilvl w:val="0"/>
          <w:numId w:val="5"/>
        </w:numPr>
        <w:spacing w:lineRule="auto" w:line="240" w:before="0" w:after="113"/>
        <w:ind w:hanging="10" w:left="287" w:right="0"/>
        <w:rPr>
          <w:rFonts w:ascii="Lato" w:hAnsi="Lato"/>
        </w:rPr>
      </w:pPr>
      <w:r>
        <w:rPr>
          <w:rFonts w:eastAsia="Lato" w:cs="Lato" w:ascii="Lato" w:hAnsi="Lato"/>
          <w:color w:val="auto"/>
          <w:szCs w:val="21"/>
          <w:lang w:val="pl-PL"/>
        </w:rPr>
        <w:t>Oferty są jawne od chwili ich otwarcia, z wyjątkiem informacji stanowiących tajemnicę przedsiębiorstwa w rozumieniu przepisów o zwalczaniu nieuczciwej konkurencji, jeżeli Wykonawca składając ofertę zastrzegł w odniesieniu do tych informacji, że nie mogą być one ogólnie udostępnione.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pPr>
        <w:pStyle w:val="Normal"/>
        <w:widowControl/>
        <w:numPr>
          <w:ilvl w:val="0"/>
          <w:numId w:val="5"/>
        </w:numPr>
        <w:suppressAutoHyphens w:val="true"/>
        <w:bidi w:val="0"/>
        <w:spacing w:lineRule="auto" w:line="240" w:before="0" w:after="113"/>
        <w:ind w:hanging="0" w:left="340" w:right="0"/>
        <w:jc w:val="both"/>
        <w:rPr>
          <w:rFonts w:ascii="Lato" w:hAnsi="Lato"/>
        </w:rPr>
      </w:pPr>
      <w:r>
        <w:rPr>
          <w:rFonts w:cs="Lato" w:ascii="Lato" w:hAnsi="Lato"/>
          <w:color w:val="auto"/>
          <w:szCs w:val="21"/>
          <w:lang w:val="pl-PL"/>
        </w:rPr>
        <w:t>W toku badania i oceny ofert Zamawiający może żądać od Wykonawców wyjaśnień dotyczących treści złożonych ofert. Niedopuszczalne jest prowadzenie między Zamawiającym, a Wykonawcą negocjacji dotyczących złożonej oferty lub dokonywanie zmiany w jej treści.</w:t>
      </w:r>
    </w:p>
    <w:p>
      <w:pPr>
        <w:pStyle w:val="Normal"/>
        <w:widowControl/>
        <w:numPr>
          <w:ilvl w:val="0"/>
          <w:numId w:val="5"/>
        </w:numPr>
        <w:suppressAutoHyphens w:val="true"/>
        <w:bidi w:val="0"/>
        <w:spacing w:lineRule="auto" w:line="240" w:before="0" w:after="113"/>
        <w:ind w:hanging="0" w:left="340" w:right="0"/>
        <w:jc w:val="both"/>
        <w:rPr>
          <w:rFonts w:ascii="Lato" w:hAnsi="Lato"/>
        </w:rPr>
      </w:pPr>
      <w:r>
        <w:rPr>
          <w:rFonts w:cs="Lato" w:ascii="Lato" w:hAnsi="Lato"/>
          <w:color w:val="auto"/>
          <w:szCs w:val="21"/>
          <w:lang w:val="pl-PL"/>
        </w:rPr>
        <w:t>Zamawiający poprawi oczywiste omyłki pisarskie, oczywiste omyłki rachunkowe z uwzględnieniem konsekwencji rachunkowych dokonanych poprawek, inne omyłki polegające na niezgodności oferty z SWZ, niepowodujące istotnych zmian w treści oferty niezwłocznie zawiadamiając o tym Wykonawcę, którego oferta została poprawiona. Oferta Wykonawcy, który w ciągu 3 dni od dnia otrzymania zawiadomienia nie zgodzi się na poprawienie omyłki, o której mowa w art. 223 ust. 2, zostanie odrzucona.</w:t>
      </w:r>
    </w:p>
    <w:p>
      <w:pPr>
        <w:pStyle w:val="Normal"/>
        <w:widowControl/>
        <w:numPr>
          <w:ilvl w:val="0"/>
          <w:numId w:val="5"/>
        </w:numPr>
        <w:suppressAutoHyphens w:val="true"/>
        <w:bidi w:val="0"/>
        <w:spacing w:lineRule="auto" w:line="240" w:before="0" w:after="113"/>
        <w:ind w:hanging="0" w:left="340" w:right="0"/>
        <w:jc w:val="both"/>
        <w:rPr>
          <w:rFonts w:ascii="Lato" w:hAnsi="Lato"/>
        </w:rPr>
      </w:pPr>
      <w:r>
        <w:rPr>
          <w:rFonts w:cs="Lato" w:ascii="Lato" w:hAnsi="Lato"/>
          <w:color w:val="auto"/>
          <w:szCs w:val="21"/>
          <w:lang w:val="pl-PL"/>
        </w:rPr>
        <w:t>Zamawiający w celu ustalenia, czy oferta zawiera rażąco niską cenę w stosunku do przedmiotu zamówienia zgodnie z art. 224 ust.1 ustawy, zwróci się do Wykonawcy o udzielenie w określonym terminie wyjaśnień dotyczących elementów oferty, które mają wpływ na wysokość ceny.</w:t>
      </w:r>
    </w:p>
    <w:p>
      <w:pPr>
        <w:pStyle w:val="Normal"/>
        <w:widowControl/>
        <w:numPr>
          <w:ilvl w:val="0"/>
          <w:numId w:val="5"/>
        </w:numPr>
        <w:suppressAutoHyphens w:val="true"/>
        <w:bidi w:val="0"/>
        <w:spacing w:lineRule="auto" w:line="240" w:before="0" w:after="113"/>
        <w:ind w:hanging="0" w:left="340" w:right="0"/>
        <w:jc w:val="both"/>
        <w:rPr>
          <w:rFonts w:ascii="Lato" w:hAnsi="Lato"/>
        </w:rPr>
      </w:pPr>
      <w:r>
        <w:rPr>
          <w:rFonts w:eastAsia="Lato" w:cs="Lato" w:ascii="Lato" w:hAnsi="Lato"/>
          <w:color w:val="auto"/>
          <w:szCs w:val="21"/>
          <w:lang w:val="pl-PL"/>
        </w:rPr>
        <w:t>Zamawiający odrzuci ofertę na podstawie art. 226 ust.1 ustawy.</w:t>
      </w:r>
    </w:p>
    <w:p>
      <w:pPr>
        <w:pStyle w:val="Normal"/>
        <w:spacing w:lineRule="auto" w:line="240" w:before="0" w:after="113"/>
        <w:ind w:hanging="0" w:left="278" w:right="0"/>
        <w:jc w:val="center"/>
        <w:rPr>
          <w:szCs w:val="21"/>
        </w:rPr>
      </w:pPr>
      <w:r>
        <w:rPr>
          <w:rFonts w:cs="Lato" w:ascii="Lato" w:hAnsi="Lato"/>
          <w:b/>
          <w:szCs w:val="21"/>
          <w:lang w:val="pl-PL"/>
        </w:rPr>
        <w:t>ROZDZIAŁ X</w:t>
      </w:r>
    </w:p>
    <w:p>
      <w:pPr>
        <w:pStyle w:val="Normal"/>
        <w:spacing w:lineRule="auto" w:line="240" w:before="0" w:after="113"/>
        <w:ind w:hanging="10" w:left="275" w:right="0"/>
        <w:jc w:val="left"/>
        <w:rPr>
          <w:szCs w:val="21"/>
        </w:rPr>
      </w:pPr>
      <w:r>
        <w:rPr>
          <w:rFonts w:cs="Lato" w:ascii="Lato" w:hAnsi="Lato"/>
          <w:b/>
          <w:szCs w:val="21"/>
          <w:lang w:val="pl-PL"/>
        </w:rPr>
        <w:t>Termin składania ofert.</w:t>
      </w:r>
    </w:p>
    <w:p>
      <w:pPr>
        <w:pStyle w:val="Normal"/>
        <w:spacing w:lineRule="auto" w:line="240" w:before="0" w:after="113"/>
        <w:ind w:hanging="10" w:left="263" w:right="0"/>
        <w:rPr>
          <w:szCs w:val="21"/>
        </w:rPr>
      </w:pPr>
      <w:r>
        <w:rPr>
          <w:rFonts w:cs="Lato" w:ascii="Lato" w:hAnsi="Lato"/>
          <w:color w:val="auto"/>
          <w:szCs w:val="21"/>
          <w:lang w:val="pl-PL"/>
        </w:rPr>
        <w:t>07.09.2026 godzina 9:00</w:t>
      </w:r>
    </w:p>
    <w:p>
      <w:pPr>
        <w:pStyle w:val="Normal"/>
        <w:spacing w:lineRule="auto" w:line="240" w:before="0" w:after="113"/>
        <w:ind w:hanging="11" w:left="261" w:right="0"/>
        <w:rPr>
          <w:szCs w:val="21"/>
        </w:rPr>
      </w:pPr>
      <w:r>
        <w:rPr>
          <w:rFonts w:cs="Lato" w:ascii="Lato" w:hAnsi="Lato"/>
          <w:b/>
          <w:szCs w:val="21"/>
          <w:lang w:val="pl-PL"/>
        </w:rPr>
        <w:t>Miejsce i termin otwarcia ofert</w:t>
      </w:r>
      <w:r>
        <w:rPr>
          <w:rFonts w:eastAsia="Times New Roman" w:cs="Lato" w:ascii="Lato" w:hAnsi="Lato"/>
          <w:szCs w:val="21"/>
          <w:lang w:val="pl-PL"/>
        </w:rPr>
        <w:t xml:space="preserve"> </w:t>
      </w:r>
    </w:p>
    <w:p>
      <w:pPr>
        <w:pStyle w:val="Normal"/>
        <w:spacing w:lineRule="auto" w:line="240" w:before="0" w:after="113"/>
        <w:ind w:hanging="11" w:left="261" w:right="0"/>
        <w:rPr>
          <w:szCs w:val="21"/>
        </w:rPr>
      </w:pPr>
      <w:r>
        <w:rPr>
          <w:rFonts w:eastAsia="Times New Roman" w:cs="Lato" w:ascii="Lato" w:hAnsi="Lato"/>
          <w:color w:val="auto"/>
          <w:szCs w:val="21"/>
          <w:lang w:val="pl-PL"/>
        </w:rPr>
        <w:t>07.09.2026 godzina 09:15 Dom Pomocy Społecznej, ul. Babińskiego 25, Kraków; pokój 127</w:t>
      </w:r>
    </w:p>
    <w:p>
      <w:pPr>
        <w:pStyle w:val="Normal"/>
        <w:spacing w:lineRule="auto" w:line="240" w:before="0" w:after="113"/>
        <w:ind w:hanging="0" w:left="287" w:right="13"/>
        <w:rPr>
          <w:szCs w:val="21"/>
        </w:rPr>
      </w:pPr>
      <w:r>
        <w:rPr>
          <w:rFonts w:cs="Lato" w:ascii="Lato" w:hAnsi="Lato"/>
          <w:szCs w:val="21"/>
          <w:lang w:val="pl-PL"/>
        </w:rPr>
        <w:t>1. Zamawiający na podstawie art. 222 ust. 4 ustawy prawo zamówień publicznych zamieści na stronie portalu E-Zamówienia informacje dotyczącą kwoty, jaką zamierza przeznaczyć na sfinansowanie zamówienia.</w:t>
      </w:r>
    </w:p>
    <w:p>
      <w:pPr>
        <w:pStyle w:val="Normal"/>
        <w:spacing w:lineRule="auto" w:line="240" w:before="0" w:after="113"/>
        <w:ind w:hanging="0" w:left="287" w:right="13"/>
        <w:rPr>
          <w:szCs w:val="21"/>
        </w:rPr>
      </w:pPr>
      <w:r>
        <w:rPr>
          <w:rFonts w:cs="Lato" w:ascii="Lato" w:hAnsi="Lato"/>
          <w:szCs w:val="21"/>
          <w:lang w:val="pl-PL"/>
        </w:rPr>
        <w:t xml:space="preserve">2. Zamawiający na podstawie art. 222 ust. 5 ustawy prawo zamówień publicznych zamieści na stronie    internetowej prowadzącego postępowanie informacje dotyczącą </w:t>
      </w:r>
    </w:p>
    <w:p>
      <w:pPr>
        <w:pStyle w:val="Normal"/>
        <w:spacing w:lineRule="auto" w:line="240" w:before="0" w:after="113"/>
        <w:ind w:hanging="0" w:left="776" w:right="0"/>
        <w:rPr>
          <w:szCs w:val="21"/>
        </w:rPr>
      </w:pPr>
      <w:r>
        <w:rPr>
          <w:rFonts w:cs="Lato" w:ascii="Lato" w:hAnsi="Lato"/>
          <w:szCs w:val="21"/>
          <w:lang w:val="pl-PL"/>
        </w:rPr>
        <w:t>1) firm oraz adresów wykonawców, których oferty zostały otwarte;</w:t>
      </w:r>
    </w:p>
    <w:p>
      <w:pPr>
        <w:pStyle w:val="Normal"/>
        <w:spacing w:lineRule="auto" w:line="240" w:before="0" w:after="113"/>
        <w:ind w:hanging="0" w:left="776" w:right="0"/>
        <w:rPr>
          <w:szCs w:val="21"/>
        </w:rPr>
      </w:pPr>
      <w:r>
        <w:rPr>
          <w:rFonts w:cs="Lato" w:ascii="Lato" w:hAnsi="Lato"/>
          <w:szCs w:val="21"/>
          <w:lang w:val="pl-PL"/>
        </w:rPr>
        <w:t>2) ceny lub kosztu zawartej w ofertach.</w:t>
      </w:r>
    </w:p>
    <w:p>
      <w:pPr>
        <w:pStyle w:val="Normal"/>
        <w:spacing w:lineRule="auto" w:line="240" w:before="0" w:after="113"/>
        <w:ind w:hanging="0" w:left="278" w:right="0"/>
        <w:jc w:val="center"/>
        <w:rPr>
          <w:szCs w:val="21"/>
        </w:rPr>
      </w:pPr>
      <w:r>
        <w:rPr>
          <w:szCs w:val="21"/>
        </w:rPr>
      </w:r>
    </w:p>
    <w:p>
      <w:pPr>
        <w:pStyle w:val="Normal"/>
        <w:spacing w:lineRule="auto" w:line="240" w:before="0" w:after="113"/>
        <w:ind w:hanging="0" w:left="278" w:right="0"/>
        <w:jc w:val="center"/>
        <w:rPr>
          <w:szCs w:val="21"/>
        </w:rPr>
      </w:pPr>
      <w:r>
        <w:rPr>
          <w:szCs w:val="21"/>
        </w:rPr>
      </w:r>
    </w:p>
    <w:p>
      <w:pPr>
        <w:pStyle w:val="Normal"/>
        <w:spacing w:lineRule="auto" w:line="240" w:before="0" w:after="113"/>
        <w:ind w:hanging="0" w:left="278" w:right="0"/>
        <w:jc w:val="center"/>
        <w:rPr>
          <w:szCs w:val="21"/>
        </w:rPr>
      </w:pPr>
      <w:r>
        <w:rPr>
          <w:rFonts w:cs="Lato" w:ascii="Lato" w:hAnsi="Lato"/>
          <w:b/>
          <w:szCs w:val="21"/>
          <w:lang w:val="pl-PL"/>
        </w:rPr>
        <w:t>ROZDZIAŁ XI</w:t>
      </w:r>
    </w:p>
    <w:p>
      <w:pPr>
        <w:pStyle w:val="Normal"/>
        <w:spacing w:lineRule="auto" w:line="240" w:before="0" w:after="113"/>
        <w:ind w:hanging="10" w:left="275" w:right="0"/>
        <w:jc w:val="left"/>
        <w:rPr>
          <w:szCs w:val="21"/>
        </w:rPr>
      </w:pPr>
      <w:r>
        <w:rPr>
          <w:rFonts w:cs="Lato" w:ascii="Lato" w:hAnsi="Lato"/>
          <w:b/>
          <w:szCs w:val="21"/>
          <w:lang w:val="pl-PL"/>
        </w:rPr>
        <w:t>Opis sposobu obliczania ceny oferty:</w:t>
      </w:r>
    </w:p>
    <w:p>
      <w:pPr>
        <w:pStyle w:val="Normal"/>
        <w:spacing w:lineRule="auto" w:line="240" w:before="0" w:after="113"/>
        <w:ind w:hanging="10" w:left="287" w:right="13"/>
        <w:rPr>
          <w:szCs w:val="21"/>
        </w:rPr>
      </w:pPr>
      <w:r>
        <w:rPr>
          <w:rFonts w:cs="Lato" w:ascii="Lato" w:hAnsi="Lato"/>
          <w:szCs w:val="21"/>
          <w:lang w:val="pl-PL"/>
        </w:rPr>
        <w:t>1. Wykonawca uwzględniając wszystkie wymagania, o których mowa w niniejszej Specyfikacji powinien w cenie brutto ująć wszystkie koszty niezbędne dla prawidłowego i pełnego wykonania przedmiotu zamówienia oraz uwzględnić inne opłaty i podatki, a także ewentualne upusty i rabaty zastosowane przez Wykonawcę.</w:t>
      </w:r>
    </w:p>
    <w:p>
      <w:pPr>
        <w:pStyle w:val="Normal"/>
        <w:spacing w:lineRule="auto" w:line="240" w:before="0" w:after="113"/>
        <w:ind w:hanging="10" w:left="287" w:right="13"/>
        <w:rPr>
          <w:szCs w:val="21"/>
        </w:rPr>
      </w:pPr>
      <w:r>
        <w:rPr>
          <w:rFonts w:cs="Lato" w:ascii="Lato" w:hAnsi="Lato"/>
          <w:szCs w:val="21"/>
          <w:lang w:val="pl-PL"/>
        </w:rPr>
        <w:t xml:space="preserve">2. </w:t>
      </w:r>
      <w:r>
        <w:rPr>
          <w:rFonts w:cs="Lato" w:ascii="Lato" w:hAnsi="Lato"/>
          <w:color w:val="1C1C1C"/>
          <w:szCs w:val="21"/>
          <w:lang w:val="pl-PL"/>
        </w:rPr>
        <w:t>W przypadku kiedy oferowany artykuł produkowany jest w opakowaniach o gramaturze takiej, że ilość opakowań pomnożona przez masę netto nie jest równa ilości podanej w kolumnie 3 (w Załącznikach nr 1 A - H do SWZ kolumna 3 tabeli „ilość”),</w:t>
      </w:r>
      <w:r>
        <w:rPr>
          <w:rFonts w:cs="Lato" w:ascii="Lato" w:hAnsi="Lato"/>
          <w:b/>
          <w:color w:val="1C1C1C"/>
          <w:szCs w:val="21"/>
          <w:lang w:val="pl-PL"/>
        </w:rPr>
        <w:t xml:space="preserve"> </w:t>
      </w:r>
      <w:r>
        <w:rPr>
          <w:rFonts w:cs="Lato" w:ascii="Lato" w:hAnsi="Lato"/>
          <w:color w:val="1C1C1C"/>
          <w:szCs w:val="21"/>
          <w:lang w:val="pl-PL"/>
        </w:rPr>
        <w:t xml:space="preserve">oferent przedstawi ofertę z ilością i ceną dostosowaną do ilości określonej w kolumnie 3 (w Załącznikach nr 1 A - H do SWZ kolumna 3 tabeli „ilość”), a Zamawiający zobowiązuje się zakupić towar bez dzielenia indywidualnego opakowania w ilości większej od zawartej w kolumnie 3 (w Załącznikach nr 1 A – H do SWZ kolumna 3 tabeli „ilość”), o ile ilość ta nie będzie większa niż 1% ilości z kolumny nr 3 (w Załącznikach nr 1 A – H do SWZ kolumna 3 tabeli „ilość”). </w:t>
      </w:r>
    </w:p>
    <w:p>
      <w:pPr>
        <w:pStyle w:val="Normal"/>
        <w:spacing w:lineRule="auto" w:line="240" w:before="0" w:after="113"/>
        <w:ind w:hanging="0" w:left="287" w:right="13"/>
        <w:rPr>
          <w:szCs w:val="21"/>
        </w:rPr>
      </w:pPr>
      <w:r>
        <w:rPr>
          <w:rFonts w:cs="Lato" w:ascii="Lato" w:hAnsi="Lato"/>
          <w:b/>
          <w:szCs w:val="21"/>
          <w:lang w:val="pl-PL"/>
        </w:rPr>
        <w:t>3. Jeżeli w opisie przedmiotu zamówienia zostały wskazane znaki towarowe, patenty lub pochodzenie przedmiotu zamówienia publicznego, w domyśle, wskazaniu takiemu każdorazowo towarzyszą wyrazy „</w:t>
      </w:r>
      <w:r>
        <w:rPr>
          <w:rFonts w:cs="Lato" w:ascii="Lato" w:hAnsi="Lato"/>
          <w:b/>
          <w:szCs w:val="21"/>
          <w:u w:val="single" w:color="000000"/>
          <w:lang w:val="pl-PL"/>
        </w:rPr>
        <w:t>lub równoważny”.</w:t>
      </w:r>
      <w:r>
        <w:rPr>
          <w:rFonts w:cs="Lato" w:ascii="Lato" w:hAnsi="Lato"/>
          <w:b/>
          <w:szCs w:val="21"/>
          <w:u w:val="none" w:color="000000"/>
          <w:lang w:val="pl-PL"/>
        </w:rPr>
        <w:t xml:space="preserve"> </w:t>
      </w:r>
      <w:r>
        <w:rPr>
          <w:rFonts w:cs="Lato" w:ascii="Lato" w:hAnsi="Lato"/>
          <w:szCs w:val="21"/>
          <w:lang w:val="pl-PL"/>
        </w:rPr>
        <w:t xml:space="preserve">Zgodnie z art. 101 ust 4 ustawy PZP Zamawiający dopuszcza składanie ofert równoważnych i zastosowanie produktów równoważnych na cały asortyment stanowiący przedmiot zamówienia publicznego, tj. produktów innych producentów niż wymienione w SWZ z zastrzeżeniem, by ich minimalne parametry jakościowe były co najmniej takie same jak parametry i cechy produktów wskazanych w opisie przedmiotu zamówienia publicznego (skład, waga, gramatura itp.). W przypadku zaoferowania asortymentu równoważnego, Wykonawca jest zobowiązany wykazać, że oferowany przez niego produkt spełnia wymagania określone przez Zamawiającego. Na potwierdzenie spełniania wymagań, Wykonawca przedłoży na żądanie Zamawiającego specyfikację produktu równoważnego oferowanego przez Wykonawcę, która ma zawierać wyszczególnione cechy charakterystyczne, potwierdzające zgodność oferowanego asortymentu z asortymentem opisanym przez Zamawiającego (skład, wagę, gramaturę itp.). </w:t>
      </w:r>
    </w:p>
    <w:p>
      <w:pPr>
        <w:pStyle w:val="Normal"/>
        <w:spacing w:lineRule="auto" w:line="240" w:before="0" w:after="113"/>
        <w:ind w:hanging="362" w:left="268" w:right="13"/>
        <w:rPr>
          <w:szCs w:val="21"/>
        </w:rPr>
      </w:pPr>
      <w:r>
        <w:rPr>
          <w:rFonts w:eastAsia="Lato" w:cs="Lato" w:ascii="Lato" w:hAnsi="Lato"/>
          <w:szCs w:val="21"/>
          <w:u w:val="none" w:color="000000"/>
          <w:lang w:val="pl-PL"/>
        </w:rPr>
        <w:t xml:space="preserve">    </w:t>
      </w:r>
      <w:r>
        <w:rPr>
          <w:rFonts w:cs="Lato" w:ascii="Lato" w:hAnsi="Lato"/>
          <w:szCs w:val="21"/>
          <w:u w:val="single" w:color="000000"/>
          <w:lang w:val="pl-PL"/>
        </w:rPr>
        <w:t xml:space="preserve">UWAGA: </w:t>
      </w:r>
      <w:r>
        <w:rPr>
          <w:rFonts w:cs="Lato" w:ascii="Lato" w:hAnsi="Lato"/>
          <w:szCs w:val="21"/>
          <w:lang w:val="pl-PL"/>
        </w:rPr>
        <w:t>Jeżeli zaoferowane artykuły będą posiadały parametry gorsze od wymaganych w opisie przedmiotu zamówienia publicznego, Zamawiający odrzuci ofertę na podstawie  art. 226 ust. 1 pkt 5 ustawy PZP. Ciężar udowodnienia, że zaoferowane przez Wykonawcę artykuły odpowiadają wymaganiom wskazanym przez Zamawiającego, spoczywa na Wykonawcy.</w:t>
      </w:r>
    </w:p>
    <w:p>
      <w:pPr>
        <w:pStyle w:val="Normal"/>
        <w:numPr>
          <w:ilvl w:val="0"/>
          <w:numId w:val="9"/>
        </w:numPr>
        <w:spacing w:lineRule="auto" w:line="240" w:before="0" w:after="113"/>
        <w:ind w:hanging="10" w:left="287" w:right="13"/>
        <w:rPr>
          <w:szCs w:val="21"/>
        </w:rPr>
      </w:pPr>
      <w:r>
        <w:rPr>
          <w:rFonts w:cs="Lato" w:ascii="Lato" w:hAnsi="Lato"/>
          <w:szCs w:val="21"/>
          <w:lang w:val="pl-PL"/>
        </w:rPr>
        <w:t xml:space="preserve">Oferta musi obejmować całość zamówienia lub jego części. Wartość brutto oferty winna obejmować wszystkie pozycje  zamówienia wyszczególnione w załączniku nr 1A – H. </w:t>
      </w:r>
      <w:r>
        <w:rPr>
          <w:rFonts w:cs="Lato" w:ascii="Lato" w:hAnsi="Lato"/>
          <w:b/>
          <w:szCs w:val="21"/>
          <w:lang w:val="pl-PL"/>
        </w:rPr>
        <w:t xml:space="preserve">Nie będą rozpatrywane oferty nie zawierające wszystkich cen w ramach danej części zamówienia. </w:t>
      </w:r>
    </w:p>
    <w:p>
      <w:pPr>
        <w:pStyle w:val="Normal"/>
        <w:numPr>
          <w:ilvl w:val="0"/>
          <w:numId w:val="9"/>
        </w:numPr>
        <w:spacing w:lineRule="auto" w:line="240" w:before="0" w:after="113"/>
        <w:ind w:hanging="10" w:left="287" w:right="13"/>
        <w:rPr>
          <w:szCs w:val="21"/>
        </w:rPr>
      </w:pPr>
      <w:r>
        <w:rPr>
          <w:rFonts w:cs="Lato" w:ascii="Lato" w:hAnsi="Lato"/>
          <w:szCs w:val="21"/>
          <w:lang w:val="pl-PL"/>
        </w:rPr>
        <w:t>Cena jednostkowa brutto wyrażona w PLN (wynikająca z przemnożenia ceny netto przez stawkę podatku VAT) powinna zawierać wszystkie koszty związane z realizacją zamówienia i musi być wyrażona z dokładnością do dwóch miejsc po przecinku z odpowiednim zaokrągleniem w dół lub w górę w następujący sposób:</w:t>
      </w:r>
    </w:p>
    <w:p>
      <w:pPr>
        <w:pStyle w:val="Normal"/>
        <w:numPr>
          <w:ilvl w:val="1"/>
          <w:numId w:val="9"/>
        </w:numPr>
        <w:spacing w:lineRule="auto" w:line="240" w:before="0" w:after="113"/>
        <w:ind w:hanging="128" w:left="405" w:right="13"/>
        <w:rPr>
          <w:szCs w:val="21"/>
        </w:rPr>
      </w:pPr>
      <w:r>
        <w:rPr>
          <w:rFonts w:cs="Lato" w:ascii="Lato" w:hAnsi="Lato"/>
          <w:szCs w:val="21"/>
          <w:lang w:val="pl-PL"/>
        </w:rPr>
        <w:t>w dół  -  jeżeli kolejna liczba jest mniejsza od 5,</w:t>
      </w:r>
    </w:p>
    <w:p>
      <w:pPr>
        <w:pStyle w:val="Normal"/>
        <w:numPr>
          <w:ilvl w:val="1"/>
          <w:numId w:val="9"/>
        </w:numPr>
        <w:spacing w:lineRule="auto" w:line="240" w:before="0" w:after="113"/>
        <w:ind w:hanging="128" w:left="405" w:right="13"/>
        <w:rPr>
          <w:szCs w:val="21"/>
        </w:rPr>
      </w:pPr>
      <w:r>
        <w:rPr>
          <w:rFonts w:cs="Lato" w:ascii="Lato" w:hAnsi="Lato"/>
          <w:szCs w:val="21"/>
          <w:lang w:val="pl-PL"/>
        </w:rPr>
        <w:t>w górę - jeżeli kolejna liczba jest większa od 5 lub równa 5.</w:t>
      </w:r>
    </w:p>
    <w:p>
      <w:pPr>
        <w:pStyle w:val="Normal"/>
        <w:numPr>
          <w:ilvl w:val="0"/>
          <w:numId w:val="9"/>
        </w:numPr>
        <w:spacing w:lineRule="auto" w:line="240" w:before="0" w:after="113"/>
        <w:ind w:hanging="10" w:left="287" w:right="13"/>
        <w:rPr>
          <w:szCs w:val="21"/>
        </w:rPr>
      </w:pPr>
      <w:r>
        <w:rPr>
          <w:rFonts w:cs="Lato" w:ascii="Lato" w:hAnsi="Lato"/>
          <w:szCs w:val="21"/>
          <w:lang w:val="pl-PL"/>
        </w:rPr>
        <w:t>Prawidłowego ustalenia podatku VAT należy dokonać zgodnie z przepisami ustawy o podatku od towaru i usług i podatku akcyzowym.</w:t>
      </w:r>
    </w:p>
    <w:p>
      <w:pPr>
        <w:pStyle w:val="Normal"/>
        <w:numPr>
          <w:ilvl w:val="0"/>
          <w:numId w:val="9"/>
        </w:numPr>
        <w:spacing w:lineRule="auto" w:line="240" w:before="0" w:after="113"/>
        <w:ind w:hanging="10" w:left="287" w:right="13"/>
        <w:rPr>
          <w:szCs w:val="21"/>
        </w:rPr>
      </w:pPr>
      <w:r>
        <w:rPr>
          <w:rFonts w:cs="Lato" w:ascii="Lato" w:hAnsi="Lato"/>
          <w:szCs w:val="21"/>
          <w:lang w:val="pl-PL"/>
        </w:rPr>
        <w:t>Oferent może zaproponować tylko jedną cenę na każdy z produktów i nie może jej zmienić.  Nie prowadzi się żadnych negocjacji między Zamawiającym a oferentem dotyczących złożonej oferty oraz nie dokonuje się zmian w treści złożonej oferty, w tym zwłaszcza zmiany ceny.</w:t>
      </w:r>
    </w:p>
    <w:p>
      <w:pPr>
        <w:pStyle w:val="Normal"/>
        <w:spacing w:lineRule="auto" w:line="240" w:before="0" w:after="113"/>
        <w:ind w:hanging="10" w:left="275" w:right="0"/>
        <w:jc w:val="center"/>
        <w:rPr>
          <w:szCs w:val="21"/>
        </w:rPr>
      </w:pPr>
      <w:r>
        <w:rPr>
          <w:szCs w:val="21"/>
        </w:rPr>
      </w:r>
    </w:p>
    <w:p>
      <w:pPr>
        <w:pStyle w:val="Normal"/>
        <w:spacing w:lineRule="auto" w:line="240" w:before="0" w:after="113"/>
        <w:ind w:hanging="10" w:left="275" w:right="0"/>
        <w:jc w:val="center"/>
        <w:rPr>
          <w:szCs w:val="21"/>
        </w:rPr>
      </w:pPr>
      <w:r>
        <w:rPr>
          <w:szCs w:val="21"/>
        </w:rPr>
      </w:r>
    </w:p>
    <w:p>
      <w:pPr>
        <w:pStyle w:val="Normal"/>
        <w:spacing w:lineRule="auto" w:line="240" w:before="0" w:after="113"/>
        <w:ind w:hanging="10" w:left="275" w:right="0"/>
        <w:jc w:val="center"/>
        <w:rPr>
          <w:szCs w:val="21"/>
        </w:rPr>
      </w:pPr>
      <w:r>
        <w:rPr>
          <w:rFonts w:cs="Lato" w:ascii="Lato" w:hAnsi="Lato"/>
          <w:b/>
          <w:szCs w:val="21"/>
          <w:lang w:val="pl-PL"/>
        </w:rPr>
        <w:t>ROZDZIAŁ XII</w:t>
      </w:r>
    </w:p>
    <w:p>
      <w:pPr>
        <w:pStyle w:val="Normal"/>
        <w:spacing w:lineRule="auto" w:line="240" w:before="0" w:after="113"/>
        <w:ind w:hanging="10" w:left="275" w:right="0"/>
        <w:jc w:val="left"/>
        <w:rPr>
          <w:szCs w:val="21"/>
        </w:rPr>
      </w:pPr>
      <w:r>
        <w:rPr>
          <w:rFonts w:cs="Lato" w:ascii="Lato" w:hAnsi="Lato"/>
          <w:b/>
          <w:szCs w:val="21"/>
          <w:lang w:val="pl-PL"/>
        </w:rPr>
        <w:t xml:space="preserve">Opis kryteriów, którymi Zamawiający będzie się kierował przy wyborze oferty, wraz z podaniem wag tych kryteriów oraz sposobu oceny ofert.  </w:t>
      </w:r>
    </w:p>
    <w:p>
      <w:pPr>
        <w:pStyle w:val="Normal"/>
        <w:spacing w:lineRule="auto" w:line="240" w:before="0" w:after="113"/>
        <w:ind w:hanging="0" w:left="227" w:right="0"/>
        <w:jc w:val="left"/>
        <w:rPr>
          <w:szCs w:val="21"/>
        </w:rPr>
      </w:pPr>
      <w:r>
        <w:rPr>
          <w:rFonts w:eastAsia="Lato" w:cs="Lato" w:ascii="Lato" w:hAnsi="Lato"/>
          <w:b/>
          <w:szCs w:val="21"/>
          <w:lang w:val="pl-PL"/>
        </w:rPr>
        <w:t xml:space="preserve">  </w:t>
      </w:r>
      <w:r>
        <w:rPr>
          <w:rFonts w:cs="Lato" w:ascii="Lato" w:hAnsi="Lato"/>
          <w:szCs w:val="21"/>
          <w:lang w:val="pl-PL"/>
        </w:rPr>
        <w:t xml:space="preserve">Przy wyborze oferty Zamawiający będzie się kierował kryterium: </w:t>
      </w:r>
      <w:r>
        <w:rPr>
          <w:rFonts w:cs="Lato" w:ascii="Lato" w:hAnsi="Lato"/>
          <w:b/>
          <w:szCs w:val="21"/>
          <w:lang w:val="pl-PL"/>
        </w:rPr>
        <w:t xml:space="preserve">cena – 100%, </w:t>
      </w:r>
    </w:p>
    <w:p>
      <w:pPr>
        <w:pStyle w:val="Normal"/>
        <w:numPr>
          <w:ilvl w:val="0"/>
          <w:numId w:val="3"/>
        </w:numPr>
        <w:spacing w:lineRule="auto" w:line="240" w:before="0" w:after="113"/>
        <w:ind w:hanging="624" w:left="907" w:right="0"/>
        <w:rPr>
          <w:szCs w:val="21"/>
        </w:rPr>
      </w:pPr>
      <w:r>
        <w:rPr>
          <w:rFonts w:cs="Lato" w:ascii="Lato" w:hAnsi="Lato"/>
          <w:szCs w:val="21"/>
          <w:lang w:val="pl-PL"/>
        </w:rPr>
        <w:t>W przyjętym kryterium można uzyskać maksymalnie 100 punktów. W celu porównania ofert Zamawiający przyjmuje wartość oferty brutto.</w:t>
      </w:r>
    </w:p>
    <w:p>
      <w:pPr>
        <w:pStyle w:val="Normal"/>
        <w:numPr>
          <w:ilvl w:val="0"/>
          <w:numId w:val="3"/>
        </w:numPr>
        <w:spacing w:lineRule="auto" w:line="240" w:before="0" w:after="113"/>
        <w:ind w:hanging="227" w:left="510" w:right="0"/>
        <w:rPr>
          <w:szCs w:val="21"/>
        </w:rPr>
      </w:pPr>
      <w:r>
        <w:rPr>
          <w:rFonts w:cs="Lato" w:ascii="Lato" w:hAnsi="Lato"/>
          <w:szCs w:val="21"/>
          <w:lang w:val="pl-PL"/>
        </w:rPr>
        <w:t xml:space="preserve">Ilość uzyskanych punktów przez poszczególnych Wykonawców będzie obliczana wg wzoru: </w:t>
      </w:r>
    </w:p>
    <w:p>
      <w:pPr>
        <w:pStyle w:val="Normal"/>
        <w:spacing w:lineRule="auto" w:line="240" w:before="0" w:after="113"/>
        <w:ind w:hanging="0" w:left="283" w:right="0"/>
        <w:jc w:val="center"/>
        <w:rPr>
          <w:szCs w:val="21"/>
        </w:rPr>
      </w:pPr>
      <w:r>
        <w:rPr>
          <w:rFonts w:cs="Lato" w:ascii="Lato" w:hAnsi="Lato"/>
          <w:szCs w:val="21"/>
          <w:lang w:val="pl-PL"/>
        </w:rPr>
        <w:t>k = (Cena min. / Cena bad.) x 100%, gdzie:</w:t>
      </w:r>
    </w:p>
    <w:p>
      <w:pPr>
        <w:pStyle w:val="Normal"/>
        <w:spacing w:lineRule="auto" w:line="240" w:before="0" w:after="113"/>
        <w:ind w:hanging="10" w:left="287" w:right="13"/>
        <w:rPr>
          <w:szCs w:val="21"/>
        </w:rPr>
      </w:pPr>
      <w:r>
        <w:rPr>
          <w:rFonts w:eastAsia="Lato" w:cs="Lato" w:ascii="Lato" w:hAnsi="Lato"/>
          <w:szCs w:val="21"/>
          <w:lang w:val="pl-PL"/>
        </w:rPr>
        <w:t xml:space="preserve">      </w:t>
      </w:r>
      <w:r>
        <w:rPr>
          <w:rFonts w:cs="Lato" w:ascii="Lato" w:hAnsi="Lato"/>
          <w:szCs w:val="21"/>
          <w:lang w:val="pl-PL"/>
        </w:rPr>
        <w:t>k – ilość punktów uzyskana przez poszczególnych wykonawców</w:t>
      </w:r>
    </w:p>
    <w:p>
      <w:pPr>
        <w:pStyle w:val="Normal"/>
        <w:spacing w:lineRule="auto" w:line="240" w:before="0" w:after="113"/>
        <w:ind w:hanging="10" w:left="287" w:right="13"/>
        <w:rPr>
          <w:szCs w:val="21"/>
        </w:rPr>
      </w:pPr>
      <w:r>
        <w:rPr>
          <w:rFonts w:eastAsia="Lato" w:cs="Lato" w:ascii="Lato" w:hAnsi="Lato"/>
          <w:szCs w:val="21"/>
          <w:lang w:val="pl-PL"/>
        </w:rPr>
        <w:t xml:space="preserve">      </w:t>
      </w:r>
      <w:r>
        <w:rPr>
          <w:rFonts w:cs="Lato" w:ascii="Lato" w:hAnsi="Lato"/>
          <w:szCs w:val="21"/>
          <w:lang w:val="pl-PL"/>
        </w:rPr>
        <w:t xml:space="preserve">Cena min. – najniższa oferowana cena </w:t>
      </w:r>
    </w:p>
    <w:p>
      <w:pPr>
        <w:pStyle w:val="Normal"/>
        <w:spacing w:lineRule="auto" w:line="240" w:before="0" w:after="113"/>
        <w:ind w:hanging="10" w:left="287" w:right="13"/>
        <w:rPr>
          <w:szCs w:val="21"/>
        </w:rPr>
      </w:pPr>
      <w:r>
        <w:rPr>
          <w:rFonts w:eastAsia="Lato" w:cs="Lato" w:ascii="Lato" w:hAnsi="Lato"/>
          <w:szCs w:val="21"/>
          <w:lang w:val="pl-PL"/>
        </w:rPr>
        <w:t xml:space="preserve">      </w:t>
      </w:r>
      <w:r>
        <w:rPr>
          <w:rFonts w:cs="Lato" w:ascii="Lato" w:hAnsi="Lato"/>
          <w:szCs w:val="21"/>
          <w:lang w:val="pl-PL"/>
        </w:rPr>
        <w:t>Cena bad. – cena oferty badanej</w:t>
      </w:r>
    </w:p>
    <w:p>
      <w:pPr>
        <w:pStyle w:val="Normal"/>
        <w:spacing w:lineRule="auto" w:line="240" w:before="0" w:after="113"/>
        <w:ind w:hanging="10" w:left="287" w:right="13"/>
        <w:rPr>
          <w:szCs w:val="21"/>
        </w:rPr>
      </w:pPr>
      <w:r>
        <w:rPr>
          <w:rFonts w:eastAsia="Lato" w:cs="Lato" w:ascii="Lato" w:hAnsi="Lato"/>
          <w:szCs w:val="21"/>
          <w:lang w:val="pl-PL"/>
        </w:rPr>
        <w:t xml:space="preserve">      </w:t>
      </w:r>
      <w:r>
        <w:rPr>
          <w:rFonts w:cs="Lato" w:ascii="Lato" w:hAnsi="Lato"/>
          <w:szCs w:val="21"/>
          <w:lang w:val="pl-PL"/>
        </w:rPr>
        <w:t xml:space="preserve">1 % odpowiada w punktacji 1 pkt </w:t>
      </w:r>
    </w:p>
    <w:p>
      <w:pPr>
        <w:pStyle w:val="Normal"/>
        <w:numPr>
          <w:ilvl w:val="0"/>
          <w:numId w:val="3"/>
        </w:numPr>
        <w:spacing w:lineRule="auto" w:line="240" w:before="0" w:after="113"/>
        <w:ind w:hanging="234" w:left="511" w:right="13"/>
        <w:rPr>
          <w:szCs w:val="21"/>
        </w:rPr>
      </w:pPr>
      <w:r>
        <w:rPr>
          <w:rFonts w:cs="Lato" w:ascii="Lato" w:hAnsi="Lato"/>
          <w:szCs w:val="21"/>
          <w:lang w:val="pl-PL"/>
        </w:rPr>
        <w:t>Zamawiający dokona wyboru oferty, która:</w:t>
      </w:r>
    </w:p>
    <w:p>
      <w:pPr>
        <w:pStyle w:val="Normal"/>
        <w:numPr>
          <w:ilvl w:val="1"/>
          <w:numId w:val="13"/>
        </w:numPr>
        <w:spacing w:lineRule="auto" w:line="240" w:before="0" w:after="113"/>
        <w:ind w:hanging="142" w:left="770" w:right="13"/>
        <w:rPr>
          <w:szCs w:val="21"/>
        </w:rPr>
      </w:pPr>
      <w:r>
        <w:rPr>
          <w:rFonts w:cs="Lato" w:ascii="Lato" w:hAnsi="Lato"/>
          <w:szCs w:val="21"/>
          <w:lang w:val="pl-PL"/>
        </w:rPr>
        <w:t>odpowiada wymaganiom określonym w SWZ</w:t>
      </w:r>
    </w:p>
    <w:p>
      <w:pPr>
        <w:pStyle w:val="Normal"/>
        <w:numPr>
          <w:ilvl w:val="1"/>
          <w:numId w:val="13"/>
        </w:numPr>
        <w:spacing w:lineRule="auto" w:line="240" w:before="0" w:after="113"/>
        <w:ind w:hanging="142" w:left="770" w:right="13"/>
        <w:rPr>
          <w:szCs w:val="21"/>
        </w:rPr>
      </w:pPr>
      <w:r>
        <w:rPr>
          <w:rFonts w:cs="Lato" w:ascii="Lato" w:hAnsi="Lato"/>
          <w:szCs w:val="21"/>
          <w:lang w:val="pl-PL"/>
        </w:rPr>
        <w:t>jest najkorzystniejsza z punktu widzenia przyjętego kryterium</w:t>
      </w:r>
    </w:p>
    <w:p>
      <w:pPr>
        <w:pStyle w:val="Normal"/>
        <w:spacing w:lineRule="auto" w:line="240" w:before="0" w:after="113"/>
        <w:ind w:hanging="10" w:left="-432" w:right="0"/>
        <w:jc w:val="center"/>
        <w:rPr>
          <w:szCs w:val="21"/>
        </w:rPr>
      </w:pPr>
      <w:r>
        <w:rPr>
          <w:rFonts w:eastAsia="Lato" w:cs="Lato" w:ascii="Lato" w:hAnsi="Lato"/>
          <w:b/>
          <w:szCs w:val="21"/>
          <w:lang w:val="pl-PL"/>
        </w:rPr>
        <w:t xml:space="preserve">           </w:t>
      </w:r>
      <w:r>
        <w:rPr>
          <w:rFonts w:cs="Lato" w:ascii="Lato" w:hAnsi="Lato"/>
          <w:b/>
          <w:szCs w:val="21"/>
          <w:lang w:val="pl-PL"/>
        </w:rPr>
        <w:t>ROZDZIAŁ XIII</w:t>
      </w:r>
    </w:p>
    <w:p>
      <w:pPr>
        <w:pStyle w:val="Normal"/>
        <w:spacing w:lineRule="auto" w:line="240" w:before="0" w:after="113"/>
        <w:ind w:hanging="10" w:left="275" w:right="0"/>
        <w:jc w:val="left"/>
        <w:rPr>
          <w:szCs w:val="21"/>
        </w:rPr>
      </w:pPr>
      <w:r>
        <w:rPr>
          <w:rFonts w:cs="Lato" w:ascii="Lato" w:hAnsi="Lato"/>
          <w:b/>
          <w:color w:val="auto"/>
          <w:szCs w:val="21"/>
          <w:lang w:val="pl-PL"/>
        </w:rPr>
        <w:t xml:space="preserve">Informacje o formalnościach, jakie powinny zostać dopełnione po wyborze oferty w celu zawarcia umowy w sprawie zamówienia publicznego.    </w:t>
      </w:r>
      <w:r>
        <w:rPr>
          <w:rFonts w:cs="Lato" w:ascii="Lato" w:hAnsi="Lato"/>
          <w:b/>
          <w:color w:val="FF0000"/>
          <w:szCs w:val="21"/>
          <w:lang w:val="pl-PL"/>
        </w:rPr>
        <w:t xml:space="preserve">                 </w:t>
      </w:r>
      <w:r>
        <w:rPr>
          <w:rFonts w:cs="Lato" w:ascii="Lato" w:hAnsi="Lato"/>
          <w:b/>
          <w:szCs w:val="21"/>
          <w:lang w:val="pl-PL"/>
        </w:rPr>
        <w:t xml:space="preserve">    </w:t>
      </w:r>
    </w:p>
    <w:p>
      <w:pPr>
        <w:pStyle w:val="Normal"/>
        <w:numPr>
          <w:ilvl w:val="0"/>
          <w:numId w:val="12"/>
        </w:numPr>
        <w:spacing w:lineRule="auto" w:line="240" w:before="0" w:after="113"/>
        <w:ind w:hanging="234" w:left="511" w:right="13"/>
        <w:rPr>
          <w:szCs w:val="21"/>
        </w:rPr>
      </w:pPr>
      <w:r>
        <w:rPr>
          <w:rFonts w:cs="Lato" w:ascii="Lato" w:hAnsi="Lato"/>
          <w:szCs w:val="21"/>
          <w:lang w:val="pl-PL"/>
        </w:rPr>
        <w:t>Ogłoszenie wyników postępowania nastąpi niezwłocznie po wyborze najkorzystniejszej oferty.</w:t>
      </w:r>
    </w:p>
    <w:p>
      <w:pPr>
        <w:pStyle w:val="Normal"/>
        <w:numPr>
          <w:ilvl w:val="0"/>
          <w:numId w:val="12"/>
        </w:numPr>
        <w:spacing w:lineRule="auto" w:line="240" w:before="0" w:after="113"/>
        <w:ind w:hanging="234" w:left="511" w:right="13"/>
        <w:rPr>
          <w:szCs w:val="21"/>
        </w:rPr>
      </w:pPr>
      <w:r>
        <w:rPr>
          <w:rFonts w:cs="Lato" w:ascii="Lato" w:hAnsi="Lato"/>
          <w:szCs w:val="21"/>
          <w:lang w:val="pl-PL"/>
        </w:rPr>
        <w:t xml:space="preserve">Zamawiający zawiadomi Wykonawców, którzy złożyli oferty o: </w:t>
      </w:r>
    </w:p>
    <w:p>
      <w:pPr>
        <w:pStyle w:val="Normal"/>
        <w:tabs>
          <w:tab w:val="clear" w:pos="720"/>
          <w:tab w:val="left" w:pos="683" w:leader="none"/>
        </w:tabs>
        <w:spacing w:lineRule="auto" w:line="240" w:before="0" w:after="113"/>
        <w:ind w:hanging="0" w:left="283" w:right="0"/>
        <w:rPr>
          <w:szCs w:val="21"/>
        </w:rPr>
      </w:pPr>
      <w:r>
        <w:rPr>
          <w:rFonts w:cs="Lato" w:ascii="Lato" w:hAnsi="Lato"/>
          <w:szCs w:val="21"/>
          <w:lang w:val="pl-PL"/>
        </w:rPr>
        <w:t>2.1 wyborze najkorzystniejszej oferty podając nazwę (firmę), siedzibę i adres Wykonawcy(ów), których ofertę wybrano oraz uzasadnienie ich wyboru, a także nazwy (firmy), siedziby i adresy Wykonawców, którzy złożyli oferty wraz ze streszczeniem oceny i porównania złożonych ofert zawierającym punktację przyznaną oferentom w każdym kryterium oceny ofert i łączną punktację,</w:t>
      </w:r>
    </w:p>
    <w:p>
      <w:pPr>
        <w:pStyle w:val="Normal"/>
        <w:spacing w:lineRule="auto" w:line="240" w:before="0" w:after="113"/>
        <w:ind w:hanging="0" w:left="277" w:right="13"/>
        <w:rPr>
          <w:szCs w:val="21"/>
        </w:rPr>
      </w:pPr>
      <w:r>
        <w:rPr>
          <w:rFonts w:cs="Lato" w:ascii="Lato" w:hAnsi="Lato"/>
          <w:szCs w:val="21"/>
          <w:lang w:val="pl-PL"/>
        </w:rPr>
        <w:t>2.2 Wykonawcach, których oferty zostały odrzucone, podając uzasadnienie faktyczne i prawne,</w:t>
      </w:r>
    </w:p>
    <w:p>
      <w:pPr>
        <w:pStyle w:val="Normal"/>
        <w:spacing w:lineRule="auto" w:line="240" w:before="0" w:after="113"/>
        <w:ind w:hanging="0" w:left="277" w:right="13"/>
        <w:rPr>
          <w:szCs w:val="21"/>
        </w:rPr>
      </w:pPr>
      <w:r>
        <w:rPr>
          <w:rFonts w:cs="Lato" w:ascii="Lato" w:hAnsi="Lato"/>
          <w:szCs w:val="21"/>
          <w:lang w:val="pl-PL"/>
        </w:rPr>
        <w:t>2.3 Wykonawcach, którzy zostali wykluczeni z postępowania, podając uzasadnienie faktyczne i prawne.</w:t>
      </w:r>
    </w:p>
    <w:p>
      <w:pPr>
        <w:pStyle w:val="Normal"/>
        <w:numPr>
          <w:ilvl w:val="0"/>
          <w:numId w:val="12"/>
        </w:numPr>
        <w:spacing w:lineRule="auto" w:line="240" w:before="0" w:after="113"/>
        <w:ind w:hanging="454" w:left="737" w:right="0"/>
        <w:rPr>
          <w:szCs w:val="21"/>
        </w:rPr>
      </w:pPr>
      <w:r>
        <w:rPr>
          <w:rFonts w:cs="Lato" w:ascii="Lato" w:hAnsi="Lato"/>
          <w:szCs w:val="21"/>
          <w:lang w:val="pl-PL"/>
        </w:rPr>
        <w:t>Informacje o wyborze Wykonawców zostaną również niezwłocznie zamieszczone na stronie internetowej oraz w miejscu publicznie dostępnym (tablica ogłoszeń) w siedzibie Zamawiającego.</w:t>
      </w:r>
    </w:p>
    <w:p>
      <w:pPr>
        <w:pStyle w:val="Normal"/>
        <w:numPr>
          <w:ilvl w:val="0"/>
          <w:numId w:val="12"/>
        </w:numPr>
        <w:spacing w:lineRule="auto" w:line="240" w:before="0" w:after="113"/>
        <w:ind w:hanging="454" w:left="737" w:right="0"/>
        <w:rPr>
          <w:szCs w:val="21"/>
        </w:rPr>
      </w:pPr>
      <w:r>
        <w:rPr>
          <w:rFonts w:cs="Lato" w:ascii="Lato" w:hAnsi="Lato"/>
          <w:szCs w:val="21"/>
          <w:lang w:val="pl-PL"/>
        </w:rPr>
        <w:t>W terminie wskazanym przez Zamawiającego, Wykonawca, którego oferta została wybrana, zobowiązany jest do podpisania umowy.</w:t>
      </w:r>
    </w:p>
    <w:p>
      <w:pPr>
        <w:pStyle w:val="Normal"/>
        <w:spacing w:lineRule="auto" w:line="240" w:before="0" w:after="113"/>
        <w:ind w:hanging="340" w:left="624" w:right="0"/>
        <w:rPr>
          <w:szCs w:val="21"/>
        </w:rPr>
      </w:pPr>
      <w:r>
        <w:rPr>
          <w:rFonts w:cs="Lato" w:ascii="Lato" w:hAnsi="Lato"/>
          <w:szCs w:val="21"/>
          <w:lang w:val="pl-PL"/>
        </w:rPr>
        <w:t>5.   Wykonawcy występujący wspólnie winni, przed zawarciem umowy dostarczyć Zamawiającemu umowę regulującą współpracę tych Wykonawców.</w:t>
      </w:r>
    </w:p>
    <w:p>
      <w:pPr>
        <w:pStyle w:val="Normal"/>
        <w:spacing w:lineRule="auto" w:line="240" w:before="0" w:after="113"/>
        <w:ind w:hanging="234" w:left="511" w:right="13"/>
        <w:rPr>
          <w:szCs w:val="21"/>
        </w:rPr>
      </w:pPr>
      <w:r>
        <w:rPr>
          <w:rFonts w:cs="Lato" w:ascii="Lato" w:hAnsi="Lato"/>
          <w:szCs w:val="21"/>
          <w:lang w:val="pl-PL"/>
        </w:rPr>
        <w:t>6.     O miejscu i terminie podpisania umowy Zamawiający powiadomi Wykonawcę.</w:t>
      </w:r>
    </w:p>
    <w:p>
      <w:pPr>
        <w:pStyle w:val="Normal"/>
        <w:spacing w:lineRule="auto" w:line="240" w:before="0" w:after="113"/>
        <w:ind w:hanging="0" w:left="278" w:right="0"/>
        <w:jc w:val="center"/>
        <w:rPr>
          <w:szCs w:val="21"/>
        </w:rPr>
      </w:pPr>
      <w:r>
        <w:rPr>
          <w:rFonts w:cs="Lato" w:ascii="Lato" w:hAnsi="Lato"/>
          <w:b/>
          <w:szCs w:val="21"/>
          <w:lang w:val="pl-PL"/>
        </w:rPr>
        <w:t>ROZDZIAŁ XIV</w:t>
      </w:r>
    </w:p>
    <w:p>
      <w:pPr>
        <w:pStyle w:val="Normal"/>
        <w:spacing w:lineRule="auto" w:line="240" w:before="0" w:after="113"/>
        <w:ind w:hanging="10" w:left="275" w:right="0"/>
        <w:jc w:val="left"/>
        <w:rPr>
          <w:szCs w:val="21"/>
        </w:rPr>
      </w:pPr>
      <w:r>
        <w:rPr>
          <w:rFonts w:cs="Lato" w:ascii="Lato" w:hAnsi="Lato"/>
          <w:b/>
          <w:szCs w:val="21"/>
          <w:lang w:val="pl-PL"/>
        </w:rPr>
        <w:t>Wymagania dotyczące zabezpieczenia należytego wykonania umowy.</w:t>
      </w:r>
    </w:p>
    <w:p>
      <w:pPr>
        <w:pStyle w:val="Normal"/>
        <w:spacing w:lineRule="auto" w:line="240" w:before="0" w:after="113"/>
        <w:ind w:hanging="10" w:left="287" w:right="13"/>
        <w:rPr>
          <w:szCs w:val="21"/>
        </w:rPr>
      </w:pPr>
      <w:r>
        <w:rPr>
          <w:rFonts w:cs="Lato" w:ascii="Lato" w:hAnsi="Lato"/>
          <w:szCs w:val="21"/>
          <w:lang w:val="pl-PL"/>
        </w:rPr>
        <w:t>Zamawiający nie wymaga od Wykonawcy wniesienia należytego wykonania umowy.</w:t>
      </w:r>
    </w:p>
    <w:p>
      <w:pPr>
        <w:pStyle w:val="Normal"/>
        <w:spacing w:lineRule="auto" w:line="240" w:before="0" w:after="113"/>
        <w:ind w:hanging="0" w:left="278" w:right="0"/>
        <w:jc w:val="center"/>
        <w:rPr>
          <w:szCs w:val="21"/>
        </w:rPr>
      </w:pPr>
      <w:r>
        <w:rPr>
          <w:szCs w:val="21"/>
        </w:rPr>
      </w:r>
    </w:p>
    <w:p>
      <w:pPr>
        <w:pStyle w:val="Normal"/>
        <w:spacing w:lineRule="auto" w:line="240" w:before="0" w:after="113"/>
        <w:ind w:hanging="0" w:left="278" w:right="0"/>
        <w:jc w:val="center"/>
        <w:rPr>
          <w:szCs w:val="21"/>
        </w:rPr>
      </w:pPr>
      <w:r>
        <w:rPr>
          <w:szCs w:val="21"/>
        </w:rPr>
      </w:r>
    </w:p>
    <w:p>
      <w:pPr>
        <w:pStyle w:val="Normal"/>
        <w:spacing w:lineRule="auto" w:line="240" w:before="0" w:after="113"/>
        <w:ind w:hanging="0" w:left="278" w:right="0"/>
        <w:jc w:val="center"/>
        <w:rPr>
          <w:szCs w:val="21"/>
        </w:rPr>
      </w:pPr>
      <w:r>
        <w:rPr>
          <w:rFonts w:cs="Lato" w:ascii="Lato" w:hAnsi="Lato"/>
          <w:b/>
          <w:szCs w:val="21"/>
          <w:lang w:val="pl-PL"/>
        </w:rPr>
        <w:t>ROZDZIAŁ XV</w:t>
      </w:r>
    </w:p>
    <w:p>
      <w:pPr>
        <w:pStyle w:val="Normal"/>
        <w:spacing w:lineRule="auto" w:line="240" w:before="0" w:after="113"/>
        <w:ind w:hanging="10" w:left="275" w:right="0"/>
        <w:jc w:val="left"/>
        <w:rPr>
          <w:szCs w:val="21"/>
        </w:rPr>
      </w:pPr>
      <w:r>
        <w:rPr>
          <w:rFonts w:cs="Lato" w:ascii="Lato" w:hAnsi="Lato"/>
          <w:b/>
          <w:szCs w:val="21"/>
          <w:lang w:val="pl-PL"/>
        </w:rPr>
        <w:t>Istotne dla stron postanowienia, które zostaną wprowadzone do treści zawieranej umowy w sprawie zamówienia publicznego</w:t>
      </w:r>
    </w:p>
    <w:p>
      <w:pPr>
        <w:pStyle w:val="Normal"/>
        <w:spacing w:lineRule="auto" w:line="240" w:before="0" w:after="113"/>
        <w:ind w:hanging="10" w:left="287" w:right="13"/>
        <w:rPr>
          <w:szCs w:val="21"/>
        </w:rPr>
      </w:pPr>
      <w:r>
        <w:rPr>
          <w:rFonts w:cs="Lato" w:ascii="Lato" w:hAnsi="Lato"/>
          <w:szCs w:val="21"/>
          <w:lang w:val="pl-PL"/>
        </w:rPr>
        <w:t>1. Umowy na dostawy będą zawarte na warunkach określonych we wzorze stanowiącym załącznik nr 5 do niniejszej Specyfikacji.</w:t>
      </w:r>
    </w:p>
    <w:p>
      <w:pPr>
        <w:pStyle w:val="Normal"/>
        <w:spacing w:lineRule="auto" w:line="240" w:before="0" w:after="113"/>
        <w:ind w:hanging="10" w:left="287" w:right="13"/>
        <w:rPr>
          <w:szCs w:val="21"/>
        </w:rPr>
      </w:pPr>
      <w:r>
        <w:rPr>
          <w:rFonts w:cs="Lato" w:ascii="Lato" w:hAnsi="Lato"/>
          <w:szCs w:val="21"/>
          <w:lang w:val="pl-PL"/>
        </w:rPr>
        <w:t>2. Zamawiający przewiduje możliwość zmian postanowień umowy z wybranym Wykonawcą w następujących okolicznościach:</w:t>
      </w:r>
    </w:p>
    <w:p>
      <w:pPr>
        <w:pStyle w:val="Normal"/>
        <w:numPr>
          <w:ilvl w:val="0"/>
          <w:numId w:val="8"/>
        </w:numPr>
        <w:spacing w:lineRule="auto" w:line="240" w:before="0" w:after="113"/>
        <w:ind w:hanging="128" w:left="405" w:right="13"/>
        <w:rPr>
          <w:szCs w:val="21"/>
        </w:rPr>
      </w:pPr>
      <w:r>
        <w:rPr>
          <w:rFonts w:cs="Lato" w:ascii="Lato" w:hAnsi="Lato"/>
          <w:szCs w:val="21"/>
          <w:lang w:val="pl-PL"/>
        </w:rPr>
        <w:t>zmiany będą korzystne dla Zamawiającego</w:t>
      </w:r>
    </w:p>
    <w:p>
      <w:pPr>
        <w:pStyle w:val="Normal"/>
        <w:numPr>
          <w:ilvl w:val="0"/>
          <w:numId w:val="8"/>
        </w:numPr>
        <w:spacing w:lineRule="auto" w:line="240" w:before="0" w:after="113"/>
        <w:ind w:hanging="128" w:left="405" w:right="13"/>
        <w:rPr>
          <w:szCs w:val="21"/>
        </w:rPr>
      </w:pPr>
      <w:r>
        <w:rPr>
          <w:rFonts w:cs="Lato" w:ascii="Lato" w:hAnsi="Lato"/>
          <w:szCs w:val="21"/>
          <w:lang w:val="pl-PL"/>
        </w:rPr>
        <w:t>konieczność wprowadzenia zmian nie wyniknie z przyczyn powstałych po stronie Zamawiającego ani Wykonawcy - indeksacja wynagrodzenia umownego w związku ze zmianą stawek podatku VAT – może to nastąpić po dniu wejścia w życie aktu prawnego zmieniającego stawki VAT.</w:t>
      </w:r>
    </w:p>
    <w:p>
      <w:pPr>
        <w:pStyle w:val="Normal"/>
        <w:numPr>
          <w:ilvl w:val="0"/>
          <w:numId w:val="8"/>
        </w:numPr>
        <w:spacing w:lineRule="auto" w:line="240" w:before="0" w:after="113"/>
        <w:ind w:hanging="128" w:left="405" w:right="13"/>
        <w:rPr>
          <w:szCs w:val="21"/>
        </w:rPr>
      </w:pPr>
      <w:r>
        <w:rPr>
          <w:rFonts w:cs="Lato" w:ascii="Lato" w:hAnsi="Lato"/>
          <w:szCs w:val="21"/>
          <w:lang w:val="pl-PL"/>
        </w:rPr>
        <w:t>Na podstawie art. 455 ust. ustawy Pzp Zamawiający dopuszcza możliwość zmiany umowy bez przeprowadzenia nowego postępowania o udzielenie zamówienia</w:t>
      </w:r>
    </w:p>
    <w:p>
      <w:pPr>
        <w:pStyle w:val="Normal"/>
        <w:spacing w:lineRule="auto" w:line="240" w:before="0" w:after="113"/>
        <w:ind w:hanging="0" w:left="278" w:right="0"/>
        <w:jc w:val="center"/>
        <w:rPr>
          <w:szCs w:val="21"/>
        </w:rPr>
      </w:pPr>
      <w:r>
        <w:rPr>
          <w:rFonts w:cs="Lato" w:ascii="Lato" w:hAnsi="Lato"/>
          <w:b/>
          <w:color w:val="auto"/>
          <w:szCs w:val="21"/>
          <w:lang w:val="pl-PL"/>
        </w:rPr>
        <w:t>ROZDZIAŁ XVI</w:t>
      </w:r>
    </w:p>
    <w:p>
      <w:pPr>
        <w:pStyle w:val="Normal"/>
        <w:spacing w:lineRule="auto" w:line="240" w:before="0" w:after="113"/>
        <w:ind w:hanging="10" w:left="275" w:right="0"/>
        <w:jc w:val="left"/>
        <w:rPr>
          <w:szCs w:val="21"/>
        </w:rPr>
      </w:pPr>
      <w:r>
        <w:rPr>
          <w:rFonts w:cs="Lato" w:ascii="Lato" w:hAnsi="Lato"/>
          <w:b/>
          <w:color w:val="auto"/>
          <w:szCs w:val="21"/>
          <w:lang w:val="pl-PL"/>
        </w:rPr>
        <w:t>Pouczenie o środkach ochrony prawnej przysługujących Wykonawcy w toku postępowania o udzielenie zamówienia</w:t>
      </w:r>
    </w:p>
    <w:p>
      <w:pPr>
        <w:pStyle w:val="Normal"/>
        <w:numPr>
          <w:ilvl w:val="0"/>
          <w:numId w:val="1"/>
        </w:numPr>
        <w:spacing w:lineRule="auto" w:line="240" w:before="0" w:after="113"/>
        <w:ind w:hanging="291" w:left="291" w:right="13"/>
        <w:rPr>
          <w:szCs w:val="21"/>
        </w:rPr>
      </w:pPr>
      <w:r>
        <w:rPr>
          <w:rFonts w:cs="Lato" w:ascii="Lato" w:hAnsi="Lato"/>
          <w:szCs w:val="21"/>
          <w:lang w:val="pl-PL"/>
        </w:rPr>
        <w:t>W toku postępowania o udzielenie zamówienia publicznego przysługują środki ochrony prawnej przewidziane w dziale IX ustawy PZP. Środki ochrony prawnej przysługują Wykonawcy, a także innemu podmiotowi, jeżeli ma lub miał interes w uzyskaniu danego zamówienia oraz poniósł lub może ponieść szkodę w wyniku naruszenia przez Zamawiającego przepisów niniejszej ustawy</w:t>
      </w:r>
      <w:r>
        <w:rPr>
          <w:rFonts w:cs="Lato" w:ascii="Lato" w:hAnsi="Lato"/>
          <w:b/>
          <w:szCs w:val="21"/>
          <w:lang w:val="pl-PL"/>
        </w:rPr>
        <w:t>.</w:t>
      </w:r>
    </w:p>
    <w:p>
      <w:pPr>
        <w:pStyle w:val="Normal"/>
        <w:widowControl/>
        <w:numPr>
          <w:ilvl w:val="0"/>
          <w:numId w:val="1"/>
        </w:numPr>
        <w:suppressAutoHyphens w:val="true"/>
        <w:bidi w:val="0"/>
        <w:spacing w:lineRule="auto" w:line="240" w:before="0" w:after="113"/>
        <w:ind w:hanging="0" w:left="0" w:right="0"/>
        <w:jc w:val="both"/>
        <w:rPr>
          <w:rFonts w:ascii="Lato" w:hAnsi="Lato" w:cs="Lato"/>
          <w:szCs w:val="21"/>
          <w:lang w:val="pl-PL"/>
        </w:rPr>
      </w:pPr>
      <w:r>
        <w:rPr>
          <w:rFonts w:cs="Lato" w:ascii="Lato" w:hAnsi="Lato"/>
          <w:szCs w:val="21"/>
          <w:lang w:val="pl-PL"/>
        </w:rPr>
        <w:t>Odwołanie przysługuje na:</w:t>
      </w:r>
    </w:p>
    <w:p>
      <w:pPr>
        <w:pStyle w:val="Normal"/>
        <w:spacing w:lineRule="auto" w:line="240" w:before="0" w:after="113"/>
        <w:ind w:hanging="0" w:left="291" w:right="13"/>
        <w:rPr>
          <w:rFonts w:ascii="Lato" w:hAnsi="Lato" w:cs="Lato"/>
          <w:szCs w:val="21"/>
          <w:lang w:val="pl-PL"/>
        </w:rPr>
      </w:pPr>
      <w:r>
        <w:rPr>
          <w:rFonts w:cs="Lato" w:ascii="Lato" w:hAnsi="Lato"/>
          <w:szCs w:val="21"/>
          <w:lang w:val="pl-PL"/>
        </w:rPr>
        <w:t>1) niezgodną z przepisami ustawy czynność zamawiającego, podjętą w postępowaniu o udzielenie zamówienia, o zawarcie umowy ramowej, dynamicznym systemie zakupów, systemie kwalifikowania wykonawców lub konkursie, w tym na projektowane postanowienie umowy;</w:t>
      </w:r>
    </w:p>
    <w:p>
      <w:pPr>
        <w:pStyle w:val="Normal"/>
        <w:spacing w:lineRule="auto" w:line="240" w:before="0" w:after="113"/>
        <w:ind w:hanging="0" w:left="291" w:right="13"/>
        <w:rPr>
          <w:rFonts w:ascii="Lato" w:hAnsi="Lato" w:cs="Lato"/>
          <w:szCs w:val="21"/>
          <w:lang w:val="pl-PL"/>
        </w:rPr>
      </w:pPr>
      <w:r>
        <w:rPr>
          <w:rFonts w:cs="Lato" w:ascii="Lato" w:hAnsi="Lato"/>
          <w:szCs w:val="21"/>
          <w:lang w:val="pl-PL"/>
        </w:rPr>
        <w:t>2) zaniechanie czynności w postępowaniu o udzielenie zamówienia, o zawarcie umowy ramowej, dynamicznym systemie zakupów, systemie kwalifikowania wykonawców lub konkursie, do której zamawiający był obowiązany na podstawie ustawy;</w:t>
      </w:r>
    </w:p>
    <w:p>
      <w:pPr>
        <w:pStyle w:val="Normal"/>
        <w:spacing w:lineRule="auto" w:line="240" w:before="0" w:after="113"/>
        <w:ind w:hanging="0" w:left="291" w:right="13"/>
        <w:rPr>
          <w:szCs w:val="21"/>
        </w:rPr>
      </w:pPr>
      <w:r>
        <w:rPr>
          <w:rFonts w:cs="Lato" w:ascii="Lato" w:hAnsi="Lato"/>
          <w:szCs w:val="21"/>
          <w:lang w:val="pl-PL"/>
        </w:rPr>
        <w:t>3) zaniechanie przeprowadzenia postępowania o udzielenie zamówienia lub zorganizowania konkursu na podstawie ustawy, mimo że zamawiający był do tego obowiązany.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pPr>
        <w:pStyle w:val="Normal"/>
        <w:numPr>
          <w:ilvl w:val="0"/>
          <w:numId w:val="1"/>
        </w:numPr>
        <w:spacing w:lineRule="auto" w:line="240" w:before="0" w:after="113"/>
        <w:ind w:hanging="291" w:left="291" w:right="13"/>
        <w:rPr>
          <w:szCs w:val="21"/>
        </w:rPr>
      </w:pPr>
      <w:r>
        <w:rPr>
          <w:rFonts w:cs="Lato" w:ascii="Lato" w:hAnsi="Lato"/>
          <w:szCs w:val="21"/>
          <w:lang w:val="pl-PL"/>
        </w:rPr>
        <w:t>Odwołanie wnosi się do Prezesa Krajowej Izby Odwoławczej w formie pisemnej lub elektronicznej podpisane bezpiecznym podpisem elektronicznym weryfikowanym przy pomocy ważnego kwalifikowanego certyfikatu lub równoważnego środka, spełniającego wymagania dla tego rodzaju podpisu.</w:t>
      </w:r>
    </w:p>
    <w:p>
      <w:pPr>
        <w:pStyle w:val="Normal"/>
        <w:numPr>
          <w:ilvl w:val="0"/>
          <w:numId w:val="1"/>
        </w:numPr>
        <w:spacing w:lineRule="auto" w:line="240" w:before="0" w:after="113"/>
        <w:ind w:hanging="291" w:left="291" w:right="13"/>
        <w:rPr>
          <w:szCs w:val="21"/>
        </w:rPr>
      </w:pPr>
      <w:r>
        <w:rPr>
          <w:rFonts w:cs="Lato" w:ascii="Lato" w:hAnsi="Lato"/>
          <w:szCs w:val="21"/>
          <w:lang w:val="pl-PL"/>
        </w:rPr>
        <w:t>Terminy wniesienia odwołania określa art. 515  ustawy PZP.</w:t>
      </w:r>
    </w:p>
    <w:p>
      <w:pPr>
        <w:pStyle w:val="Normal"/>
        <w:spacing w:lineRule="auto" w:line="240" w:before="0" w:after="0"/>
        <w:ind w:hanging="10" w:left="263" w:right="0"/>
        <w:jc w:val="center"/>
        <w:rPr/>
      </w:pPr>
      <w:r>
        <w:rPr>
          <w:rFonts w:cs="Lato" w:ascii="Lato" w:hAnsi="Lato"/>
          <w:b/>
          <w:color w:val="auto"/>
          <w:szCs w:val="21"/>
          <w:lang w:val="pl-PL"/>
        </w:rPr>
        <w:t>ROZDZIAŁ XVII</w:t>
      </w:r>
    </w:p>
    <w:p>
      <w:pPr>
        <w:pStyle w:val="Normal"/>
        <w:spacing w:lineRule="auto" w:line="240" w:before="0" w:after="0"/>
        <w:ind w:hanging="10" w:left="263" w:right="0"/>
        <w:rPr/>
      </w:pPr>
      <w:r>
        <w:rPr>
          <w:rFonts w:cs="Lato" w:ascii="Lato" w:hAnsi="Lato"/>
          <w:bCs/>
          <w:szCs w:val="21"/>
          <w:u w:val="none"/>
          <w:lang w:val="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p>
    <w:p>
      <w:pPr>
        <w:pStyle w:val="Normal"/>
        <w:spacing w:lineRule="auto" w:line="240" w:before="0" w:after="0"/>
        <w:ind w:hanging="10" w:left="263" w:right="0"/>
        <w:jc w:val="left"/>
        <w:rPr/>
      </w:pPr>
      <w:r>
        <w:rPr>
          <w:rFonts w:cs="Lato" w:ascii="Lato" w:hAnsi="Lato"/>
          <w:bCs/>
          <w:szCs w:val="21"/>
          <w:u w:val="none"/>
          <w:lang w:val="pl-PL"/>
        </w:rPr>
        <w:t>Zamawiający informuje, że:</w:t>
      </w:r>
    </w:p>
    <w:p>
      <w:pPr>
        <w:pStyle w:val="Normal"/>
        <w:spacing w:lineRule="auto" w:line="240" w:before="0" w:after="0"/>
        <w:ind w:hanging="10" w:left="263" w:right="0"/>
        <w:rPr/>
      </w:pPr>
      <w:r>
        <w:rPr>
          <w:rFonts w:cs="Lato" w:ascii="Lato" w:hAnsi="Lato"/>
          <w:bCs/>
          <w:szCs w:val="21"/>
          <w:u w:val="none"/>
          <w:lang w:val="pl-PL"/>
        </w:rPr>
        <w:t xml:space="preserve">1. Administratorem danych osobowych podanych / udostępnionych przez Wykonawcę jest: Dom Pomocy Społecznej z siedzibą w Krakowie, adres: ul. Babińskiego 25, 30-393 Kraków; </w:t>
      </w:r>
      <w:r>
        <w:rPr>
          <w:rFonts w:cs="Lato" w:ascii="Lato" w:hAnsi="Lato"/>
          <w:szCs w:val="21"/>
          <w:u w:val="none"/>
          <w:lang w:val="pl-PL"/>
        </w:rPr>
        <w:t xml:space="preserve">woj. małopolskie. tel. 0-12 262-02-27. </w:t>
      </w:r>
    </w:p>
    <w:p>
      <w:pPr>
        <w:pStyle w:val="Normal"/>
        <w:spacing w:lineRule="auto" w:line="240" w:before="0" w:after="0"/>
        <w:ind w:hanging="10" w:left="263" w:right="0"/>
        <w:rPr/>
      </w:pPr>
      <w:r>
        <w:rPr>
          <w:rFonts w:cs="Lato" w:ascii="Lato" w:hAnsi="Lato"/>
          <w:bCs/>
          <w:szCs w:val="21"/>
          <w:u w:val="none"/>
          <w:lang w:val="pl-PL"/>
        </w:rPr>
        <w:t xml:space="preserve">2. W DPS został wyznaczony Inspektor ochrony danych – pani Julia Szablowska, z którym można się skontaktować poprzez e-mail: </w:t>
      </w:r>
      <w:hyperlink r:id="rId6">
        <w:r>
          <w:rPr>
            <w:rStyle w:val="Style9"/>
            <w:rFonts w:cs="Lato" w:ascii="Lato-Italic" w:hAnsi="Lato-Italic"/>
            <w:bCs/>
            <w:i/>
            <w:color w:val="000000"/>
            <w:sz w:val="22"/>
            <w:szCs w:val="21"/>
            <w:u w:val="single"/>
            <w:shd w:fill="auto" w:val="clear"/>
            <w:lang w:val="pl-PL"/>
          </w:rPr>
          <w:t>ioddps@outlook.com</w:t>
        </w:r>
      </w:hyperlink>
      <w:r>
        <w:rPr>
          <w:rFonts w:cs="Lato" w:ascii="Lato-Italic" w:hAnsi="Lato-Italic"/>
          <w:bCs/>
          <w:i/>
          <w:color w:val="000000"/>
          <w:sz w:val="22"/>
          <w:szCs w:val="21"/>
          <w:shd w:fill="auto" w:val="clear"/>
          <w:lang w:val="pl-PL"/>
        </w:rPr>
        <w:t xml:space="preserve"> </w:t>
      </w:r>
      <w:r>
        <w:rPr>
          <w:rFonts w:cs="Lato" w:ascii="Lato" w:hAnsi="Lato"/>
          <w:bCs/>
          <w:szCs w:val="21"/>
          <w:u w:val="none"/>
          <w:lang w:val="pl-PL"/>
        </w:rPr>
        <w:t>lub pisząc na adres korespondencyjny Zamawiającego, podany w punkcie 1.</w:t>
      </w:r>
    </w:p>
    <w:p>
      <w:pPr>
        <w:pStyle w:val="Normal"/>
        <w:spacing w:lineRule="auto" w:line="240" w:before="0" w:after="0"/>
        <w:ind w:hanging="10" w:left="298" w:right="29"/>
        <w:rPr/>
      </w:pPr>
      <w:r>
        <w:rPr>
          <w:rFonts w:cs="Lato" w:ascii="Lato" w:hAnsi="Lato"/>
          <w:bCs/>
          <w:szCs w:val="21"/>
          <w:u w:val="none"/>
          <w:lang w:val="pl-PL"/>
        </w:rPr>
        <w:t>3. Dane osobowe podane/udostępnione przez Wykonawcę przetwarzane będą na podstawie art. 6 ust. 1 lit. c RODO w celu związanym z postępowaniem o udzielenie zamówienia publicznego na</w:t>
      </w:r>
      <w:r>
        <w:rPr>
          <w:rFonts w:cs="Lato" w:ascii="Lato" w:hAnsi="Lato"/>
          <w:bCs/>
          <w:sz w:val="22"/>
          <w:u w:val="none"/>
          <w:lang w:val="pl-PL"/>
        </w:rPr>
        <w:t xml:space="preserve"> dostawę artykułów żywnościowych dla Domu Pomocy Społecznej w Krakowie przy ul. Babińskiego 25  w okresie X – XII 2026 r.</w:t>
      </w:r>
    </w:p>
    <w:p>
      <w:pPr>
        <w:pStyle w:val="Normal"/>
        <w:spacing w:lineRule="auto" w:line="240" w:before="0" w:after="0"/>
        <w:ind w:hanging="10" w:left="263" w:right="0"/>
        <w:jc w:val="left"/>
        <w:rPr/>
      </w:pPr>
      <w:r>
        <w:rPr>
          <w:rFonts w:cs="Lato" w:ascii="Lato" w:hAnsi="Lato"/>
          <w:bCs/>
          <w:szCs w:val="21"/>
          <w:u w:val="none"/>
          <w:lang w:val="pl-PL"/>
        </w:rPr>
        <w:t>4. Odbiorcami danych osobowych podanych /udostępnionych przez Wykonawcę będą osoby lub podmioty, którym udostępniona zostanie dokumentacja postępowania w oparciu o przepisy dotyczące dostępu do informacji publicznej, a także inne podmioty, z którymi Administrator zawarł stosowne umowy powierzenia przetwarzania danych osobowych, jeżeli dostęp do danych Wykonawcy jest niezbędny do prawidłowej realizacji powierzonych im zadań.</w:t>
      </w:r>
    </w:p>
    <w:p>
      <w:pPr>
        <w:pStyle w:val="Normal"/>
        <w:spacing w:lineRule="auto" w:line="240" w:before="0" w:after="0"/>
        <w:ind w:hanging="10" w:left="263" w:right="0"/>
        <w:jc w:val="left"/>
        <w:rPr/>
      </w:pPr>
      <w:r>
        <w:rPr>
          <w:rFonts w:cs="Lato" w:ascii="Lato" w:hAnsi="Lato"/>
          <w:bCs/>
          <w:szCs w:val="21"/>
          <w:u w:val="none"/>
          <w:lang w:val="pl-PL"/>
        </w:rPr>
        <w:t>5. Dane osobowe podane/udostępnione przez Wykonawcę zawarte w ofercie będą przechowywane, przez okres 5 lat od dnia zakończenia postępowania o udzielenie zamówienia. Protokół z postępowania będzie przechowywany przez okres 4 lat, począwszy od dnia zakończenia postępowania (jeżeli protokół jest wymagany).</w:t>
      </w:r>
    </w:p>
    <w:p>
      <w:pPr>
        <w:pStyle w:val="Normal"/>
        <w:spacing w:lineRule="auto" w:line="240" w:before="0" w:after="0"/>
        <w:ind w:hanging="10" w:left="263" w:right="0"/>
        <w:jc w:val="left"/>
        <w:rPr/>
      </w:pPr>
      <w:r>
        <w:rPr>
          <w:rFonts w:cs="Lato" w:ascii="Lato" w:hAnsi="Lato"/>
          <w:bCs/>
          <w:szCs w:val="21"/>
          <w:u w:val="none"/>
          <w:lang w:val="pl-PL"/>
        </w:rPr>
        <w:t xml:space="preserve">6. W odniesieniu danych osobowych podanych/udostępnionych przez Wykonawcę decyzje nie będą podejmowane w sposób zautomatyzowany, stosowanie do art. 22 RODO; </w:t>
      </w:r>
    </w:p>
    <w:p>
      <w:pPr>
        <w:pStyle w:val="Normal"/>
        <w:spacing w:lineRule="auto" w:line="240" w:before="0" w:after="0"/>
        <w:ind w:hanging="10" w:left="263" w:right="0"/>
        <w:jc w:val="left"/>
        <w:rPr/>
      </w:pPr>
      <w:r>
        <w:rPr>
          <w:rFonts w:cs="Lato" w:ascii="Lato" w:hAnsi="Lato"/>
          <w:bCs/>
          <w:szCs w:val="21"/>
          <w:u w:val="none"/>
          <w:lang w:val="pl-PL"/>
        </w:rPr>
        <w:t>7. Wykonawca posiada :</w:t>
      </w:r>
    </w:p>
    <w:p>
      <w:pPr>
        <w:pStyle w:val="Normal"/>
        <w:spacing w:lineRule="auto" w:line="240" w:before="0" w:after="0"/>
        <w:ind w:hanging="10" w:left="263" w:right="0"/>
        <w:jc w:val="left"/>
        <w:rPr/>
      </w:pPr>
      <w:r>
        <w:rPr>
          <w:rFonts w:cs="Lato" w:ascii="Lato" w:hAnsi="Lato"/>
          <w:bCs/>
          <w:szCs w:val="21"/>
          <w:u w:val="none"/>
          <w:lang w:val="pl-PL"/>
        </w:rPr>
        <w:t>- na podstawie art. 15 RODO prawo dostępu do swoich danych osobowych;</w:t>
      </w:r>
    </w:p>
    <w:p>
      <w:pPr>
        <w:pStyle w:val="Normal"/>
        <w:spacing w:lineRule="auto" w:line="240" w:before="0" w:after="0"/>
        <w:ind w:hanging="10" w:left="263" w:right="0"/>
        <w:jc w:val="left"/>
        <w:rPr/>
      </w:pPr>
      <w:r>
        <w:rPr>
          <w:rFonts w:cs="Lato" w:ascii="Lato" w:hAnsi="Lato"/>
          <w:bCs/>
          <w:szCs w:val="21"/>
          <w:u w:val="none"/>
          <w:lang w:val="pl-PL"/>
        </w:rPr>
        <w:t>- na podstawie art. 16 RODO prawo do sprostowania swoich danych osobowych;</w:t>
      </w:r>
    </w:p>
    <w:p>
      <w:pPr>
        <w:pStyle w:val="Normal"/>
        <w:spacing w:lineRule="auto" w:line="240" w:before="0" w:after="0"/>
        <w:ind w:hanging="10" w:left="263" w:right="0"/>
        <w:jc w:val="left"/>
        <w:rPr/>
      </w:pPr>
      <w:r>
        <w:rPr>
          <w:rFonts w:cs="Lato" w:ascii="Lato" w:hAnsi="Lato"/>
          <w:bCs/>
          <w:szCs w:val="21"/>
          <w:u w:val="none"/>
          <w:lang w:val="pl-PL"/>
        </w:rPr>
        <w:t>- na podstawie art. 18 RODO prawo żądania od administratora ograniczenia przetwarzania</w:t>
      </w:r>
    </w:p>
    <w:p>
      <w:pPr>
        <w:pStyle w:val="Normal"/>
        <w:spacing w:lineRule="auto" w:line="240" w:before="0" w:after="0"/>
        <w:ind w:hanging="10" w:left="263" w:right="0"/>
        <w:jc w:val="left"/>
        <w:rPr/>
      </w:pPr>
      <w:r>
        <w:rPr>
          <w:rFonts w:cs="Lato" w:ascii="Lato" w:hAnsi="Lato"/>
          <w:bCs/>
          <w:szCs w:val="21"/>
          <w:u w:val="none"/>
          <w:lang w:val="pl-PL"/>
        </w:rPr>
        <w:t>danych osobowych z zastrzeżeniem przypadków, o których mowa w art. 18 ust. 2 RODO;</w:t>
      </w:r>
    </w:p>
    <w:p>
      <w:pPr>
        <w:pStyle w:val="Normal"/>
        <w:spacing w:lineRule="auto" w:line="240" w:before="0" w:after="0"/>
        <w:ind w:hanging="10" w:left="263" w:right="0"/>
        <w:jc w:val="left"/>
        <w:rPr/>
      </w:pPr>
      <w:r>
        <w:rPr>
          <w:rFonts w:cs="Lato" w:ascii="Lato" w:hAnsi="Lato"/>
          <w:bCs/>
          <w:szCs w:val="21"/>
          <w:u w:val="none"/>
          <w:lang w:val="pl-PL"/>
        </w:rPr>
        <w:t>- prawo do wniesienia skargi do Prezesa Urzędu Ochrony Danych Osobowych, gdy Wykonawca</w:t>
      </w:r>
    </w:p>
    <w:p>
      <w:pPr>
        <w:pStyle w:val="Normal"/>
        <w:spacing w:lineRule="auto" w:line="240" w:before="0" w:after="0"/>
        <w:ind w:hanging="10" w:left="263" w:right="0"/>
        <w:jc w:val="left"/>
        <w:rPr/>
      </w:pPr>
      <w:r>
        <w:rPr>
          <w:rFonts w:cs="Lato" w:ascii="Lato" w:hAnsi="Lato"/>
          <w:bCs/>
          <w:szCs w:val="21"/>
          <w:u w:val="none"/>
          <w:lang w:val="pl-PL"/>
        </w:rPr>
        <w:t>uzna, że przetwarzanie jego danych osobowych narusza przepisy RODO;</w:t>
      </w:r>
    </w:p>
    <w:p>
      <w:pPr>
        <w:pStyle w:val="Normal"/>
        <w:spacing w:lineRule="auto" w:line="240" w:before="0" w:after="0"/>
        <w:ind w:hanging="10" w:left="263" w:right="0"/>
        <w:jc w:val="left"/>
        <w:rPr/>
      </w:pPr>
      <w:r>
        <w:rPr>
          <w:rFonts w:cs="Lato" w:ascii="Lato" w:hAnsi="Lato"/>
          <w:bCs/>
          <w:szCs w:val="21"/>
          <w:u w:val="none"/>
          <w:lang w:val="pl-PL"/>
        </w:rPr>
        <w:t>8. Wykonawcy nie przysługuje :</w:t>
      </w:r>
    </w:p>
    <w:p>
      <w:pPr>
        <w:pStyle w:val="Normal"/>
        <w:spacing w:lineRule="auto" w:line="240" w:before="0" w:after="0"/>
        <w:ind w:hanging="10" w:left="263" w:right="0"/>
        <w:jc w:val="left"/>
        <w:rPr/>
      </w:pPr>
      <w:r>
        <w:rPr>
          <w:rFonts w:cs="Lato" w:ascii="Lato" w:hAnsi="Lato"/>
          <w:bCs/>
          <w:szCs w:val="21"/>
          <w:u w:val="none"/>
          <w:lang w:val="pl-PL"/>
        </w:rPr>
        <w:t xml:space="preserve">− </w:t>
      </w:r>
      <w:r>
        <w:rPr>
          <w:rFonts w:cs="Lato" w:ascii="Lato" w:hAnsi="Lato"/>
          <w:bCs/>
          <w:szCs w:val="21"/>
          <w:u w:val="none"/>
          <w:lang w:val="pl-PL"/>
        </w:rPr>
        <w:t>w związku z art. 17 ust. 3 lit. b, d lub e RODO prawo do usunięcia danych osobowych;</w:t>
      </w:r>
    </w:p>
    <w:p>
      <w:pPr>
        <w:pStyle w:val="Normal"/>
        <w:spacing w:lineRule="auto" w:line="240" w:before="0" w:after="0"/>
        <w:ind w:hanging="10" w:left="263" w:right="0"/>
        <w:jc w:val="left"/>
        <w:rPr/>
      </w:pPr>
      <w:r>
        <w:rPr>
          <w:rFonts w:cs="Lato" w:ascii="Lato" w:hAnsi="Lato"/>
          <w:bCs/>
          <w:szCs w:val="21"/>
          <w:u w:val="none"/>
          <w:lang w:val="pl-PL"/>
        </w:rPr>
        <w:t xml:space="preserve">− </w:t>
      </w:r>
      <w:r>
        <w:rPr>
          <w:rFonts w:cs="Lato" w:ascii="Lato" w:hAnsi="Lato"/>
          <w:bCs/>
          <w:szCs w:val="21"/>
          <w:u w:val="none"/>
          <w:lang w:val="pl-PL"/>
        </w:rPr>
        <w:t>prawo do przenoszenia danych osobowych, o którym mowa w art. 20 RODO;</w:t>
      </w:r>
    </w:p>
    <w:p>
      <w:pPr>
        <w:pStyle w:val="Normal"/>
        <w:spacing w:lineRule="auto" w:line="240" w:before="0" w:after="0"/>
        <w:ind w:hanging="10" w:left="263" w:right="0"/>
        <w:jc w:val="left"/>
        <w:rPr/>
      </w:pPr>
      <w:r>
        <w:rPr>
          <w:rFonts w:cs="Lato" w:ascii="Lato" w:hAnsi="Lato"/>
          <w:bCs/>
          <w:szCs w:val="21"/>
          <w:u w:val="none"/>
          <w:lang w:val="pl-PL"/>
        </w:rPr>
        <w:t xml:space="preserve">− </w:t>
      </w:r>
      <w:r>
        <w:rPr>
          <w:rFonts w:cs="Lato" w:ascii="Lato" w:hAnsi="Lato"/>
          <w:bCs/>
          <w:szCs w:val="21"/>
          <w:u w:val="none"/>
          <w:lang w:val="pl-PL"/>
        </w:rPr>
        <w:t>na podstawie art. 21 RODO prawo sprzeciwu, wobec przetwarzania danych osobowych, gdyż</w:t>
      </w:r>
    </w:p>
    <w:p>
      <w:pPr>
        <w:pStyle w:val="Normal"/>
        <w:spacing w:lineRule="auto" w:line="240" w:before="0" w:after="0"/>
        <w:ind w:hanging="10" w:left="263" w:right="0"/>
        <w:jc w:val="left"/>
        <w:rPr/>
      </w:pPr>
      <w:r>
        <w:rPr>
          <w:rFonts w:cs="Lato" w:ascii="Lato" w:hAnsi="Lato"/>
          <w:bCs/>
          <w:szCs w:val="21"/>
          <w:u w:val="none"/>
          <w:lang w:val="pl-PL"/>
        </w:rPr>
        <w:t>podstawą prawną przetwarzania danych osobowych Wykonawcy jest art. 6 ust. 1 lit. c RODO.</w:t>
      </w:r>
    </w:p>
    <w:p>
      <w:pPr>
        <w:pStyle w:val="Normal"/>
        <w:spacing w:lineRule="auto" w:line="240" w:before="0" w:after="0"/>
        <w:ind w:hanging="10" w:left="263" w:right="0"/>
        <w:jc w:val="left"/>
        <w:rPr>
          <w:rFonts w:ascii="Lato" w:hAnsi="Lato" w:cs="Lato"/>
          <w:bCs/>
          <w:szCs w:val="21"/>
          <w:lang w:val="pl-PL"/>
        </w:rPr>
      </w:pPr>
      <w:r>
        <w:rPr>
          <w:rFonts w:cs="Lato" w:ascii="Lato" w:hAnsi="Lato"/>
          <w:bCs/>
          <w:szCs w:val="21"/>
          <w:lang w:val="pl-PL"/>
        </w:rPr>
      </w:r>
    </w:p>
    <w:p>
      <w:pPr>
        <w:pStyle w:val="Normal"/>
        <w:spacing w:lineRule="auto" w:line="240" w:before="0" w:after="113"/>
        <w:ind w:hanging="10" w:left="263" w:right="0"/>
        <w:jc w:val="left"/>
        <w:rPr>
          <w:szCs w:val="21"/>
        </w:rPr>
      </w:pPr>
      <w:r>
        <w:rPr>
          <w:rFonts w:cs="Lato" w:ascii="Lato" w:hAnsi="Lato"/>
          <w:b/>
          <w:szCs w:val="21"/>
          <w:u w:val="single" w:color="000000"/>
          <w:lang w:val="pl-PL"/>
        </w:rPr>
        <w:t>Załączniki:</w:t>
      </w:r>
    </w:p>
    <w:p>
      <w:pPr>
        <w:pStyle w:val="Normal"/>
        <w:numPr>
          <w:ilvl w:val="0"/>
          <w:numId w:val="6"/>
        </w:numPr>
        <w:spacing w:lineRule="auto" w:line="240" w:before="0" w:after="0"/>
        <w:ind w:hanging="234" w:left="511" w:right="13"/>
        <w:rPr/>
      </w:pPr>
      <w:r>
        <w:rPr>
          <w:rFonts w:cs="Lato" w:ascii="Lato" w:hAnsi="Lato"/>
          <w:szCs w:val="21"/>
          <w:lang w:val="pl-PL"/>
        </w:rPr>
        <w:t>Formularz ofertowy – załącznik nr 1</w:t>
      </w:r>
    </w:p>
    <w:p>
      <w:pPr>
        <w:pStyle w:val="Normal"/>
        <w:numPr>
          <w:ilvl w:val="0"/>
          <w:numId w:val="6"/>
        </w:numPr>
        <w:spacing w:lineRule="auto" w:line="240" w:before="0" w:after="0"/>
        <w:ind w:hanging="234" w:left="511" w:right="13"/>
        <w:rPr/>
      </w:pPr>
      <w:r>
        <w:rPr>
          <w:rFonts w:cs="Lato" w:ascii="Lato" w:hAnsi="Lato"/>
          <w:szCs w:val="21"/>
          <w:lang w:val="pl-PL"/>
        </w:rPr>
        <w:t>Formularz asortymentowo-cenowy – załącznik nr 1A - 1H</w:t>
      </w:r>
    </w:p>
    <w:p>
      <w:pPr>
        <w:pStyle w:val="Normal"/>
        <w:numPr>
          <w:ilvl w:val="0"/>
          <w:numId w:val="6"/>
        </w:numPr>
        <w:spacing w:lineRule="auto" w:line="240" w:before="0" w:after="0"/>
        <w:ind w:hanging="234" w:left="511" w:right="13"/>
        <w:rPr/>
      </w:pPr>
      <w:r>
        <w:rPr>
          <w:rFonts w:cs="Lato" w:ascii="Lato" w:hAnsi="Lato"/>
          <w:szCs w:val="21"/>
          <w:lang w:val="pl-PL"/>
        </w:rPr>
        <w:t xml:space="preserve">Oświadczenie oferenta – załącznik nr 2 </w:t>
      </w:r>
    </w:p>
    <w:p>
      <w:pPr>
        <w:pStyle w:val="Normal"/>
        <w:numPr>
          <w:ilvl w:val="0"/>
          <w:numId w:val="6"/>
        </w:numPr>
        <w:spacing w:lineRule="auto" w:line="240" w:before="0" w:after="0"/>
        <w:ind w:hanging="234" w:left="511" w:right="13"/>
        <w:rPr/>
      </w:pPr>
      <w:r>
        <w:rPr>
          <w:rFonts w:cs="Lato" w:ascii="Lato" w:hAnsi="Lato"/>
          <w:szCs w:val="21"/>
          <w:lang w:val="pl-PL"/>
        </w:rPr>
        <w:t>Oświadczenie oferenta – załącznik nr 3</w:t>
      </w:r>
    </w:p>
    <w:p>
      <w:pPr>
        <w:pStyle w:val="Normal"/>
        <w:numPr>
          <w:ilvl w:val="0"/>
          <w:numId w:val="6"/>
        </w:numPr>
        <w:spacing w:lineRule="auto" w:line="240" w:before="0" w:after="0"/>
        <w:ind w:hanging="234" w:left="511" w:right="13"/>
        <w:rPr/>
      </w:pPr>
      <w:r>
        <w:rPr>
          <w:rFonts w:cs="Lato" w:ascii="Lato" w:hAnsi="Lato"/>
          <w:szCs w:val="21"/>
          <w:lang w:val="pl-PL"/>
        </w:rPr>
        <w:t>Oświadczenie oferenta – załącznik nr 4</w:t>
      </w:r>
    </w:p>
    <w:p>
      <w:pPr>
        <w:pStyle w:val="Normal"/>
        <w:numPr>
          <w:ilvl w:val="0"/>
          <w:numId w:val="6"/>
        </w:numPr>
        <w:spacing w:lineRule="auto" w:line="240" w:before="0" w:after="0"/>
        <w:ind w:hanging="234" w:left="511" w:right="13"/>
        <w:rPr/>
      </w:pPr>
      <w:r>
        <w:rPr>
          <w:rFonts w:cs="Lato" w:ascii="Lato" w:hAnsi="Lato"/>
          <w:szCs w:val="21"/>
          <w:lang w:val="pl-PL"/>
        </w:rPr>
        <w:t>Wzór umowy – załącznik nr 5</w:t>
      </w:r>
      <w:r>
        <w:rPr>
          <w:rFonts w:eastAsia="Lato" w:cs="Lato" w:ascii="Lato" w:hAnsi="Lato"/>
          <w:b/>
          <w:szCs w:val="21"/>
          <w:lang w:val="pl-PL"/>
        </w:rPr>
        <w:t xml:space="preserve">                                                                                                               </w:t>
      </w:r>
      <w:r>
        <w:rPr>
          <w:rFonts w:eastAsia="Lato" w:cs="Lato" w:ascii="Lato" w:hAnsi="Lato"/>
          <w:szCs w:val="21"/>
          <w:lang w:val="pl-PL"/>
        </w:rPr>
        <w:t xml:space="preserve">  </w:t>
      </w:r>
    </w:p>
    <w:p>
      <w:pPr>
        <w:pStyle w:val="Normal"/>
        <w:spacing w:lineRule="auto" w:line="240" w:before="0" w:after="0"/>
        <w:ind w:hanging="0" w:left="0" w:right="13"/>
        <w:rPr>
          <w:szCs w:val="21"/>
        </w:rPr>
      </w:pPr>
      <w:r>
        <w:rPr>
          <w:rFonts w:eastAsia="Lato" w:cs="Lato" w:ascii="Lato" w:hAnsi="Lato"/>
          <w:szCs w:val="21"/>
          <w:lang w:val="pl-PL"/>
        </w:rPr>
        <w:t xml:space="preserve">                                                                                                                                                              </w:t>
      </w:r>
      <w:r>
        <w:rPr>
          <w:rFonts w:cs="Lato" w:ascii="Lato" w:hAnsi="Lato"/>
          <w:szCs w:val="21"/>
          <w:lang w:val="pl-PL"/>
        </w:rPr>
        <w:t xml:space="preserve">ZATWIERDZIŁ:     </w:t>
      </w:r>
      <w:r>
        <w:rPr>
          <w:rFonts w:cs="Lato" w:ascii="Lato" w:hAnsi="Lato"/>
          <w:b/>
          <w:szCs w:val="21"/>
          <w:lang w:val="pl-PL"/>
        </w:rPr>
        <w:t xml:space="preserve">           </w:t>
      </w:r>
    </w:p>
    <w:sectPr>
      <w:footerReference w:type="even" r:id="rId7"/>
      <w:footerReference w:type="default" r:id="rId8"/>
      <w:footerReference w:type="first" r:id="rId9"/>
      <w:type w:val="nextPage"/>
      <w:pgSz w:w="12240" w:h="15840"/>
      <w:pgMar w:left="1134" w:right="1075" w:gutter="0" w:header="0" w:top="1113" w:footer="1134" w:bottom="16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Segoe UI Symbol">
    <w:charset w:val="ee"/>
    <w:family w:val="roman"/>
    <w:pitch w:val="variable"/>
  </w:font>
  <w:font w:name="Times New Roman">
    <w:charset w:val="ee"/>
    <w:family w:val="roman"/>
    <w:pitch w:val="variable"/>
  </w:font>
  <w:font w:name="Wingdings">
    <w:charset w:val="ee"/>
    <w:family w:val="roman"/>
    <w:pitch w:val="variable"/>
  </w:font>
  <w:font w:name="Liberation Sans">
    <w:altName w:val="Arial"/>
    <w:charset w:val="ee"/>
    <w:family w:val="swiss"/>
    <w:pitch w:val="variable"/>
  </w:font>
  <w:font w:name="Lato">
    <w:charset w:val="ee"/>
    <w:family w:val="roman"/>
    <w:pitch w:val="variable"/>
  </w:font>
  <w:font w:name="Lato-Italic">
    <w:charset w:val="ee"/>
    <w:family w:val="roman"/>
    <w:pitch w:val="variable"/>
  </w:font>
  <w:font w:name="Arial">
    <w:charset w:val="01"/>
    <w:family w:val="swiss"/>
    <w:pitch w:val="variable"/>
  </w:font>
  <w:font w:name="Segoe UI Symbo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4"/>
      <w:rPr/>
    </w:pPr>
    <w:r>
      <w:rPr/>
      <w:fldChar w:fldCharType="begin"/>
    </w:r>
    <w:r>
      <w:rPr/>
      <w:instrText xml:space="preserve"> PAGE </w:instrText>
    </w:r>
    <w:r>
      <w:rPr/>
      <w:fldChar w:fldCharType="separate"/>
    </w:r>
    <w:r>
      <w:rPr/>
      <w:t>13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spacing w:before="0" w:after="4"/>
      <w:rPr/>
    </w:pPr>
    <w:r>
      <w:rPr/>
      <w:fldChar w:fldCharType="begin"/>
    </w:r>
    <w:r>
      <w:rPr/>
      <w:instrText xml:space="preserve"> PAGE </w:instrText>
    </w:r>
    <w:r>
      <w:rPr/>
      <w:fldChar w:fldCharType="separate"/>
    </w:r>
    <w:r>
      <w:rPr/>
      <w:t>13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29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bullet"/>
      <w:lvlText w:val="•"/>
      <w:lvlJc w:val="left"/>
      <w:pPr>
        <w:tabs>
          <w:tab w:val="num" w:pos="720"/>
        </w:tabs>
        <w:ind w:left="988" w:hanging="0"/>
      </w:pPr>
      <w:rPr>
        <w:rFonts w:ascii="Arial" w:hAnsi="Arial" w:cs="Arial" w:hint="default"/>
        <w:b w:val="false"/>
        <w:i w:val="false"/>
        <w:strike w:val="false"/>
        <w:dstrike w:val="false"/>
        <w:color w:val="000000"/>
        <w:position w:val="0"/>
        <w:sz w:val="21"/>
        <w:szCs w:val="21"/>
        <w:u w:val="none" w:color="000000"/>
        <w:shd w:fill="auto" w:val="clear"/>
        <w:vertAlign w:val="baseline"/>
        <w:lang w:val="pl-PL" w:bidi="ar-SA"/>
      </w:rPr>
    </w:lvl>
    <w:lvl w:ilvl="2">
      <w:start w:val="1"/>
      <w:numFmt w:val="bullet"/>
      <w:lvlText w:val="▪"/>
      <w:lvlJc w:val="left"/>
      <w:pPr>
        <w:tabs>
          <w:tab w:val="num" w:pos="0"/>
        </w:tabs>
        <w:ind w:left="1800" w:hanging="0"/>
      </w:pPr>
      <w:rPr>
        <w:rFonts w:ascii="Segoe UI Symbol" w:hAnsi="Segoe UI Symbol" w:cs="Segoe UI Symbol" w:hint="default"/>
        <w:b w:val="false"/>
        <w:i w:val="false"/>
        <w:strike w:val="false"/>
        <w:dstrike w:val="false"/>
        <w:color w:val="000000"/>
        <w:position w:val="0"/>
        <w:sz w:val="21"/>
        <w:szCs w:val="21"/>
        <w:u w:val="none" w:color="000000"/>
        <w:shd w:fill="auto" w:val="clear"/>
        <w:vertAlign w:val="baseline"/>
      </w:rPr>
    </w:lvl>
    <w:lvl w:ilvl="3">
      <w:start w:val="1"/>
      <w:numFmt w:val="bullet"/>
      <w:lvlText w:val="•"/>
      <w:lvlJc w:val="left"/>
      <w:pPr>
        <w:tabs>
          <w:tab w:val="num" w:pos="0"/>
        </w:tabs>
        <w:ind w:left="2520" w:hanging="0"/>
      </w:pPr>
      <w:rPr>
        <w:rFonts w:ascii="Arial" w:hAnsi="Arial" w:cs="Arial" w:hint="default"/>
        <w:b w:val="false"/>
        <w:i w:val="false"/>
        <w:strike w:val="false"/>
        <w:dstrike w:val="false"/>
        <w:color w:val="000000"/>
        <w:position w:val="0"/>
        <w:sz w:val="21"/>
        <w:szCs w:val="21"/>
        <w:u w:val="none" w:color="000000"/>
        <w:shd w:fill="auto" w:val="clear"/>
        <w:vertAlign w:val="baseline"/>
        <w:lang w:val="pl-PL" w:bidi="ar-SA"/>
      </w:rPr>
    </w:lvl>
    <w:lvl w:ilvl="4">
      <w:start w:val="1"/>
      <w:numFmt w:val="bullet"/>
      <w:lvlText w:val="o"/>
      <w:lvlJc w:val="left"/>
      <w:pPr>
        <w:tabs>
          <w:tab w:val="num" w:pos="0"/>
        </w:tabs>
        <w:ind w:left="3240" w:hanging="0"/>
      </w:pPr>
      <w:rPr>
        <w:rFonts w:ascii="Segoe UI Symbol" w:hAnsi="Segoe UI Symbol" w:cs="Segoe UI Symbol" w:hint="default"/>
        <w:b w:val="false"/>
        <w:i w:val="false"/>
        <w:strike w:val="false"/>
        <w:dstrike w:val="false"/>
        <w:color w:val="000000"/>
        <w:position w:val="0"/>
        <w:sz w:val="21"/>
        <w:szCs w:val="21"/>
        <w:u w:val="none" w:color="000000"/>
        <w:shd w:fill="auto" w:val="clear"/>
        <w:vertAlign w:val="baseline"/>
      </w:rPr>
    </w:lvl>
    <w:lvl w:ilvl="5">
      <w:start w:val="1"/>
      <w:numFmt w:val="bullet"/>
      <w:lvlText w:val="▪"/>
      <w:lvlJc w:val="left"/>
      <w:pPr>
        <w:tabs>
          <w:tab w:val="num" w:pos="0"/>
        </w:tabs>
        <w:ind w:left="3960" w:hanging="0"/>
      </w:pPr>
      <w:rPr>
        <w:rFonts w:ascii="Segoe UI Symbol" w:hAnsi="Segoe UI Symbol" w:cs="Segoe UI Symbol" w:hint="default"/>
        <w:b w:val="false"/>
        <w:i w:val="false"/>
        <w:strike w:val="false"/>
        <w:dstrike w:val="false"/>
        <w:color w:val="000000"/>
        <w:position w:val="0"/>
        <w:sz w:val="21"/>
        <w:szCs w:val="21"/>
        <w:u w:val="none" w:color="000000"/>
        <w:shd w:fill="auto" w:val="clear"/>
        <w:vertAlign w:val="baseline"/>
      </w:rPr>
    </w:lvl>
    <w:lvl w:ilvl="6">
      <w:start w:val="1"/>
      <w:numFmt w:val="bullet"/>
      <w:lvlText w:val="•"/>
      <w:lvlJc w:val="left"/>
      <w:pPr>
        <w:tabs>
          <w:tab w:val="num" w:pos="0"/>
        </w:tabs>
        <w:ind w:left="4680" w:hanging="0"/>
      </w:pPr>
      <w:rPr>
        <w:rFonts w:ascii="Arial" w:hAnsi="Arial" w:cs="Arial" w:hint="default"/>
        <w:b w:val="false"/>
        <w:i w:val="false"/>
        <w:strike w:val="false"/>
        <w:dstrike w:val="false"/>
        <w:color w:val="000000"/>
        <w:position w:val="0"/>
        <w:sz w:val="21"/>
        <w:szCs w:val="21"/>
        <w:u w:val="none" w:color="000000"/>
        <w:shd w:fill="auto" w:val="clear"/>
        <w:vertAlign w:val="baseline"/>
        <w:lang w:val="pl-PL" w:bidi="ar-SA"/>
      </w:rPr>
    </w:lvl>
    <w:lvl w:ilvl="7">
      <w:start w:val="1"/>
      <w:numFmt w:val="bullet"/>
      <w:lvlText w:val="o"/>
      <w:lvlJc w:val="left"/>
      <w:pPr>
        <w:tabs>
          <w:tab w:val="num" w:pos="0"/>
        </w:tabs>
        <w:ind w:left="5400" w:hanging="0"/>
      </w:pPr>
      <w:rPr>
        <w:rFonts w:ascii="Segoe UI Symbol" w:hAnsi="Segoe UI Symbol" w:cs="Segoe UI Symbol" w:hint="default"/>
        <w:b w:val="false"/>
        <w:i w:val="false"/>
        <w:strike w:val="false"/>
        <w:dstrike w:val="false"/>
        <w:color w:val="000000"/>
        <w:position w:val="0"/>
        <w:sz w:val="21"/>
        <w:szCs w:val="21"/>
        <w:u w:val="none" w:color="000000"/>
        <w:shd w:fill="auto" w:val="clear"/>
        <w:vertAlign w:val="baseline"/>
      </w:rPr>
    </w:lvl>
    <w:lvl w:ilvl="8">
      <w:start w:val="1"/>
      <w:numFmt w:val="bullet"/>
      <w:lvlText w:val="▪"/>
      <w:lvlJc w:val="left"/>
      <w:pPr>
        <w:tabs>
          <w:tab w:val="num" w:pos="0"/>
        </w:tabs>
        <w:ind w:left="6120" w:hanging="0"/>
      </w:pPr>
      <w:rPr>
        <w:rFonts w:ascii="Segoe UI Symbol" w:hAnsi="Segoe UI Symbol" w:cs="Segoe UI Symbol" w:hint="default"/>
        <w:b w:val="false"/>
        <w:i w:val="false"/>
        <w:strike w:val="false"/>
        <w:dstrike w:val="false"/>
        <w:color w:val="000000"/>
        <w:position w:val="0"/>
        <w:sz w:val="21"/>
        <w:szCs w:val="21"/>
        <w:u w:val="none" w:color="000000"/>
        <w:shd w:fill="auto" w:val="clear"/>
        <w:vertAlign w:val="baseline"/>
      </w:rPr>
    </w:lvl>
  </w:abstractNum>
  <w:abstractNum w:abstractNumId="2">
    <w:lvl w:ilvl="0">
      <w:start w:val="1"/>
      <w:numFmt w:val="decimal"/>
      <w:lvlText w:val="%1"/>
      <w:lvlJc w:val="left"/>
      <w:pPr>
        <w:tabs>
          <w:tab w:val="num" w:pos="0"/>
        </w:tabs>
        <w:ind w:left="36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1">
      <w:start w:val="1"/>
      <w:numFmt w:val="lowerLetter"/>
      <w:lvlText w:val="%2"/>
      <w:lvlJc w:val="left"/>
      <w:pPr>
        <w:tabs>
          <w:tab w:val="num" w:pos="0"/>
        </w:tabs>
        <w:ind w:left="54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2">
      <w:start w:val="4"/>
      <w:numFmt w:val="decimal"/>
      <w:lvlText w:val="%3."/>
      <w:lvlJc w:val="left"/>
      <w:pPr>
        <w:tabs>
          <w:tab w:val="num" w:pos="0"/>
        </w:tabs>
        <w:ind w:left="287"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3">
      <w:start w:val="1"/>
      <w:numFmt w:val="decimal"/>
      <w:lvlText w:val="%4"/>
      <w:lvlJc w:val="left"/>
      <w:pPr>
        <w:tabs>
          <w:tab w:val="num" w:pos="0"/>
        </w:tabs>
        <w:ind w:left="144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4">
      <w:start w:val="1"/>
      <w:numFmt w:val="lowerLetter"/>
      <w:lvlText w:val="%5"/>
      <w:lvlJc w:val="left"/>
      <w:pPr>
        <w:tabs>
          <w:tab w:val="num" w:pos="0"/>
        </w:tabs>
        <w:ind w:left="216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5">
      <w:start w:val="1"/>
      <w:numFmt w:val="lowerRoman"/>
      <w:lvlText w:val="%6"/>
      <w:lvlJc w:val="left"/>
      <w:pPr>
        <w:tabs>
          <w:tab w:val="num" w:pos="0"/>
        </w:tabs>
        <w:ind w:left="288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6">
      <w:start w:val="1"/>
      <w:numFmt w:val="decimal"/>
      <w:lvlText w:val="%7"/>
      <w:lvlJc w:val="left"/>
      <w:pPr>
        <w:tabs>
          <w:tab w:val="num" w:pos="0"/>
        </w:tabs>
        <w:ind w:left="360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7">
      <w:start w:val="1"/>
      <w:numFmt w:val="lowerLetter"/>
      <w:lvlText w:val="%8"/>
      <w:lvlJc w:val="left"/>
      <w:pPr>
        <w:tabs>
          <w:tab w:val="num" w:pos="0"/>
        </w:tabs>
        <w:ind w:left="432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lvl w:ilvl="8">
      <w:start w:val="1"/>
      <w:numFmt w:val="lowerRoman"/>
      <w:lvlText w:val="%9"/>
      <w:lvlJc w:val="left"/>
      <w:pPr>
        <w:tabs>
          <w:tab w:val="num" w:pos="0"/>
        </w:tabs>
        <w:ind w:left="5040" w:hanging="0"/>
      </w:pPr>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lvl>
  </w:abstractNum>
  <w:abstractNum w:abstractNumId="3">
    <w:lvl w:ilvl="0">
      <w:start w:val="1"/>
      <w:numFmt w:val="decimal"/>
      <w:lvlText w:val="%1."/>
      <w:lvlJc w:val="left"/>
      <w:pPr>
        <w:tabs>
          <w:tab w:val="num" w:pos="720"/>
        </w:tabs>
        <w:ind w:left="511" w:hanging="0"/>
      </w:pPr>
      <w:rPr>
        <w:rFonts w:ascii="Times New Roman" w:hAnsi="Times New Roman" w:eastAsia="Times New Roman" w:cs="Times New Roman"/>
        <w:b w:val="false"/>
        <w:i w:val="false"/>
        <w:strike w:val="false"/>
        <w:dstrike w:val="false"/>
        <w:color w:val="000000"/>
        <w:position w:val="0"/>
        <w:sz w:val="21"/>
        <w:szCs w:val="21"/>
        <w:u w:val="none" w:color="000000"/>
        <w:shd w:fill="auto" w:val="clear"/>
        <w:vertAlign w:val="baseline"/>
        <w:lang w:val="pl-PL" w:bidi="ar-S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51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decimal"/>
      <w:lvlText w:val="%2."/>
      <w:lvlJc w:val="left"/>
      <w:pPr>
        <w:tabs>
          <w:tab w:val="num" w:pos="720"/>
        </w:tabs>
        <w:ind w:left="523" w:hanging="0"/>
      </w:pPr>
      <w:rPr>
        <w:rFonts w:ascii="Arial" w:hAnsi="Arial" w:eastAsia="Arial" w:cs="Arial"/>
        <w:b w:val="false"/>
        <w:i w:val="false"/>
        <w:strike w:val="false"/>
        <w:dstrike w:val="false"/>
        <w:color w:val="000000"/>
        <w:position w:val="0"/>
        <w:sz w:val="20"/>
        <w:szCs w:val="20"/>
        <w:u w:val="none" w:color="000000"/>
        <w:shd w:fill="auto" w:val="clear"/>
        <w:vertAlign w:val="baseline"/>
        <w:lang w:val="pl-PL" w:bidi="ar-SA"/>
      </w:rPr>
    </w:lvl>
    <w:lvl w:ilvl="2">
      <w:start w:val="1"/>
      <w:numFmt w:val="bullet"/>
      <w:lvlText w:val=""/>
      <w:lvlJc w:val="left"/>
      <w:pPr>
        <w:tabs>
          <w:tab w:val="num" w:pos="720"/>
        </w:tabs>
        <w:ind w:left="824"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3">
      <w:start w:val="1"/>
      <w:numFmt w:val="bullet"/>
      <w:lvlText w:val="•"/>
      <w:lvlJc w:val="left"/>
      <w:pPr>
        <w:tabs>
          <w:tab w:val="num" w:pos="0"/>
        </w:tabs>
        <w:ind w:left="214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4">
      <w:start w:val="1"/>
      <w:numFmt w:val="bullet"/>
      <w:lvlText w:val="o"/>
      <w:lvlJc w:val="left"/>
      <w:pPr>
        <w:tabs>
          <w:tab w:val="num" w:pos="0"/>
        </w:tabs>
        <w:ind w:left="286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5">
      <w:start w:val="1"/>
      <w:numFmt w:val="bullet"/>
      <w:lvlText w:val="▪"/>
      <w:lvlJc w:val="left"/>
      <w:pPr>
        <w:tabs>
          <w:tab w:val="num" w:pos="0"/>
        </w:tabs>
        <w:ind w:left="358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6">
      <w:start w:val="1"/>
      <w:numFmt w:val="bullet"/>
      <w:lvlText w:val="•"/>
      <w:lvlJc w:val="left"/>
      <w:pPr>
        <w:tabs>
          <w:tab w:val="num" w:pos="0"/>
        </w:tabs>
        <w:ind w:left="430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7">
      <w:start w:val="1"/>
      <w:numFmt w:val="bullet"/>
      <w:lvlText w:val="o"/>
      <w:lvlJc w:val="left"/>
      <w:pPr>
        <w:tabs>
          <w:tab w:val="num" w:pos="0"/>
        </w:tabs>
        <w:ind w:left="502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lvl w:ilvl="8">
      <w:start w:val="1"/>
      <w:numFmt w:val="bullet"/>
      <w:lvlText w:val="▪"/>
      <w:lvlJc w:val="left"/>
      <w:pPr>
        <w:tabs>
          <w:tab w:val="num" w:pos="0"/>
        </w:tabs>
        <w:ind w:left="5748" w:hanging="0"/>
      </w:pPr>
      <w:rPr>
        <w:rFonts w:ascii="Wingdings" w:hAnsi="Wingdings" w:cs="Wingdings" w:hint="default"/>
        <w:b w:val="false"/>
        <w:i w:val="false"/>
        <w:strike w:val="false"/>
        <w:dstrike w:val="false"/>
        <w:color w:val="000000"/>
        <w:position w:val="0"/>
        <w:sz w:val="18"/>
        <w:szCs w:val="18"/>
        <w:u w:val="none" w:color="000000"/>
        <w:shd w:fill="auto" w:val="clear"/>
        <w:vertAlign w:val="baseline"/>
        <w:lang w:val="pl-PL" w:bidi="ar-SA"/>
      </w:rPr>
    </w:lvl>
  </w:abstractNum>
  <w:abstractNum w:abstractNumId="5">
    <w:lvl w:ilvl="0">
      <w:start w:val="1"/>
      <w:numFmt w:val="decimal"/>
      <w:lvlText w:val="%1."/>
      <w:lvlJc w:val="left"/>
      <w:pPr>
        <w:tabs>
          <w:tab w:val="num" w:pos="0"/>
        </w:tabs>
        <w:ind w:left="287" w:hanging="0"/>
      </w:pPr>
      <w:rPr>
        <w:rFonts w:ascii="Times New Roman" w:hAnsi="Times New Roman" w:eastAsia="Times New Roman" w:cs="Times New Roman"/>
        <w:b w:val="false"/>
        <w:i w:val="false"/>
        <w:strike w:val="false"/>
        <w:dstrike w:val="false"/>
        <w:color w:val="000000"/>
        <w:position w:val="0"/>
        <w:sz w:val="22"/>
        <w:szCs w:val="22"/>
        <w:u w:val="none" w:color="000000"/>
        <w:shd w:fill="auto" w:val="clear"/>
        <w:vertAlign w:val="baseline"/>
        <w:lang w:val="pl-PL" w:bidi="ar-S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720"/>
        </w:tabs>
        <w:ind w:left="51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360" w:hanging="0"/>
      </w:pPr>
      <w:rPr>
        <w:rFonts w:ascii="Arial" w:hAnsi="Arial" w:cs="Arial" w:hint="default"/>
        <w:b w:val="false"/>
        <w:i w:val="false"/>
        <w:strike w:val="false"/>
        <w:dstrike w:val="false"/>
        <w:color w:val="000000"/>
        <w:position w:val="0"/>
        <w:sz w:val="18"/>
        <w:szCs w:val="18"/>
        <w:u w:val="none" w:color="000000"/>
        <w:shd w:fill="auto" w:val="clear"/>
        <w:vertAlign w:val="baseline"/>
        <w:lang w:val="pl-PL" w:bidi="ar-SA"/>
      </w:rPr>
    </w:lvl>
    <w:lvl w:ilvl="1">
      <w:start w:val="1"/>
      <w:numFmt w:val="bullet"/>
      <w:lvlText w:val="o"/>
      <w:lvlJc w:val="left"/>
      <w:pPr>
        <w:tabs>
          <w:tab w:val="num" w:pos="0"/>
        </w:tabs>
        <w:ind w:left="60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2">
      <w:start w:val="1"/>
      <w:numFmt w:val="bullet"/>
      <w:lvlText w:val="▪"/>
      <w:lvlJc w:val="left"/>
      <w:pPr>
        <w:tabs>
          <w:tab w:val="num" w:pos="0"/>
        </w:tabs>
        <w:ind w:left="84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3">
      <w:start w:val="1"/>
      <w:numFmt w:val="bullet"/>
      <w:lvlText w:val="•"/>
      <w:lvlJc w:val="left"/>
      <w:pPr>
        <w:tabs>
          <w:tab w:val="num" w:pos="720"/>
        </w:tabs>
        <w:ind w:left="988" w:hanging="0"/>
      </w:pPr>
      <w:rPr>
        <w:rFonts w:ascii="Arial" w:hAnsi="Arial" w:cs="Arial" w:hint="default"/>
        <w:b w:val="false"/>
        <w:i w:val="false"/>
        <w:strike w:val="false"/>
        <w:dstrike w:val="false"/>
        <w:color w:val="000000"/>
        <w:position w:val="0"/>
        <w:sz w:val="18"/>
        <w:szCs w:val="18"/>
        <w:u w:val="none" w:color="000000"/>
        <w:shd w:fill="auto" w:val="clear"/>
        <w:vertAlign w:val="baseline"/>
        <w:lang w:val="pl-PL" w:bidi="ar-SA"/>
      </w:rPr>
    </w:lvl>
    <w:lvl w:ilvl="4">
      <w:start w:val="1"/>
      <w:numFmt w:val="bullet"/>
      <w:lvlText w:val="o"/>
      <w:lvlJc w:val="left"/>
      <w:pPr>
        <w:tabs>
          <w:tab w:val="num" w:pos="0"/>
        </w:tabs>
        <w:ind w:left="180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5">
      <w:start w:val="1"/>
      <w:numFmt w:val="bullet"/>
      <w:lvlText w:val="▪"/>
      <w:lvlJc w:val="left"/>
      <w:pPr>
        <w:tabs>
          <w:tab w:val="num" w:pos="0"/>
        </w:tabs>
        <w:ind w:left="252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6">
      <w:start w:val="1"/>
      <w:numFmt w:val="bullet"/>
      <w:lvlText w:val="•"/>
      <w:lvlJc w:val="left"/>
      <w:pPr>
        <w:tabs>
          <w:tab w:val="num" w:pos="0"/>
        </w:tabs>
        <w:ind w:left="3240" w:hanging="0"/>
      </w:pPr>
      <w:rPr>
        <w:rFonts w:ascii="Arial" w:hAnsi="Arial" w:cs="Arial" w:hint="default"/>
        <w:b w:val="false"/>
        <w:i w:val="false"/>
        <w:strike w:val="false"/>
        <w:dstrike w:val="false"/>
        <w:color w:val="000000"/>
        <w:position w:val="0"/>
        <w:sz w:val="18"/>
        <w:szCs w:val="18"/>
        <w:u w:val="none" w:color="000000"/>
        <w:shd w:fill="auto" w:val="clear"/>
        <w:vertAlign w:val="baseline"/>
        <w:lang w:val="pl-PL" w:bidi="ar-SA"/>
      </w:rPr>
    </w:lvl>
    <w:lvl w:ilvl="7">
      <w:start w:val="1"/>
      <w:numFmt w:val="bullet"/>
      <w:lvlText w:val="o"/>
      <w:lvlJc w:val="left"/>
      <w:pPr>
        <w:tabs>
          <w:tab w:val="num" w:pos="0"/>
        </w:tabs>
        <w:ind w:left="396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8">
      <w:start w:val="1"/>
      <w:numFmt w:val="bullet"/>
      <w:lvlText w:val="▪"/>
      <w:lvlJc w:val="left"/>
      <w:pPr>
        <w:tabs>
          <w:tab w:val="num" w:pos="0"/>
        </w:tabs>
        <w:ind w:left="468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abstractNum>
  <w:abstractNum w:abstractNumId="8">
    <w:lvl w:ilvl="0">
      <w:start w:val="1"/>
      <w:numFmt w:val="bullet"/>
      <w:lvlText w:val="-"/>
      <w:lvlJc w:val="left"/>
      <w:pPr>
        <w:tabs>
          <w:tab w:val="num" w:pos="720"/>
        </w:tabs>
        <w:ind w:left="405" w:hanging="0"/>
      </w:pPr>
      <w:rPr>
        <w:rFonts w:ascii="Arial" w:hAnsi="Arial" w:cs="Arial" w:hint="default"/>
        <w:b w:val="false"/>
        <w:i w:val="false"/>
        <w:strike w:val="false"/>
        <w:dstrike w:val="false"/>
        <w:color w:val="000000"/>
        <w:position w:val="0"/>
        <w:sz w:val="21"/>
        <w:szCs w:val="21"/>
        <w:u w:val="none" w:color="000000"/>
        <w:shd w:fill="auto" w:val="clear"/>
        <w:vertAlign w:val="baseline"/>
        <w:lang w:val="pl-PL" w:bidi="ar-S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4"/>
      <w:numFmt w:val="decimal"/>
      <w:lvlText w:val="%1."/>
      <w:lvlJc w:val="left"/>
      <w:pPr>
        <w:tabs>
          <w:tab w:val="num" w:pos="0"/>
        </w:tabs>
        <w:ind w:left="287"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bullet"/>
      <w:lvlText w:val="-"/>
      <w:lvlJc w:val="left"/>
      <w:pPr>
        <w:tabs>
          <w:tab w:val="num" w:pos="720"/>
        </w:tabs>
        <w:ind w:left="405"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2">
      <w:start w:val="1"/>
      <w:numFmt w:val="bullet"/>
      <w:lvlText w:val="▪"/>
      <w:lvlJc w:val="left"/>
      <w:pPr>
        <w:tabs>
          <w:tab w:val="num" w:pos="0"/>
        </w:tabs>
        <w:ind w:left="208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3">
      <w:start w:val="1"/>
      <w:numFmt w:val="bullet"/>
      <w:lvlText w:val="•"/>
      <w:lvlJc w:val="left"/>
      <w:pPr>
        <w:tabs>
          <w:tab w:val="num" w:pos="0"/>
        </w:tabs>
        <w:ind w:left="280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4">
      <w:start w:val="1"/>
      <w:numFmt w:val="bullet"/>
      <w:lvlText w:val="o"/>
      <w:lvlJc w:val="left"/>
      <w:pPr>
        <w:tabs>
          <w:tab w:val="num" w:pos="0"/>
        </w:tabs>
        <w:ind w:left="352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5">
      <w:start w:val="1"/>
      <w:numFmt w:val="bullet"/>
      <w:lvlText w:val="▪"/>
      <w:lvlJc w:val="left"/>
      <w:pPr>
        <w:tabs>
          <w:tab w:val="num" w:pos="0"/>
        </w:tabs>
        <w:ind w:left="424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6">
      <w:start w:val="1"/>
      <w:numFmt w:val="bullet"/>
      <w:lvlText w:val="•"/>
      <w:lvlJc w:val="left"/>
      <w:pPr>
        <w:tabs>
          <w:tab w:val="num" w:pos="0"/>
        </w:tabs>
        <w:ind w:left="496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7">
      <w:start w:val="1"/>
      <w:numFmt w:val="bullet"/>
      <w:lvlText w:val="o"/>
      <w:lvlJc w:val="left"/>
      <w:pPr>
        <w:tabs>
          <w:tab w:val="num" w:pos="0"/>
        </w:tabs>
        <w:ind w:left="568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lvl w:ilvl="8">
      <w:start w:val="1"/>
      <w:numFmt w:val="bullet"/>
      <w:lvlText w:val="▪"/>
      <w:lvlJc w:val="left"/>
      <w:pPr>
        <w:tabs>
          <w:tab w:val="num" w:pos="0"/>
        </w:tabs>
        <w:ind w:left="6402" w:hanging="0"/>
      </w:pPr>
      <w:rPr>
        <w:rFonts w:ascii="Arial" w:hAnsi="Arial" w:cs="Arial" w:hint="default"/>
        <w:b w:val="false"/>
        <w:i w:val="false"/>
        <w:strike w:val="false"/>
        <w:dstrike w:val="false"/>
        <w:color w:val="000000"/>
        <w:position w:val="0"/>
        <w:sz w:val="21"/>
        <w:szCs w:val="21"/>
        <w:u w:val="none" w:color="000000"/>
        <w:shd w:fill="auto" w:val="clear"/>
        <w:vertAlign w:val="baseline"/>
      </w:rPr>
    </w:lvl>
  </w:abstractNum>
  <w:abstractNum w:abstractNumId="10">
    <w:lvl w:ilvl="0">
      <w:start w:val="1"/>
      <w:numFmt w:val="decimal"/>
      <w:lvlText w:val="%1"/>
      <w:lvlJc w:val="left"/>
      <w:pPr>
        <w:tabs>
          <w:tab w:val="num" w:pos="0"/>
        </w:tabs>
        <w:ind w:left="36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1">
      <w:start w:val="1"/>
      <w:numFmt w:val="lowerLetter"/>
      <w:lvlText w:val="%2"/>
      <w:lvlJc w:val="left"/>
      <w:pPr>
        <w:tabs>
          <w:tab w:val="num" w:pos="0"/>
        </w:tabs>
        <w:ind w:left="54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2">
      <w:start w:val="1"/>
      <w:numFmt w:val="lowerLetter"/>
      <w:lvlText w:val="%3)"/>
      <w:lvlJc w:val="left"/>
      <w:pPr>
        <w:tabs>
          <w:tab w:val="num" w:pos="720"/>
        </w:tabs>
        <w:ind w:left="523"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3">
      <w:start w:val="1"/>
      <w:numFmt w:val="decimal"/>
      <w:lvlText w:val="%4"/>
      <w:lvlJc w:val="left"/>
      <w:pPr>
        <w:tabs>
          <w:tab w:val="num" w:pos="0"/>
        </w:tabs>
        <w:ind w:left="144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4">
      <w:start w:val="1"/>
      <w:numFmt w:val="lowerLetter"/>
      <w:lvlText w:val="%5"/>
      <w:lvlJc w:val="left"/>
      <w:pPr>
        <w:tabs>
          <w:tab w:val="num" w:pos="0"/>
        </w:tabs>
        <w:ind w:left="216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5">
      <w:start w:val="1"/>
      <w:numFmt w:val="lowerRoman"/>
      <w:lvlText w:val="%6"/>
      <w:lvlJc w:val="left"/>
      <w:pPr>
        <w:tabs>
          <w:tab w:val="num" w:pos="0"/>
        </w:tabs>
        <w:ind w:left="288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6">
      <w:start w:val="1"/>
      <w:numFmt w:val="lowerLetter"/>
      <w:lvlText w:val="%7)"/>
      <w:lvlJc w:val="left"/>
      <w:pPr>
        <w:tabs>
          <w:tab w:val="num" w:pos="0"/>
        </w:tabs>
        <w:ind w:left="3600" w:hanging="0"/>
      </w:pPr>
      <w:rPr/>
    </w:lvl>
    <w:lvl w:ilvl="7">
      <w:start w:val="1"/>
      <w:numFmt w:val="lowerLetter"/>
      <w:lvlText w:val="%8"/>
      <w:lvlJc w:val="left"/>
      <w:pPr>
        <w:tabs>
          <w:tab w:val="num" w:pos="0"/>
        </w:tabs>
        <w:ind w:left="432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lvl w:ilvl="8">
      <w:start w:val="1"/>
      <w:numFmt w:val="lowerRoman"/>
      <w:lvlText w:val="%9"/>
      <w:lvlJc w:val="left"/>
      <w:pPr>
        <w:tabs>
          <w:tab w:val="num" w:pos="0"/>
        </w:tabs>
        <w:ind w:left="5040" w:hanging="0"/>
      </w:pPr>
      <w:rPr>
        <w:rFonts w:ascii="Arial" w:hAnsi="Arial" w:eastAsia="Arial" w:cs="Arial"/>
        <w:b w:val="false"/>
        <w:i w:val="false"/>
        <w:strike w:val="false"/>
        <w:dstrike w:val="false"/>
        <w:color w:val="000000"/>
        <w:position w:val="0"/>
        <w:sz w:val="21"/>
        <w:szCs w:val="21"/>
        <w:u w:val="none" w:color="000000"/>
        <w:shd w:fill="auto" w:val="clear"/>
        <w:vertAlign w:val="baseline"/>
      </w:rPr>
    </w:lvl>
  </w:abstractNum>
  <w:abstractNum w:abstractNumId="11">
    <w:lvl w:ilvl="0">
      <w:start w:val="1"/>
      <w:numFmt w:val="decimal"/>
      <w:lvlText w:val="%1."/>
      <w:lvlJc w:val="left"/>
      <w:pPr>
        <w:tabs>
          <w:tab w:val="num" w:pos="720"/>
        </w:tabs>
        <w:ind w:left="51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decimal"/>
      <w:lvlText w:val="%1."/>
      <w:lvlJc w:val="left"/>
      <w:pPr>
        <w:tabs>
          <w:tab w:val="num" w:pos="720"/>
        </w:tabs>
        <w:ind w:left="51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1">
      <w:start w:val="1"/>
      <w:numFmt w:val="lowerLetter"/>
      <w:lvlText w:val="%2)"/>
      <w:lvlJc w:val="left"/>
      <w:pPr>
        <w:tabs>
          <w:tab w:val="num" w:pos="720"/>
        </w:tabs>
        <w:ind w:left="581"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2">
      <w:start w:val="1"/>
      <w:numFmt w:val="lowerRoman"/>
      <w:lvlText w:val="%3"/>
      <w:lvlJc w:val="left"/>
      <w:pPr>
        <w:tabs>
          <w:tab w:val="num" w:pos="0"/>
        </w:tabs>
        <w:ind w:left="212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3">
      <w:start w:val="1"/>
      <w:numFmt w:val="decimal"/>
      <w:lvlText w:val="%4"/>
      <w:lvlJc w:val="left"/>
      <w:pPr>
        <w:tabs>
          <w:tab w:val="num" w:pos="0"/>
        </w:tabs>
        <w:ind w:left="284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4">
      <w:start w:val="1"/>
      <w:numFmt w:val="lowerLetter"/>
      <w:lvlText w:val="%5"/>
      <w:lvlJc w:val="left"/>
      <w:pPr>
        <w:tabs>
          <w:tab w:val="num" w:pos="0"/>
        </w:tabs>
        <w:ind w:left="356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5">
      <w:start w:val="1"/>
      <w:numFmt w:val="lowerRoman"/>
      <w:lvlText w:val="%6"/>
      <w:lvlJc w:val="left"/>
      <w:pPr>
        <w:tabs>
          <w:tab w:val="num" w:pos="0"/>
        </w:tabs>
        <w:ind w:left="428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6">
      <w:start w:val="1"/>
      <w:numFmt w:val="decimal"/>
      <w:lvlText w:val="%7"/>
      <w:lvlJc w:val="left"/>
      <w:pPr>
        <w:tabs>
          <w:tab w:val="num" w:pos="0"/>
        </w:tabs>
        <w:ind w:left="500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7">
      <w:start w:val="1"/>
      <w:numFmt w:val="lowerLetter"/>
      <w:lvlText w:val="%8"/>
      <w:lvlJc w:val="left"/>
      <w:pPr>
        <w:tabs>
          <w:tab w:val="num" w:pos="0"/>
        </w:tabs>
        <w:ind w:left="572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lvl w:ilvl="8">
      <w:start w:val="1"/>
      <w:numFmt w:val="lowerRoman"/>
      <w:lvlText w:val="%9"/>
      <w:lvlJc w:val="left"/>
      <w:pPr>
        <w:tabs>
          <w:tab w:val="num" w:pos="0"/>
        </w:tabs>
        <w:ind w:left="6448" w:hanging="0"/>
      </w:pPr>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lvl>
  </w:abstractNum>
  <w:abstractNum w:abstractNumId="13">
    <w:lvl w:ilvl="0">
      <w:start w:val="1"/>
      <w:numFmt w:val="bullet"/>
      <w:lvlText w:val="•"/>
      <w:lvlJc w:val="left"/>
      <w:pPr>
        <w:tabs>
          <w:tab w:val="num" w:pos="0"/>
        </w:tabs>
        <w:ind w:left="360" w:hanging="0"/>
      </w:pPr>
      <w:rPr>
        <w:rFonts w:ascii="Arial" w:hAnsi="Arial" w:cs="Arial" w:hint="default"/>
        <w:b w:val="false"/>
        <w:i w:val="false"/>
        <w:strike w:val="false"/>
        <w:dstrike w:val="false"/>
        <w:color w:val="000000"/>
        <w:position w:val="0"/>
        <w:sz w:val="18"/>
        <w:szCs w:val="18"/>
        <w:u w:val="none" w:color="000000"/>
        <w:shd w:fill="auto" w:val="clear"/>
        <w:vertAlign w:val="baseline"/>
      </w:rPr>
    </w:lvl>
    <w:lvl w:ilvl="1">
      <w:start w:val="1"/>
      <w:numFmt w:val="bullet"/>
      <w:lvlText w:val="•"/>
      <w:lvlJc w:val="left"/>
      <w:pPr>
        <w:tabs>
          <w:tab w:val="num" w:pos="720"/>
        </w:tabs>
        <w:ind w:left="770" w:hanging="0"/>
      </w:pPr>
      <w:rPr>
        <w:rFonts w:ascii="Arial" w:hAnsi="Arial" w:cs="Arial" w:hint="default"/>
        <w:b w:val="false"/>
        <w:i w:val="false"/>
        <w:strike w:val="false"/>
        <w:dstrike w:val="false"/>
        <w:color w:val="000000"/>
        <w:position w:val="0"/>
        <w:sz w:val="18"/>
        <w:szCs w:val="18"/>
        <w:u w:val="none" w:color="000000"/>
        <w:shd w:fill="auto" w:val="clear"/>
        <w:vertAlign w:val="baseline"/>
      </w:rPr>
    </w:lvl>
    <w:lvl w:ilvl="2">
      <w:start w:val="1"/>
      <w:numFmt w:val="bullet"/>
      <w:lvlText w:val="▪"/>
      <w:lvlJc w:val="left"/>
      <w:pPr>
        <w:tabs>
          <w:tab w:val="num" w:pos="0"/>
        </w:tabs>
        <w:ind w:left="215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3">
      <w:start w:val="1"/>
      <w:numFmt w:val="bullet"/>
      <w:lvlText w:val="•"/>
      <w:lvlJc w:val="left"/>
      <w:pPr>
        <w:tabs>
          <w:tab w:val="num" w:pos="0"/>
        </w:tabs>
        <w:ind w:left="2870" w:hanging="0"/>
      </w:pPr>
      <w:rPr>
        <w:rFonts w:ascii="Arial" w:hAnsi="Arial" w:cs="Arial" w:hint="default"/>
        <w:b w:val="false"/>
        <w:i w:val="false"/>
        <w:strike w:val="false"/>
        <w:dstrike w:val="false"/>
        <w:color w:val="000000"/>
        <w:position w:val="0"/>
        <w:sz w:val="18"/>
        <w:szCs w:val="18"/>
        <w:u w:val="none" w:color="000000"/>
        <w:shd w:fill="auto" w:val="clear"/>
        <w:vertAlign w:val="baseline"/>
      </w:rPr>
    </w:lvl>
    <w:lvl w:ilvl="4">
      <w:start w:val="1"/>
      <w:numFmt w:val="bullet"/>
      <w:lvlText w:val="o"/>
      <w:lvlJc w:val="left"/>
      <w:pPr>
        <w:tabs>
          <w:tab w:val="num" w:pos="0"/>
        </w:tabs>
        <w:ind w:left="359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5">
      <w:start w:val="1"/>
      <w:numFmt w:val="bullet"/>
      <w:lvlText w:val="▪"/>
      <w:lvlJc w:val="left"/>
      <w:pPr>
        <w:tabs>
          <w:tab w:val="num" w:pos="0"/>
        </w:tabs>
        <w:ind w:left="431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6">
      <w:start w:val="1"/>
      <w:numFmt w:val="bullet"/>
      <w:lvlText w:val="•"/>
      <w:lvlJc w:val="left"/>
      <w:pPr>
        <w:tabs>
          <w:tab w:val="num" w:pos="0"/>
        </w:tabs>
        <w:ind w:left="5030" w:hanging="0"/>
      </w:pPr>
      <w:rPr>
        <w:rFonts w:ascii="Arial" w:hAnsi="Arial" w:cs="Arial" w:hint="default"/>
        <w:b w:val="false"/>
        <w:i w:val="false"/>
        <w:strike w:val="false"/>
        <w:dstrike w:val="false"/>
        <w:color w:val="000000"/>
        <w:position w:val="0"/>
        <w:sz w:val="18"/>
        <w:szCs w:val="18"/>
        <w:u w:val="none" w:color="000000"/>
        <w:shd w:fill="auto" w:val="clear"/>
        <w:vertAlign w:val="baseline"/>
      </w:rPr>
    </w:lvl>
    <w:lvl w:ilvl="7">
      <w:start w:val="1"/>
      <w:numFmt w:val="bullet"/>
      <w:lvlText w:val="o"/>
      <w:lvlJc w:val="left"/>
      <w:pPr>
        <w:tabs>
          <w:tab w:val="num" w:pos="0"/>
        </w:tabs>
        <w:ind w:left="575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lvl w:ilvl="8">
      <w:start w:val="1"/>
      <w:numFmt w:val="bullet"/>
      <w:lvlText w:val="▪"/>
      <w:lvlJc w:val="left"/>
      <w:pPr>
        <w:tabs>
          <w:tab w:val="num" w:pos="0"/>
        </w:tabs>
        <w:ind w:left="6470" w:hanging="0"/>
      </w:pPr>
      <w:rPr>
        <w:rFonts w:ascii="Segoe UI Symbol" w:hAnsi="Segoe UI Symbol" w:cs="Segoe UI Symbol" w:hint="default"/>
        <w:b w:val="false"/>
        <w:i w:val="false"/>
        <w:strike w:val="false"/>
        <w:dstrike w:val="false"/>
        <w:color w:val="000000"/>
        <w:position w:val="0"/>
        <w:sz w:val="18"/>
        <w:szCs w:val="18"/>
        <w:u w:val="none" w:color="000000"/>
        <w:shd w:fill="auto" w:val="clear"/>
        <w:vertAlign w:val="baseline"/>
      </w:rPr>
    </w:lvl>
  </w:abstractNum>
  <w:abstractNum w:abstractNumId="14">
    <w:lvl w:ilvl="0">
      <w:start w:val="11"/>
      <w:numFmt w:val="decimal"/>
      <w:lvlText w:val="%1."/>
      <w:lvlJc w:val="left"/>
      <w:pPr>
        <w:tabs>
          <w:tab w:val="num" w:pos="0"/>
        </w:tabs>
        <w:ind w:left="628" w:hanging="360"/>
      </w:pPr>
      <w:rPr>
        <w:rFonts w:ascii="Lato" w:hAnsi="Lato" w:cs="Lato"/>
      </w:rPr>
    </w:lvl>
    <w:lvl w:ilvl="1">
      <w:start w:val="1"/>
      <w:numFmt w:val="decimal"/>
      <w:lvlText w:val="%2."/>
      <w:lvlJc w:val="left"/>
      <w:pPr>
        <w:tabs>
          <w:tab w:val="num" w:pos="0"/>
        </w:tabs>
        <w:ind w:left="1348" w:hanging="360"/>
      </w:pPr>
      <w:rPr>
        <w:rFonts w:ascii="Lato" w:hAnsi="Lato" w:eastAsia="Arial" w:cs="Lato"/>
      </w:rPr>
    </w:lvl>
    <w:lvl w:ilvl="2">
      <w:start w:val="1"/>
      <w:numFmt w:val="lowerRoman"/>
      <w:lvlText w:val="%3."/>
      <w:lvlJc w:val="right"/>
      <w:pPr>
        <w:tabs>
          <w:tab w:val="num" w:pos="0"/>
        </w:tabs>
        <w:ind w:left="2068" w:hanging="180"/>
      </w:pPr>
      <w:rPr/>
    </w:lvl>
    <w:lvl w:ilvl="3">
      <w:start w:val="1"/>
      <w:numFmt w:val="decimal"/>
      <w:lvlText w:val="%4."/>
      <w:lvlJc w:val="left"/>
      <w:pPr>
        <w:tabs>
          <w:tab w:val="num" w:pos="0"/>
        </w:tabs>
        <w:ind w:left="2788" w:hanging="360"/>
      </w:pPr>
      <w:rPr/>
    </w:lvl>
    <w:lvl w:ilvl="4">
      <w:start w:val="1"/>
      <w:numFmt w:val="lowerLetter"/>
      <w:lvlText w:val="%5."/>
      <w:lvlJc w:val="left"/>
      <w:pPr>
        <w:tabs>
          <w:tab w:val="num" w:pos="0"/>
        </w:tabs>
        <w:ind w:left="3508" w:hanging="360"/>
      </w:pPr>
      <w:rPr/>
    </w:lvl>
    <w:lvl w:ilvl="5">
      <w:start w:val="1"/>
      <w:numFmt w:val="lowerRoman"/>
      <w:lvlText w:val="%6."/>
      <w:lvlJc w:val="right"/>
      <w:pPr>
        <w:tabs>
          <w:tab w:val="num" w:pos="0"/>
        </w:tabs>
        <w:ind w:left="4228" w:hanging="180"/>
      </w:pPr>
      <w:rPr/>
    </w:lvl>
    <w:lvl w:ilvl="6">
      <w:start w:val="1"/>
      <w:numFmt w:val="decimal"/>
      <w:lvlText w:val="%7."/>
      <w:lvlJc w:val="left"/>
      <w:pPr>
        <w:tabs>
          <w:tab w:val="num" w:pos="0"/>
        </w:tabs>
        <w:ind w:left="4948" w:hanging="360"/>
      </w:pPr>
      <w:rPr/>
    </w:lvl>
    <w:lvl w:ilvl="7">
      <w:start w:val="1"/>
      <w:numFmt w:val="lowerLetter"/>
      <w:lvlText w:val="%8."/>
      <w:lvlJc w:val="left"/>
      <w:pPr>
        <w:tabs>
          <w:tab w:val="num" w:pos="0"/>
        </w:tabs>
        <w:ind w:left="5668" w:hanging="360"/>
      </w:pPr>
      <w:rPr/>
    </w:lvl>
    <w:lvl w:ilvl="8">
      <w:start w:val="1"/>
      <w:numFmt w:val="lowerRoman"/>
      <w:lvlText w:val="%9."/>
      <w:lvlJc w:val="right"/>
      <w:pPr>
        <w:tabs>
          <w:tab w:val="num" w:pos="0"/>
        </w:tabs>
        <w:ind w:left="6388" w:hanging="180"/>
      </w:pPr>
      <w:rPr/>
    </w:lvl>
  </w:abstractNum>
  <w:abstractNum w:abstractNumId="15">
    <w:lvl w:ilvl="0">
      <w:start w:val="1"/>
      <w:numFmt w:val="bullet"/>
      <w:lvlText w:val=""/>
      <w:lvlJc w:val="left"/>
      <w:pPr>
        <w:tabs>
          <w:tab w:val="num" w:pos="0"/>
        </w:tabs>
        <w:ind w:left="988" w:hanging="360"/>
      </w:pPr>
      <w:rPr>
        <w:rFonts w:ascii="Symbol" w:hAnsi="Symbol" w:cs="Symbol" w:hint="default"/>
      </w:rPr>
    </w:lvl>
    <w:lvl w:ilvl="1">
      <w:start w:val="1"/>
      <w:numFmt w:val="bullet"/>
      <w:lvlText w:val="o"/>
      <w:lvlJc w:val="left"/>
      <w:pPr>
        <w:tabs>
          <w:tab w:val="num" w:pos="0"/>
        </w:tabs>
        <w:ind w:left="1708" w:hanging="360"/>
      </w:pPr>
      <w:rPr>
        <w:rFonts w:ascii="Courier New" w:hAnsi="Courier New" w:cs="Courier New" w:hint="default"/>
      </w:rPr>
    </w:lvl>
    <w:lvl w:ilvl="2">
      <w:start w:val="1"/>
      <w:numFmt w:val="bullet"/>
      <w:lvlText w:val=""/>
      <w:lvlJc w:val="left"/>
      <w:pPr>
        <w:tabs>
          <w:tab w:val="num" w:pos="0"/>
        </w:tabs>
        <w:ind w:left="2428" w:hanging="360"/>
      </w:pPr>
      <w:rPr>
        <w:rFonts w:ascii="Wingdings" w:hAnsi="Wingdings" w:cs="Wingdings" w:hint="default"/>
      </w:rPr>
    </w:lvl>
    <w:lvl w:ilvl="3">
      <w:start w:val="1"/>
      <w:numFmt w:val="bullet"/>
      <w:lvlText w:val=""/>
      <w:lvlJc w:val="left"/>
      <w:pPr>
        <w:tabs>
          <w:tab w:val="num" w:pos="0"/>
        </w:tabs>
        <w:ind w:left="3148" w:hanging="360"/>
      </w:pPr>
      <w:rPr>
        <w:rFonts w:ascii="Symbol" w:hAnsi="Symbol" w:cs="Symbol" w:hint="default"/>
      </w:rPr>
    </w:lvl>
    <w:lvl w:ilvl="4">
      <w:start w:val="1"/>
      <w:numFmt w:val="bullet"/>
      <w:lvlText w:val="o"/>
      <w:lvlJc w:val="left"/>
      <w:pPr>
        <w:tabs>
          <w:tab w:val="num" w:pos="0"/>
        </w:tabs>
        <w:ind w:left="3868" w:hanging="360"/>
      </w:pPr>
      <w:rPr>
        <w:rFonts w:ascii="Courier New" w:hAnsi="Courier New" w:cs="Courier New" w:hint="default"/>
      </w:rPr>
    </w:lvl>
    <w:lvl w:ilvl="5">
      <w:start w:val="1"/>
      <w:numFmt w:val="bullet"/>
      <w:lvlText w:val=""/>
      <w:lvlJc w:val="left"/>
      <w:pPr>
        <w:tabs>
          <w:tab w:val="num" w:pos="0"/>
        </w:tabs>
        <w:ind w:left="4588" w:hanging="360"/>
      </w:pPr>
      <w:rPr>
        <w:rFonts w:ascii="Wingdings" w:hAnsi="Wingdings" w:cs="Wingdings" w:hint="default"/>
      </w:rPr>
    </w:lvl>
    <w:lvl w:ilvl="6">
      <w:start w:val="1"/>
      <w:numFmt w:val="bullet"/>
      <w:lvlText w:val=""/>
      <w:lvlJc w:val="left"/>
      <w:pPr>
        <w:tabs>
          <w:tab w:val="num" w:pos="0"/>
        </w:tabs>
        <w:ind w:left="5308" w:hanging="360"/>
      </w:pPr>
      <w:rPr>
        <w:rFonts w:ascii="Symbol" w:hAnsi="Symbol" w:cs="Symbol" w:hint="default"/>
      </w:rPr>
    </w:lvl>
    <w:lvl w:ilvl="7">
      <w:start w:val="1"/>
      <w:numFmt w:val="bullet"/>
      <w:lvlText w:val="o"/>
      <w:lvlJc w:val="left"/>
      <w:pPr>
        <w:tabs>
          <w:tab w:val="num" w:pos="0"/>
        </w:tabs>
        <w:ind w:left="6028" w:hanging="360"/>
      </w:pPr>
      <w:rPr>
        <w:rFonts w:ascii="Courier New" w:hAnsi="Courier New" w:cs="Courier New" w:hint="default"/>
      </w:rPr>
    </w:lvl>
    <w:lvl w:ilvl="8">
      <w:start w:val="1"/>
      <w:numFmt w:val="bullet"/>
      <w:lvlText w:val=""/>
      <w:lvlJc w:val="left"/>
      <w:pPr>
        <w:tabs>
          <w:tab w:val="num" w:pos="0"/>
        </w:tabs>
        <w:ind w:left="6748" w:hanging="360"/>
      </w:pPr>
      <w:rPr>
        <w:rFonts w:ascii="Wingdings" w:hAnsi="Wingdings" w:cs="Wingdings" w:hint="default"/>
      </w:rPr>
    </w:lvl>
  </w:abstractNum>
  <w:abstractNum w:abstractNumId="16">
    <w:lvl w:ilvl="0">
      <w:start w:val="1"/>
      <w:numFmt w:val="lowerLetter"/>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1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28" w:before="0" w:after="4"/>
      <w:ind w:hanging="10" w:left="278" w:right="889"/>
      <w:jc w:val="both"/>
    </w:pPr>
    <w:rPr>
      <w:rFonts w:ascii="Arial" w:hAnsi="Arial" w:eastAsia="Arial" w:cs="Arial"/>
      <w:color w:val="000000"/>
      <w:kern w:val="0"/>
      <w:sz w:val="21"/>
      <w:szCs w:val="22"/>
      <w:lang w:val="en-US" w:eastAsia="zh-CN" w:bidi="ar-SA"/>
    </w:rPr>
  </w:style>
  <w:style w:type="character" w:styleId="DefaultParagraphFont" w:default="1">
    <w:name w:val="Default Paragraph Font"/>
    <w:uiPriority w:val="1"/>
    <w:unhideWhenUsed/>
    <w:qFormat/>
    <w:rPr/>
  </w:style>
  <w:style w:type="character" w:styleId="WW8Num1z0" w:customStyle="1">
    <w:name w:val="WW8Num1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z1" w:customStyle="1">
    <w:name w:val="WW8Num1z1"/>
    <w:qFormat/>
    <w:rPr>
      <w:rFonts w:ascii="Arial" w:hAnsi="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z2" w:customStyle="1">
    <w:name w:val="WW8Num1z2"/>
    <w:qFormat/>
    <w:rPr>
      <w:rFonts w:ascii="Segoe UI Symbol" w:hAnsi="Segoe UI Symbol" w:cs="Segoe UI Symbol"/>
      <w:b w:val="false"/>
      <w:i w:val="false"/>
      <w:strike w:val="false"/>
      <w:dstrike w:val="false"/>
      <w:color w:val="000000"/>
      <w:position w:val="0"/>
      <w:sz w:val="21"/>
      <w:szCs w:val="21"/>
      <w:u w:val="none" w:color="000000"/>
      <w:shd w:fill="auto" w:val="clear"/>
      <w:vertAlign w:val="baseline"/>
    </w:rPr>
  </w:style>
  <w:style w:type="character" w:styleId="WW8Num2z0" w:customStyle="1">
    <w:name w:val="WW8Num2z0"/>
    <w:qFormat/>
    <w:rPr>
      <w:rFonts w:ascii="Arial" w:hAnsi="Arial" w:cs="Arial"/>
      <w:b w:val="false"/>
      <w:i w:val="false"/>
      <w:strike w:val="false"/>
      <w:dstrike w:val="false"/>
      <w:color w:val="000000"/>
      <w:position w:val="0"/>
      <w:sz w:val="18"/>
      <w:szCs w:val="18"/>
      <w:u w:val="none" w:color="000000"/>
      <w:shd w:fill="auto" w:val="clear"/>
      <w:vertAlign w:val="baseline"/>
      <w:lang w:val="pl-PL" w:bidi="ar-SA"/>
    </w:rPr>
  </w:style>
  <w:style w:type="character" w:styleId="WW8Num3z0" w:customStyle="1">
    <w:name w:val="WW8Num3z0"/>
    <w:qFormat/>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style>
  <w:style w:type="character" w:styleId="WW8Num4z0" w:customStyle="1">
    <w:name w:val="WW8Num4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5z0" w:customStyle="1">
    <w:name w:val="WW8Num5z0"/>
    <w:qFormat/>
    <w:rPr>
      <w:rFonts w:ascii="Times New Roman" w:hAnsi="Times New Roman" w:eastAsia="Times New Roman" w:cs="Times New Roman"/>
      <w:b w:val="false"/>
      <w:i w:val="false"/>
      <w:strike w:val="false"/>
      <w:dstrike w:val="false"/>
      <w:color w:val="000000"/>
      <w:position w:val="0"/>
      <w:sz w:val="21"/>
      <w:szCs w:val="21"/>
      <w:u w:val="none" w:color="000000"/>
      <w:shd w:fill="auto" w:val="clear"/>
      <w:vertAlign w:val="baseline"/>
      <w:lang w:val="pl-PL" w:bidi="ar-SA"/>
    </w:rPr>
  </w:style>
  <w:style w:type="character" w:styleId="WW8Num6z0" w:customStyle="1">
    <w:name w:val="WW8Num6z0"/>
    <w:qFormat/>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style>
  <w:style w:type="character" w:styleId="WW8Num7z0" w:customStyle="1">
    <w:name w:val="WW8Num7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8z0" w:customStyle="1">
    <w:name w:val="WW8Num8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8z1" w:customStyle="1">
    <w:name w:val="WW8Num8z1"/>
    <w:qFormat/>
    <w:rPr>
      <w:rFonts w:ascii="Arial" w:hAnsi="Arial" w:eastAsia="Arial" w:cs="Arial"/>
      <w:b w:val="false"/>
      <w:i w:val="false"/>
      <w:strike w:val="false"/>
      <w:dstrike w:val="false"/>
      <w:color w:val="000000"/>
      <w:position w:val="0"/>
      <w:sz w:val="20"/>
      <w:szCs w:val="20"/>
      <w:u w:val="none" w:color="000000"/>
      <w:shd w:fill="auto" w:val="clear"/>
      <w:vertAlign w:val="baseline"/>
      <w:lang w:val="pl-PL" w:bidi="ar-SA"/>
    </w:rPr>
  </w:style>
  <w:style w:type="character" w:styleId="WW8Num8z2" w:customStyle="1">
    <w:name w:val="WW8Num8z2"/>
    <w:qFormat/>
    <w:rPr>
      <w:rFonts w:ascii="Wingdings" w:hAnsi="Wingdings" w:cs="Wingdings"/>
      <w:b w:val="false"/>
      <w:i w:val="false"/>
      <w:strike w:val="false"/>
      <w:dstrike w:val="false"/>
      <w:color w:val="000000"/>
      <w:position w:val="0"/>
      <w:sz w:val="18"/>
      <w:szCs w:val="18"/>
      <w:u w:val="none" w:color="000000"/>
      <w:shd w:fill="auto" w:val="clear"/>
      <w:vertAlign w:val="baseline"/>
      <w:lang w:val="pl-PL" w:bidi="ar-SA"/>
    </w:rPr>
  </w:style>
  <w:style w:type="character" w:styleId="WW8Num9z0" w:customStyle="1">
    <w:name w:val="WW8Num9z0"/>
    <w:qFormat/>
    <w:rPr>
      <w:rFonts w:ascii="Arial" w:hAnsi="Arial" w:eastAsia="Arial" w:cs="Arial"/>
      <w:b w:val="false"/>
      <w:i w:val="false"/>
      <w:strike w:val="false"/>
      <w:dstrike w:val="false"/>
      <w:color w:val="000000"/>
      <w:position w:val="0"/>
      <w:sz w:val="21"/>
      <w:szCs w:val="21"/>
      <w:u w:val="none" w:color="000000"/>
      <w:shd w:fill="auto" w:val="clear"/>
      <w:vertAlign w:val="baseline"/>
    </w:rPr>
  </w:style>
  <w:style w:type="character" w:styleId="WW8Num10z0" w:customStyle="1">
    <w:name w:val="WW8Num10z0"/>
    <w:qFormat/>
    <w:rPr>
      <w:rFonts w:ascii="Times New Roman" w:hAnsi="Times New Roman" w:eastAsia="Times New Roman" w:cs="Times New Roman"/>
      <w:b w:val="false"/>
      <w:i w:val="false"/>
      <w:strike w:val="false"/>
      <w:dstrike w:val="false"/>
      <w:color w:val="000000"/>
      <w:position w:val="0"/>
      <w:sz w:val="22"/>
      <w:szCs w:val="22"/>
      <w:u w:val="none" w:color="000000"/>
      <w:shd w:fill="auto" w:val="clear"/>
      <w:vertAlign w:val="baseline"/>
      <w:lang w:val="pl-PL" w:bidi="ar-SA"/>
    </w:rPr>
  </w:style>
  <w:style w:type="character" w:styleId="WW8Num11z0" w:customStyle="1">
    <w:name w:val="WW8Num11z0"/>
    <w:qFormat/>
    <w:rPr>
      <w:rFonts w:ascii="Arial" w:hAnsi="Arial" w:cs="Arial"/>
      <w:b w:val="false"/>
      <w:i w:val="false"/>
      <w:strike w:val="false"/>
      <w:dstrike w:val="false"/>
      <w:color w:val="000000"/>
      <w:position w:val="0"/>
      <w:sz w:val="18"/>
      <w:szCs w:val="18"/>
      <w:u w:val="none" w:color="000000"/>
      <w:shd w:fill="auto" w:val="clear"/>
      <w:vertAlign w:val="baseline"/>
      <w:lang w:val="pl-PL" w:bidi="ar-SA"/>
    </w:rPr>
  </w:style>
  <w:style w:type="character" w:styleId="WW8Num12z0" w:customStyle="1">
    <w:name w:val="WW8Num12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3z0" w:customStyle="1">
    <w:name w:val="WW8Num13z0"/>
    <w:qFormat/>
    <w:rPr>
      <w:rFonts w:ascii="Arial" w:hAnsi="Arial" w:cs="Arial"/>
      <w:b w:val="false"/>
      <w:i w:val="false"/>
      <w:strike w:val="false"/>
      <w:dstrike w:val="false"/>
      <w:color w:val="000000"/>
      <w:position w:val="0"/>
      <w:sz w:val="18"/>
      <w:szCs w:val="18"/>
      <w:u w:val="none" w:color="000000"/>
      <w:shd w:fill="auto" w:val="clear"/>
      <w:vertAlign w:val="baseline"/>
      <w:lang w:val="pl-PL" w:bidi="ar-SA"/>
    </w:rPr>
  </w:style>
  <w:style w:type="character" w:styleId="WW8Num13z1" w:customStyle="1">
    <w:name w:val="WW8Num13z1"/>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14z0" w:customStyle="1">
    <w:name w:val="WW8Num14z0"/>
    <w:qFormat/>
    <w:rPr>
      <w:rFonts w:ascii="Arial" w:hAnsi="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5z0" w:customStyle="1">
    <w:name w:val="WW8Num15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5z1" w:customStyle="1">
    <w:name w:val="WW8Num15z1"/>
    <w:qFormat/>
    <w:rPr>
      <w:rFonts w:ascii="Arial" w:hAnsi="Arial" w:cs="Arial"/>
      <w:b w:val="false"/>
      <w:i w:val="false"/>
      <w:strike w:val="false"/>
      <w:dstrike w:val="false"/>
      <w:color w:val="000000"/>
      <w:position w:val="0"/>
      <w:sz w:val="21"/>
      <w:szCs w:val="21"/>
      <w:u w:val="none" w:color="000000"/>
      <w:shd w:fill="auto" w:val="clear"/>
      <w:vertAlign w:val="baseline"/>
    </w:rPr>
  </w:style>
  <w:style w:type="character" w:styleId="WW8Num16z0" w:customStyle="1">
    <w:name w:val="WW8Num16z0"/>
    <w:qFormat/>
    <w:rPr>
      <w:rFonts w:ascii="Arial" w:hAnsi="Arial" w:eastAsia="Arial" w:cs="Arial"/>
      <w:b w:val="false"/>
      <w:i w:val="false"/>
      <w:strike w:val="false"/>
      <w:dstrike w:val="false"/>
      <w:color w:val="000000"/>
      <w:position w:val="0"/>
      <w:sz w:val="22"/>
      <w:szCs w:val="22"/>
      <w:u w:val="none" w:color="000000"/>
      <w:shd w:fill="auto" w:val="clear"/>
      <w:vertAlign w:val="baseline"/>
      <w:lang w:val="pl-PL" w:bidi="ar-SA"/>
    </w:rPr>
  </w:style>
  <w:style w:type="character" w:styleId="WW8Num17z0" w:customStyle="1">
    <w:name w:val="WW8Num17z0"/>
    <w:qFormat/>
    <w:rPr>
      <w:rFonts w:ascii="Arial" w:hAnsi="Arial" w:eastAsia="Arial" w:cs="Arial"/>
      <w:b w:val="false"/>
      <w:i w:val="false"/>
      <w:strike w:val="false"/>
      <w:dstrike w:val="false"/>
      <w:color w:val="000000"/>
      <w:position w:val="0"/>
      <w:sz w:val="21"/>
      <w:szCs w:val="21"/>
      <w:u w:val="none" w:color="000000"/>
      <w:shd w:fill="auto" w:val="clear"/>
      <w:vertAlign w:val="baseline"/>
    </w:rPr>
  </w:style>
  <w:style w:type="character" w:styleId="WW8Num18z0" w:customStyle="1">
    <w:name w:val="WW8Num18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19z0" w:customStyle="1">
    <w:name w:val="WW8Num19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20z0" w:customStyle="1">
    <w:name w:val="WW8Num20z0"/>
    <w:qFormat/>
    <w:rPr>
      <w:rFonts w:ascii="Arial" w:hAnsi="Arial" w:cs="Arial"/>
      <w:b w:val="false"/>
      <w:i w:val="false"/>
      <w:strike w:val="false"/>
      <w:dstrike w:val="false"/>
      <w:color w:val="000000"/>
      <w:position w:val="0"/>
      <w:sz w:val="18"/>
      <w:szCs w:val="18"/>
      <w:u w:val="none" w:color="000000"/>
      <w:shd w:fill="auto" w:val="clear"/>
      <w:vertAlign w:val="baseline"/>
    </w:rPr>
  </w:style>
  <w:style w:type="character" w:styleId="WW8Num20z2" w:customStyle="1">
    <w:name w:val="WW8Num20z2"/>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21z0" w:customStyle="1">
    <w:name w:val="WW8Num21z0"/>
    <w:qFormat/>
    <w:rPr>
      <w:rFonts w:ascii="Arial" w:hAnsi="Arial" w:eastAsia="Arial" w:cs="Arial"/>
      <w:b w:val="false"/>
      <w:bCs w:val="false"/>
      <w:i w:val="false"/>
      <w:strike w:val="false"/>
      <w:dstrike w:val="false"/>
      <w:color w:val="000000"/>
      <w:position w:val="0"/>
      <w:sz w:val="21"/>
      <w:szCs w:val="21"/>
      <w:u w:val="none" w:color="000000"/>
      <w:shd w:fill="auto" w:val="clear"/>
      <w:vertAlign w:val="baseline"/>
      <w:lang w:val="pl-PL" w:bidi="ar-SA"/>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9z1" w:customStyle="1">
    <w:name w:val="WW8Num9z1"/>
    <w:qFormat/>
    <w:rPr>
      <w:rFonts w:ascii="Arial" w:hAnsi="Arial" w:eastAsia="Arial" w:cs="Arial"/>
      <w:b w:val="false"/>
      <w:i w:val="false"/>
      <w:strike w:val="false"/>
      <w:dstrike w:val="false"/>
      <w:color w:val="000000"/>
      <w:position w:val="0"/>
      <w:sz w:val="20"/>
      <w:szCs w:val="20"/>
      <w:u w:val="none" w:color="000000"/>
      <w:shd w:fill="auto" w:val="clear"/>
      <w:vertAlign w:val="baseline"/>
      <w:lang w:val="pl-PL" w:bidi="ar-SA"/>
    </w:rPr>
  </w:style>
  <w:style w:type="character" w:styleId="WW8Num9z2" w:customStyle="1">
    <w:name w:val="WW8Num9z2"/>
    <w:qFormat/>
    <w:rPr>
      <w:rFonts w:ascii="Wingdings" w:hAnsi="Wingdings" w:cs="Wingdings"/>
      <w:b w:val="false"/>
      <w:i w:val="false"/>
      <w:strike w:val="false"/>
      <w:dstrike w:val="false"/>
      <w:color w:val="000000"/>
      <w:position w:val="0"/>
      <w:sz w:val="18"/>
      <w:szCs w:val="18"/>
      <w:u w:val="none" w:color="000000"/>
      <w:shd w:fill="auto" w:val="clear"/>
      <w:vertAlign w:val="baseline"/>
      <w:lang w:val="pl-PL" w:bidi="ar-SA"/>
    </w:rPr>
  </w:style>
  <w:style w:type="character" w:styleId="WW8Num14z1" w:customStyle="1">
    <w:name w:val="WW8Num14z1"/>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16z1" w:customStyle="1">
    <w:name w:val="WW8Num16z1"/>
    <w:qFormat/>
    <w:rPr>
      <w:rFonts w:ascii="Arial" w:hAnsi="Arial" w:cs="Arial"/>
      <w:b w:val="false"/>
      <w:i w:val="false"/>
      <w:strike w:val="false"/>
      <w:dstrike w:val="false"/>
      <w:color w:val="000000"/>
      <w:position w:val="0"/>
      <w:sz w:val="21"/>
      <w:szCs w:val="21"/>
      <w:u w:val="none" w:color="000000"/>
      <w:shd w:fill="auto" w:val="clear"/>
      <w:vertAlign w:val="baseline"/>
    </w:rPr>
  </w:style>
  <w:style w:type="character" w:styleId="WW8Num21z2" w:customStyle="1">
    <w:name w:val="WW8Num21z2"/>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23z0" w:customStyle="1">
    <w:name w:val="WW8Num23z0"/>
    <w:qFormat/>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19z1" w:customStyle="1">
    <w:name w:val="WW8Num19z1"/>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24z0" w:customStyle="1">
    <w:name w:val="WW8Num24z0"/>
    <w:qFormat/>
    <w:rPr>
      <w:rFonts w:ascii="Arial" w:hAnsi="Arial" w:eastAsia="Arial" w:cs="Arial"/>
      <w:b w:val="false"/>
      <w:i w:val="false"/>
      <w:strike w:val="false"/>
      <w:dstrike w:val="false"/>
      <w:color w:val="000000"/>
      <w:position w:val="0"/>
      <w:sz w:val="21"/>
      <w:szCs w:val="21"/>
      <w:u w:val="none" w:color="000000"/>
      <w:shd w:fill="auto" w:val="clear"/>
      <w:vertAlign w:val="baseline"/>
    </w:rPr>
  </w:style>
  <w:style w:type="character" w:styleId="WW8Num25z0" w:customStyle="1">
    <w:name w:val="WW8Num25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26z0" w:customStyle="1">
    <w:name w:val="WW8Num26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27z0" w:customStyle="1">
    <w:name w:val="WW8Num27z0"/>
    <w:qFormat/>
    <w:rPr>
      <w:rFonts w:ascii="Arial" w:hAnsi="Arial" w:eastAsia="Arial" w:cs="Arial"/>
      <w:b w:val="false"/>
      <w:i w:val="false"/>
      <w:strike w:val="false"/>
      <w:dstrike w:val="false"/>
      <w:color w:val="000000"/>
      <w:position w:val="0"/>
      <w:sz w:val="21"/>
      <w:szCs w:val="21"/>
      <w:u w:val="none" w:color="000000"/>
      <w:shd w:fill="auto" w:val="clear"/>
      <w:vertAlign w:val="baseline"/>
    </w:rPr>
  </w:style>
  <w:style w:type="character" w:styleId="WW8Num28z0" w:customStyle="1">
    <w:name w:val="WW8Num28z0"/>
    <w:qFormat/>
    <w:rPr>
      <w:rFonts w:ascii="Arial" w:hAnsi="Arial" w:cs="Arial"/>
      <w:b w:val="false"/>
      <w:i w:val="false"/>
      <w:strike w:val="false"/>
      <w:dstrike w:val="false"/>
      <w:color w:val="000000"/>
      <w:position w:val="0"/>
      <w:sz w:val="18"/>
      <w:szCs w:val="18"/>
      <w:u w:val="none" w:color="000000"/>
      <w:shd w:fill="auto" w:val="clear"/>
      <w:vertAlign w:val="baseline"/>
    </w:rPr>
  </w:style>
  <w:style w:type="character" w:styleId="WW8Num28z2" w:customStyle="1">
    <w:name w:val="WW8Num28z2"/>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29z0" w:customStyle="1">
    <w:name w:val="WW8Num29z0"/>
    <w:qFormat/>
    <w:rPr>
      <w:rFonts w:ascii="Arial" w:hAnsi="Arial" w:eastAsia="Arial" w:cs="Arial"/>
      <w:b/>
      <w:bCs/>
      <w:i w:val="false"/>
      <w:strike w:val="false"/>
      <w:dstrike w:val="false"/>
      <w:color w:val="000000"/>
      <w:position w:val="0"/>
      <w:sz w:val="21"/>
      <w:szCs w:val="21"/>
      <w:u w:val="none" w:color="000000"/>
      <w:shd w:fill="auto" w:val="clear"/>
      <w:vertAlign w:val="baseline"/>
      <w:lang w:val="pl-PL" w:bidi="ar-SA"/>
    </w:rPr>
  </w:style>
  <w:style w:type="character" w:styleId="WW8Num30z0" w:customStyle="1">
    <w:name w:val="WW8Num30z0"/>
    <w:qFormat/>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20z1" w:customStyle="1">
    <w:name w:val="WW8Num20z1"/>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29z2" w:customStyle="1">
    <w:name w:val="WW8Num29z2"/>
    <w:qFormat/>
    <w:rPr>
      <w:rFonts w:ascii="Segoe UI Symbol" w:hAnsi="Segoe UI Symbol" w:cs="Segoe UI Symbol"/>
      <w:b w:val="false"/>
      <w:i w:val="false"/>
      <w:strike w:val="false"/>
      <w:dstrike w:val="false"/>
      <w:color w:val="000000"/>
      <w:position w:val="0"/>
      <w:sz w:val="18"/>
      <w:szCs w:val="18"/>
      <w:u w:val="none" w:color="000000"/>
      <w:shd w:fill="auto" w:val="clear"/>
      <w:vertAlign w:val="baseline"/>
    </w:rPr>
  </w:style>
  <w:style w:type="character" w:styleId="WW8Num31z0" w:customStyle="1">
    <w:name w:val="WW8Num31z0"/>
    <w:qFormat/>
    <w:rPr>
      <w:rFonts w:ascii="Arial" w:hAnsi="Arial" w:eastAsia="Arial" w:cs="Arial"/>
      <w:b w:val="false"/>
      <w:i w:val="false"/>
      <w:strike w:val="false"/>
      <w:dstrike w:val="false"/>
      <w:color w:val="000000"/>
      <w:position w:val="0"/>
      <w:sz w:val="21"/>
      <w:szCs w:val="21"/>
      <w:u w:val="none" w:color="000000"/>
      <w:shd w:fill="auto" w:val="clear"/>
      <w:vertAlign w:val="baseline"/>
      <w:lang w:val="pl-PL" w:bidi="ar-SA"/>
    </w:rPr>
  </w:style>
  <w:style w:type="character" w:styleId="WW8Num32z0" w:customStyle="1">
    <w:name w:val="WW8Num32z0"/>
    <w:qFormat/>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z1" w:customStyle="1">
    <w:name w:val="WW8Num3z1"/>
    <w:qFormat/>
    <w:rPr>
      <w:rFonts w:ascii="Segoe UI Symbol" w:hAnsi="Segoe UI Symbol" w:eastAsia="Segoe UI Symbol" w:cs="Segoe UI Symbol"/>
      <w:b w:val="false"/>
      <w:i w:val="false"/>
      <w:strike w:val="false"/>
      <w:dstrike w:val="false"/>
      <w:color w:val="000000"/>
      <w:position w:val="0"/>
      <w:sz w:val="18"/>
      <w:szCs w:val="18"/>
      <w:u w:val="none" w:color="000000"/>
      <w:shd w:fill="auto" w:val="clear"/>
      <w:vertAlign w:val="baseline"/>
    </w:rPr>
  </w:style>
  <w:style w:type="character" w:styleId="Hyperlink" w:customStyle="1">
    <w:name w:val="Hyperlink"/>
    <w:qFormat/>
    <w:rPr>
      <w:color w:val="000080"/>
      <w:u w:val="single"/>
    </w:rPr>
  </w:style>
  <w:style w:type="character" w:styleId="FollowedHyperlink" w:customStyle="1">
    <w:name w:val="FollowedHyperlink"/>
    <w:qFormat/>
    <w:rPr>
      <w:color w:val="800000"/>
      <w:u w:val="single"/>
    </w:rPr>
  </w:style>
  <w:style w:type="character" w:styleId="Znakinumeracji" w:customStyle="1">
    <w:name w:val="Znaki numeracji"/>
    <w:qFormat/>
    <w:rPr/>
  </w:style>
  <w:style w:type="character" w:styleId="LineNumber">
    <w:name w:val="line numb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customStyle="1">
    <w:name w:val="Indeks"/>
    <w:basedOn w:val="Normal"/>
    <w:qFormat/>
    <w:pPr>
      <w:suppressLineNumbers/>
    </w:pPr>
    <w:rPr>
      <w:rFonts w:cs="Mangal"/>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next w:val="BodyText"/>
    <w:qFormat/>
    <w:pPr>
      <w:keepNext w:val="true"/>
      <w:spacing w:before="240" w:after="120"/>
    </w:pPr>
    <w:rPr>
      <w:rFonts w:ascii="Liberation Sans;Arial" w:hAnsi="Liberation Sans;Arial" w:eastAsia="Microsoft YaHei" w:cs="Mangal"/>
      <w:sz w:val="28"/>
      <w:szCs w:val="28"/>
    </w:rPr>
  </w:style>
  <w:style w:type="paragraph" w:styleId="Default" w:customStyle="1">
    <w:name w:val="Default"/>
    <w:qFormat/>
    <w:pPr>
      <w:widowControl w:val="false"/>
      <w:suppressAutoHyphens w:val="true"/>
      <w:bidi w:val="0"/>
      <w:spacing w:before="0" w:after="0"/>
      <w:jc w:val="left"/>
    </w:pPr>
    <w:rPr>
      <w:rFonts w:ascii="Times New Roman" w:hAnsi="Times New Roman" w:eastAsia="NSimSun" w:cs="Arial"/>
      <w:color w:val="000000"/>
      <w:kern w:val="0"/>
      <w:sz w:val="24"/>
      <w:szCs w:val="24"/>
      <w:lang w:val="pl-PL" w:eastAsia="zh-CN" w:bidi="hi-IN"/>
    </w:rPr>
  </w:style>
  <w:style w:type="paragraph" w:styleId="Revision">
    <w:name w:val="Revision"/>
    <w:uiPriority w:val="99"/>
    <w:semiHidden/>
    <w:qFormat/>
    <w:rsid w:val="002703c2"/>
    <w:pPr>
      <w:widowControl/>
      <w:suppressAutoHyphens w:val="false"/>
      <w:bidi w:val="0"/>
      <w:spacing w:before="0" w:after="0"/>
      <w:jc w:val="left"/>
    </w:pPr>
    <w:rPr>
      <w:rFonts w:ascii="Arial" w:hAnsi="Arial" w:eastAsia="Arial" w:cs="Arial"/>
      <w:color w:val="000000"/>
      <w:kern w:val="0"/>
      <w:sz w:val="21"/>
      <w:szCs w:val="22"/>
      <w:lang w:val="en-US" w:eastAsia="zh-CN" w:bidi="ar-SA"/>
    </w:rPr>
  </w:style>
  <w:style w:type="paragraph" w:styleId="ListParagraph">
    <w:name w:val="List Paragraph"/>
    <w:basedOn w:val="Normal"/>
    <w:uiPriority w:val="34"/>
    <w:qFormat/>
    <w:rsid w:val="00f808a3"/>
    <w:pPr>
      <w:spacing w:before="0" w:after="4"/>
      <w:ind w:hanging="10" w:left="720" w:right="889"/>
      <w:contextualSpacing/>
    </w:pPr>
    <w:rPr/>
  </w:style>
  <w:style w:type="paragraph" w:styleId="Footer">
    <w:name w:val="footer"/>
    <w:basedOn w:val="Gwkaistopka"/>
    <w:pPr>
      <w:suppressLineNumbers/>
      <w:tabs>
        <w:tab w:val="clear" w:pos="720"/>
        <w:tab w:val="center" w:pos="4987" w:leader="none"/>
        <w:tab w:val="right" w:pos="9975" w:leader="none"/>
      </w:tabs>
    </w:pPr>
    <w:rPr/>
  </w:style>
  <w:style w:type="numbering" w:styleId="Bezlistyuser" w:default="1">
    <w:name w:val="Bez listy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ip.krakow.pl/?bip_id=303" TargetMode="External"/><Relationship Id="rId3" Type="http://schemas.openxmlformats.org/officeDocument/2006/relationships/hyperlink" Target="mailto:dpsbab@gmail.com" TargetMode="External"/><Relationship Id="rId4" Type="http://schemas.openxmlformats.org/officeDocument/2006/relationships/hyperlink" Target="mailto:zywienia@dpsbab.krakow.pl" TargetMode="External"/><Relationship Id="rId5" Type="http://schemas.openxmlformats.org/officeDocument/2006/relationships/hyperlink" Target="https://www.bip.krakow.pl/?bip_id=303" TargetMode="External"/><Relationship Id="rId6" Type="http://schemas.openxmlformats.org/officeDocument/2006/relationships/hyperlink" Target="mailto:ioddps@outlook.com"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2652</TotalTime>
  <Application>LibreOffice/26.2.4.2$Windows_X86_64 LibreOffice_project/0229ac93fcf0d7cbc6376066c6f35021cef002dc</Application>
  <AppVersion>15.0000</AppVersion>
  <Pages>2</Pages>
  <Words>5812</Words>
  <Characters>37076</Characters>
  <CharactersWithSpaces>43416</CharactersWithSpaces>
  <Paragraphs>247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2024-11-16T10:22:00Z</dcterms:created>
  <dc:creator>Anna Wąsowska</dc:creator>
  <dc:description/>
  <dc:language>pl-PL</dc:language>
  <cp:lastModifiedBy/>
  <dcterms:modified xsi:type="dcterms:W3CDTF">2026-07-30T13:56:16Z</dcterms:modified>
  <cp:revision>49</cp:revision>
  <dc:subject/>
  <dc:title>Obwieszczenie Marszałka Sejmu Rzeczypospolitej Polskiej z dnia 18 maja 2021 r. w sprawie ogłoszenia jednolitego tekstu ustawy – Prawo zamówień publicznych</dc:title>
</cp:coreProperties>
</file>

<file path=docProps/custom.xml><?xml version="1.0" encoding="utf-8"?>
<Properties xmlns="http://schemas.openxmlformats.org/officeDocument/2006/custom-properties" xmlns:vt="http://schemas.openxmlformats.org/officeDocument/2006/docPropsVTypes"/>
</file>