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08ACB" w14:textId="77777777" w:rsidR="00EF60AC" w:rsidRPr="00C263F9" w:rsidRDefault="00EF60AC" w:rsidP="00EF6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2"/>
          <w:szCs w:val="22"/>
          <w:lang w:eastAsia="pl-PL"/>
          <w14:ligatures w14:val="none"/>
        </w:rPr>
      </w:pPr>
    </w:p>
    <w:p w14:paraId="6519230B" w14:textId="3D96643F" w:rsidR="0060229D" w:rsidRPr="00C263F9" w:rsidRDefault="0060229D" w:rsidP="00EF6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2"/>
          <w:szCs w:val="22"/>
          <w:lang w:eastAsia="pl-PL"/>
          <w14:ligatures w14:val="none"/>
        </w:rPr>
        <w:t xml:space="preserve">OPZ – Nagłośnienie DS </w:t>
      </w:r>
    </w:p>
    <w:p w14:paraId="10623E7B" w14:textId="78F36A11" w:rsidR="0060229D" w:rsidRPr="00C263F9" w:rsidRDefault="0060229D">
      <w:pPr>
        <w:pStyle w:val="Akapitzlist"/>
        <w:numPr>
          <w:ilvl w:val="0"/>
          <w:numId w:val="9"/>
        </w:num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Wymagania ogólne i funkcjonalne systemu</w:t>
      </w:r>
    </w:p>
    <w:p w14:paraId="39512489" w14:textId="77777777" w:rsidR="0060229D" w:rsidRPr="00C263F9" w:rsidRDefault="0060229D" w:rsidP="00EF60AC">
      <w:pPr>
        <w:pStyle w:val="Akapitzlist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</w:p>
    <w:p w14:paraId="2403B43A" w14:textId="77777777" w:rsidR="0060229D" w:rsidRPr="00C263F9" w:rsidRDefault="0060229D" w:rsidP="00EF60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Dostarczany system nagłośnienia musi stanowić spójne technologicznie oraz jakościowo rozwiązanie, gwarantujące równomierność pokrycia widowni, krystaliczną zrozumiałość mowy oraz bezawaryjną pracę w warunkach teatralnych. Wszystkie komponenty głośnikowe i wzmacniające muszą pochodzić od jednego producenta (jednolity ekosystem sprzętowo-programowy) lub być w pełni autoryzowane do wspólnej pracy przez producenta zestawów głośnikowych.</w:t>
      </w:r>
    </w:p>
    <w:p w14:paraId="68C20200" w14:textId="77777777" w:rsidR="0060229D" w:rsidRPr="00C263F9" w:rsidRDefault="0060229D" w:rsidP="00EF60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</w:p>
    <w:p w14:paraId="3D25C9BF" w14:textId="4AA5A707" w:rsidR="0060229D" w:rsidRPr="00355950" w:rsidRDefault="0060229D" w:rsidP="00EF60AC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Zamawiający oczekuje co najmniej 3-letniej gwarancji na dostarczane urządzenia. W przypadku stacji roboczych Zamawiający oczekuje gwarancji z zapewnieniem serwisu</w:t>
      </w:r>
      <w:r w:rsidR="003E03B7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w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następny dzień roboczy od momentu zgłoszenia i diagnozy uszkodzenia.</w:t>
      </w:r>
      <w:r w:rsidR="00355950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</w:t>
      </w:r>
      <w:r w:rsidR="00355950" w:rsidRPr="00355950">
        <w:rPr>
          <w:rFonts w:ascii="Times New Roman" w:hAnsi="Times New Roman" w:cs="Times New Roman"/>
          <w:sz w:val="22"/>
          <w:szCs w:val="22"/>
        </w:rPr>
        <w:t>Wszystkie elementy sterujące (konsoleta, oprogramowanie, stacje robocze) muszą spełniać wymagania dostępności ergonomicznej i użytkowej dla operatorów (rozmiar interfejsu graficznego, kontrast, wysokość montażowa w racku)</w:t>
      </w:r>
      <w:r w:rsidR="00355950">
        <w:rPr>
          <w:rFonts w:ascii="Times New Roman" w:hAnsi="Times New Roman" w:cs="Times New Roman"/>
          <w:sz w:val="22"/>
          <w:szCs w:val="22"/>
        </w:rPr>
        <w:t>.</w:t>
      </w:r>
    </w:p>
    <w:p w14:paraId="52DDF9A1" w14:textId="77777777" w:rsidR="0060229D" w:rsidRPr="00C263F9" w:rsidRDefault="0060229D" w:rsidP="00EF60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</w:p>
    <w:p w14:paraId="418B0348" w14:textId="0D09C544" w:rsidR="00C6623D" w:rsidRPr="00C6623D" w:rsidRDefault="0060229D" w:rsidP="00C662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Termin „co najmniej” użyty w odniesieniu do pasma pracy podaje wartości graniczne, co oznacza, że głośnik może pracować w paśmie szerszym niż podane, ale nie węższym.</w:t>
      </w:r>
    </w:p>
    <w:p w14:paraId="44764D1C" w14:textId="5BDDA8A0" w:rsidR="00C6623D" w:rsidRPr="00C6623D" w:rsidRDefault="0060229D" w:rsidP="00C6623D">
      <w:pPr>
        <w:pStyle w:val="Akapitzlist"/>
        <w:numPr>
          <w:ilvl w:val="0"/>
          <w:numId w:val="9"/>
        </w:num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6623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Szczegółowe wymagania dla urządzeń głośnikowych i wzmacniających</w:t>
      </w:r>
    </w:p>
    <w:p w14:paraId="2B630AF8" w14:textId="77777777" w:rsidR="0060229D" w:rsidRPr="00C263F9" w:rsidRDefault="0060229D" w:rsidP="00EF60AC">
      <w:p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</w:p>
    <w:p w14:paraId="1CC089A8" w14:textId="78D84556" w:rsidR="0060229D" w:rsidRPr="00C263F9" w:rsidRDefault="0060229D" w:rsidP="00EF60AC">
      <w:p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Pozycja 1: Głośnik szerokopasmowy frontowy (MAIN)</w:t>
      </w:r>
      <w:r w:rsidR="00D76703"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oraz dogłośnienie balkonu</w:t>
      </w:r>
    </w:p>
    <w:p w14:paraId="216DB2D9" w14:textId="77777777" w:rsidR="0060229D" w:rsidRPr="00C263F9" w:rsidRDefault="0060229D" w:rsidP="00EF60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Typ urządzenia: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Pasywny, dwudrożny zestaw głośnikowy o konstrukcji bipolarnej lub typu point-source (źródło punktowe).</w:t>
      </w:r>
    </w:p>
    <w:p w14:paraId="3B101A7C" w14:textId="7AE62F09" w:rsidR="0060229D" w:rsidRPr="00C263F9" w:rsidRDefault="0060229D" w:rsidP="00EF60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Parametry elektroakustyczne:</w:t>
      </w:r>
    </w:p>
    <w:p w14:paraId="73D4CB3B" w14:textId="77777777" w:rsidR="0060229D" w:rsidRPr="00C263F9" w:rsidRDefault="0060229D" w:rsidP="00EF60A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Maksymalne ciśnienie akustyczne: co najmniej 127 dB SPL (Peak) w trybie pasywnym.</w:t>
      </w:r>
    </w:p>
    <w:p w14:paraId="45857B83" w14:textId="32FFCC4C" w:rsidR="0060229D" w:rsidRPr="00C263F9" w:rsidRDefault="0060229D" w:rsidP="00EF60A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Pasmo przenoszenia: co najmniej w zakresie od </w:t>
      </w:r>
      <w:r w:rsidR="00E04AB5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58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Hz do 17 kHz przy spadku nie większym niż -10 dB (mierzone zgodnie z normą IEC60268).</w:t>
      </w:r>
    </w:p>
    <w:p w14:paraId="2CE02BC7" w14:textId="77777777" w:rsidR="0060229D" w:rsidRPr="00C263F9" w:rsidRDefault="0060229D" w:rsidP="00EF60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Parametry fizyczne i konstrukcyjne:</w:t>
      </w:r>
    </w:p>
    <w:p w14:paraId="2EFC4D4E" w14:textId="5609E81D" w:rsidR="0060229D" w:rsidRPr="00C263F9" w:rsidRDefault="0060229D" w:rsidP="00EF60A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Wymiary gabarytowe: wysokość nie większa niż 800 mm, szerokość nie większa niż 400 mm.</w:t>
      </w:r>
    </w:p>
    <w:p w14:paraId="699CA230" w14:textId="10D9E2F0" w:rsidR="0060229D" w:rsidRPr="00C263F9" w:rsidRDefault="0060229D" w:rsidP="00EF60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Wymagana ilość:</w:t>
      </w:r>
      <w:r w:rsidRPr="00C263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9334B1" w:rsidRPr="00C263F9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Pr="00C263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sztuki </w:t>
      </w:r>
    </w:p>
    <w:p w14:paraId="4089893C" w14:textId="557E5E54" w:rsidR="00725A38" w:rsidRPr="00C263F9" w:rsidRDefault="0060229D" w:rsidP="00EF60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Akcesoria: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W komplecie dedykowany uchwyt instalacyjny (ścienny lub stropowy) umożliwiający regulację kąta pochylenia i obrotu. </w:t>
      </w:r>
      <w:r w:rsidR="006D2007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br/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Wymiary są istotnym parametrem ponieważ głośnik będzie wieszany w świetle sceny.</w:t>
      </w:r>
    </w:p>
    <w:p w14:paraId="789604B8" w14:textId="35567CEC" w:rsidR="005146A1" w:rsidRPr="00C263F9" w:rsidRDefault="005146A1" w:rsidP="00C263F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2"/>
          <w:szCs w:val="22"/>
          <w:lang w:eastAsia="pl-PL"/>
          <w14:ligatures w14:val="none"/>
        </w:rPr>
      </w:pPr>
    </w:p>
    <w:p w14:paraId="40785925" w14:textId="1D6565B4" w:rsidR="0060229D" w:rsidRPr="00C263F9" w:rsidRDefault="0060229D" w:rsidP="00EF60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Pozycja 2: Głośnik subbasowy (SUB)</w:t>
      </w:r>
    </w:p>
    <w:p w14:paraId="6400B928" w14:textId="77777777" w:rsidR="0060229D" w:rsidRPr="003F6673" w:rsidRDefault="0060229D" w:rsidP="00EF60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Typ urządzenia: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Pasywny głośnik subbasowy dedykowany do instalacji stałych, współpracujący z systemem głównym.</w:t>
      </w:r>
    </w:p>
    <w:p w14:paraId="0ACC0FC6" w14:textId="65C82D19" w:rsidR="0060229D" w:rsidRPr="003F6673" w:rsidRDefault="0060229D" w:rsidP="00EF60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Wymagana ilość: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</w:t>
      </w:r>
      <w:r w:rsidR="00177BDA"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>2 komplety (Przez 1 komplet Zamawiający rozumie pojedyncze urządzenie o zintegrowanej pasywnej kierunkowości LUB niezbędny zestaw urządzeń tworzących klasyczną elektroniczną matrycę kardioidalną, wraz ze wszystkimi niezbędnymi elementami zawiesia lub montażu).</w:t>
      </w:r>
    </w:p>
    <w:p w14:paraId="5185C30B" w14:textId="77777777" w:rsidR="0060229D" w:rsidRPr="003F6673" w:rsidRDefault="0060229D" w:rsidP="00EF60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Parametry elektroakustyczne:</w:t>
      </w:r>
    </w:p>
    <w:p w14:paraId="13986BF8" w14:textId="77777777" w:rsidR="0060229D" w:rsidRPr="00C263F9" w:rsidRDefault="0060229D" w:rsidP="00EF60A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Maksymalne ciśnienie akustyczne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: co najmniej 130 dB SPL (Peak).</w:t>
      </w:r>
    </w:p>
    <w:p w14:paraId="5972BCF1" w14:textId="77777777" w:rsidR="0060229D" w:rsidRPr="00C263F9" w:rsidRDefault="0060229D" w:rsidP="00EF60A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lastRenderedPageBreak/>
        <w:t>Pasmo przenoszenia: co najmniej w zakresie od 42 Hz do 100 Hz przy spadku nie większym niż -5 dB.</w:t>
      </w:r>
    </w:p>
    <w:p w14:paraId="21C75E11" w14:textId="478F76AA" w:rsidR="0060229D" w:rsidRPr="00C263F9" w:rsidRDefault="0060229D" w:rsidP="00EF60A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Kierunkowość: </w:t>
      </w:r>
      <w:r w:rsidR="00DB03C0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system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</w:t>
      </w:r>
      <w:r w:rsidR="00177BDA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musi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zapewniać eliminację dźwięków basowych z przestrzeni sceny (kierunkowość kardioidalna).</w:t>
      </w:r>
    </w:p>
    <w:p w14:paraId="787076F5" w14:textId="77777777" w:rsidR="0060229D" w:rsidRPr="00C263F9" w:rsidRDefault="0060229D" w:rsidP="00EF60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Parametry fizyczne i konstrukcyjne:</w:t>
      </w:r>
    </w:p>
    <w:p w14:paraId="16E906B6" w14:textId="77777777" w:rsidR="00355950" w:rsidRDefault="00355950">
      <w:pPr>
        <w:pStyle w:val="Akapitzlist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355950">
        <w:rPr>
          <w:rFonts w:ascii="Times New Roman" w:hAnsi="Times New Roman" w:cs="Times New Roman"/>
          <w:sz w:val="22"/>
          <w:szCs w:val="22"/>
        </w:rPr>
        <w:t>Przetwornik niskotonowy (lub zestaw przetworników) o dużej skuteczności i mocy ciągłej co najmniej 500 W AES (lub mocy szczytowej Peak co najmniej 1500 W).</w:t>
      </w:r>
    </w:p>
    <w:p w14:paraId="696D67DF" w14:textId="77777777" w:rsidR="00355950" w:rsidRPr="00355950" w:rsidRDefault="00BD4446">
      <w:pPr>
        <w:pStyle w:val="Akapitzlist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355950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Urządzenie (lub system złożony z urządzeń) musi być przystosowane do pracy w kierunkowej konfiguracji kardioidalnej (służącej do redukcji energii niskotonowej z tyłu głośników na scenie) przy użyciu dedykowanych rozwiązań fabrycznych (np. pasywna konstrukcja wewnątrz jednej obudowy, dodatkowe złącza ułatwiające okablowanie przód/tył lub dedykowane presety procesora/wzmacniacza dostarczone przez producenta do tworzenia zintegrowanych matryc kardioidalnych).</w:t>
      </w:r>
    </w:p>
    <w:p w14:paraId="7776C91C" w14:textId="5550E71D" w:rsidR="00177BDA" w:rsidRPr="00355950" w:rsidRDefault="00177BDA">
      <w:pPr>
        <w:pStyle w:val="Akapitzlist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355950">
        <w:rPr>
          <w:rFonts w:ascii="Times New Roman" w:hAnsi="Times New Roman" w:cs="Times New Roman"/>
          <w:color w:val="000000"/>
          <w:sz w:val="22"/>
          <w:szCs w:val="22"/>
        </w:rPr>
        <w:t>Z uwagi na uwarunkowania architektoniczne, pojedynczy zaoferowany moduł subbasowy nie może przekraczać wymiarów całkowitych 65 cm (wysokość) x 85 cm (szerokość) x 85 cm (głębokość). Ponadto każde urządzenie musi posiadać dedykowany osprzęt montażowy pozwalający na jego bezpieczne, atestowane podwieszenie (flown).</w:t>
      </w:r>
    </w:p>
    <w:p w14:paraId="46C63D2B" w14:textId="61AE0763" w:rsidR="0060229D" w:rsidRPr="00C263F9" w:rsidRDefault="0060229D" w:rsidP="00EF60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Pozycja 3: Dogłośnienie strefowe (Frontfill)</w:t>
      </w:r>
      <w:r w:rsidR="009334B1"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i dogłośnienie stanowiska realizatora dźwięku</w:t>
      </w:r>
    </w:p>
    <w:p w14:paraId="3E256433" w14:textId="77777777" w:rsidR="0060229D" w:rsidRPr="00C263F9" w:rsidRDefault="0060229D" w:rsidP="00EF60A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Typ urządzenia: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Pasywny, dwudrożny, kompaktowy zestaw głośnikowy szerokopasmowy dedykowany do pracy w pozycji poziomej (montaż na krawędzi sceny lub w stopniu).</w:t>
      </w:r>
    </w:p>
    <w:p w14:paraId="3B81E09A" w14:textId="185A6B8F" w:rsidR="0060229D" w:rsidRPr="00C263F9" w:rsidRDefault="0060229D" w:rsidP="00EF60A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Wymagana ilość: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od 2 do </w:t>
      </w:r>
      <w:r w:rsidR="00C263F9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4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sztuk (liczba dostosowana do szerokości dyspersji horyzontalnej oferowanego modelu w celu zapewnienia równomiernego pokrycia czoła </w:t>
      </w:r>
      <w:r w:rsidR="00D570AE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widowni i dogłośnienia stanowiska realizatora dźwięku</w:t>
      </w:r>
      <w:r w:rsidR="00057A36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znajdującego się na balkonie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).</w:t>
      </w:r>
    </w:p>
    <w:p w14:paraId="00925941" w14:textId="77777777" w:rsidR="0060229D" w:rsidRPr="00C263F9" w:rsidRDefault="0060229D" w:rsidP="00EF60A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Parametry elektroakustyczne:</w:t>
      </w:r>
    </w:p>
    <w:p w14:paraId="0976B5E8" w14:textId="77777777" w:rsidR="0060229D" w:rsidRPr="00C263F9" w:rsidRDefault="0060229D" w:rsidP="00EF60AC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Maksymalne ciśnienie akustyczne: co najmniej 114 dB SPL (Peak) w trybie pasywnym.</w:t>
      </w:r>
    </w:p>
    <w:p w14:paraId="2A2D4DF7" w14:textId="566B35F4" w:rsidR="0060229D" w:rsidRPr="00C263F9" w:rsidRDefault="0060229D" w:rsidP="00EF60AC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Pasmo przenoszenia: co najmniej w zakresie od </w:t>
      </w:r>
      <w:r w:rsidR="003355A5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95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Hz do 19 kHz przy spadku nie większym niż -10 dB (mierzone zgodnie z normą IEC60268).</w:t>
      </w:r>
    </w:p>
    <w:p w14:paraId="2714C30D" w14:textId="77777777" w:rsidR="0060229D" w:rsidRPr="00C263F9" w:rsidRDefault="0060229D" w:rsidP="00EF60A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Parametry fizyczne i konstrukcyjne:</w:t>
      </w:r>
    </w:p>
    <w:p w14:paraId="628BA266" w14:textId="597BC5B4" w:rsidR="0060229D" w:rsidRPr="00C263F9" w:rsidRDefault="0060229D" w:rsidP="00EF60AC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Wymiary gabarytowe: wysokość obudowy przy pracy w poziomie (leżąc na boku) nie większa niż 2</w:t>
      </w:r>
      <w:r w:rsidR="00BD4446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55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mm.</w:t>
      </w:r>
    </w:p>
    <w:p w14:paraId="539CC458" w14:textId="77777777" w:rsidR="00FF3A41" w:rsidRPr="00C263F9" w:rsidRDefault="00FF3A41" w:rsidP="00EF60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</w:p>
    <w:p w14:paraId="77428234" w14:textId="225D0BD9" w:rsidR="0060229D" w:rsidRPr="00C263F9" w:rsidRDefault="0060229D" w:rsidP="00EF60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Pozycja 4: Dogłośnienie strefowe (Podbalkonowe)</w:t>
      </w:r>
    </w:p>
    <w:p w14:paraId="4D89F210" w14:textId="77777777" w:rsidR="0060229D" w:rsidRPr="00C263F9" w:rsidRDefault="0060229D" w:rsidP="00EF60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Typ urządzenia: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Pasywny, dwudrożny, kompaktowy zestaw głośnikowy dedykowany do montażu poziomego pod niskimi stropami balkonów.</w:t>
      </w:r>
    </w:p>
    <w:p w14:paraId="40181C51" w14:textId="77777777" w:rsidR="0060229D" w:rsidRPr="00C263F9" w:rsidRDefault="0060229D" w:rsidP="00EF60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Wymagana ilość: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2 sztuki.</w:t>
      </w:r>
    </w:p>
    <w:p w14:paraId="7803145B" w14:textId="77777777" w:rsidR="0060229D" w:rsidRPr="00C263F9" w:rsidRDefault="0060229D" w:rsidP="00EF60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Parametry elektroakustyczne:</w:t>
      </w:r>
    </w:p>
    <w:p w14:paraId="2930EB75" w14:textId="77777777" w:rsidR="0060229D" w:rsidRPr="00C263F9" w:rsidRDefault="0060229D" w:rsidP="00EF60AC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Maksymalne ciśnienie akustyczne: co najmniej 117 dB SPL (Peak).</w:t>
      </w:r>
    </w:p>
    <w:p w14:paraId="54C5BFD8" w14:textId="77777777" w:rsidR="0060229D" w:rsidRPr="00C263F9" w:rsidRDefault="0060229D" w:rsidP="00EF60AC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Pasmo przenoszenia: co najmniej w zakresie od 95 Hz do 20 kHz przy spadku nie większym niż -10 dB.</w:t>
      </w:r>
    </w:p>
    <w:p w14:paraId="415DA13A" w14:textId="016C66DE" w:rsidR="0060229D" w:rsidRPr="00C263F9" w:rsidRDefault="0060229D" w:rsidP="00EF60AC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Kąt dyspersji horyzontalnej: nominalnie co </w:t>
      </w:r>
      <w:r w:rsidRPr="00CB51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najmniej </w:t>
      </w:r>
      <w:r w:rsidR="00392D34" w:rsidRPr="00CB51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10</w:t>
      </w:r>
      <w:r w:rsidR="00BD4446" w:rsidRPr="00CB51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0</w:t>
      </w:r>
      <w:r w:rsidRPr="00CB51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stopni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(dla zapewnienia szerokiego pokrycia bliskiego pola).</w:t>
      </w:r>
    </w:p>
    <w:p w14:paraId="3FFF0D28" w14:textId="77777777" w:rsidR="0060229D" w:rsidRPr="00C263F9" w:rsidRDefault="0060229D" w:rsidP="00EF60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Parametry fizyczne i konstrukcyjne:</w:t>
      </w:r>
    </w:p>
    <w:p w14:paraId="2AB65A98" w14:textId="548E32C0" w:rsidR="000541AB" w:rsidRPr="00C263F9" w:rsidRDefault="0060229D" w:rsidP="00EF60AC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Wymiary gabarytowe: wysokość obudowy przy pracy w poziomie (podwieszony leżąc na boku) nie większa niż </w:t>
      </w:r>
      <w:r w:rsidR="00BD4446"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240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mm.</w:t>
      </w:r>
    </w:p>
    <w:p w14:paraId="155366C1" w14:textId="77777777" w:rsidR="0060229D" w:rsidRPr="00C263F9" w:rsidRDefault="0060229D" w:rsidP="00EF60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Akcesoria: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Dedykowany zestaw do zamontowania na ścianie/suficie.</w:t>
      </w:r>
    </w:p>
    <w:p w14:paraId="329D8FB3" w14:textId="77777777" w:rsidR="00FF3A41" w:rsidRPr="00C263F9" w:rsidRDefault="00FF3A41" w:rsidP="00EF60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</w:p>
    <w:p w14:paraId="3B99AF2A" w14:textId="77777777" w:rsidR="0060229D" w:rsidRPr="00C263F9" w:rsidRDefault="0060229D" w:rsidP="00EF60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lastRenderedPageBreak/>
        <w:t>Pozycja 5: Wzmacniacze mocy</w:t>
      </w:r>
    </w:p>
    <w:p w14:paraId="11E1A8D1" w14:textId="52C27ADC" w:rsidR="0060229D" w:rsidRPr="00C263F9" w:rsidRDefault="0060229D" w:rsidP="00EF60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Konfiguracja wyjściowa: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Wzmacniacze mocy w ilości zapewniającej zasilenie w/w głośników, z odpowiednio dobraną mocą wyjściową oraz impedancją</w:t>
      </w:r>
      <w:r w:rsidR="00C263F9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. Wzmacniacze muszą być wyposażone w wbudowany cyfrowy procesor sygnałowy (DSP) realizujący obróbkę sygnału w domenie cyfrowej.</w:t>
      </w:r>
    </w:p>
    <w:p w14:paraId="2E7DF16D" w14:textId="0E2270F3" w:rsidR="00C263F9" w:rsidRPr="003F6673" w:rsidRDefault="0060229D" w:rsidP="00C263F9">
      <w:pPr>
        <w:pStyle w:val="NormalnyWeb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C263F9">
        <w:rPr>
          <w:b/>
          <w:bCs/>
          <w:color w:val="000000" w:themeColor="text1"/>
          <w:sz w:val="22"/>
          <w:szCs w:val="22"/>
        </w:rPr>
        <w:t>Wejścia sygnałowe:</w:t>
      </w:r>
      <w:r w:rsidRPr="00C263F9">
        <w:rPr>
          <w:color w:val="000000" w:themeColor="text1"/>
          <w:sz w:val="22"/>
          <w:szCs w:val="22"/>
        </w:rPr>
        <w:t xml:space="preserve"> </w:t>
      </w:r>
      <w:r w:rsidR="00C263F9" w:rsidRPr="00C263F9">
        <w:rPr>
          <w:color w:val="000000"/>
          <w:sz w:val="22"/>
          <w:szCs w:val="22"/>
        </w:rPr>
        <w:t xml:space="preserve">System wzmacniaczy musi umożliwiać bezpośredni odbiór cyfrowych </w:t>
      </w:r>
      <w:r w:rsidR="00C263F9" w:rsidRPr="003F6673">
        <w:rPr>
          <w:color w:val="000000" w:themeColor="text1"/>
          <w:sz w:val="22"/>
          <w:szCs w:val="22"/>
        </w:rPr>
        <w:t>sygnałów audio wysyłanych z posiadanego przez Zamawiającego miksera dźwięku poprzez protokół sieciowy</w:t>
      </w:r>
      <w:r w:rsidR="00C263F9" w:rsidRPr="003F6673">
        <w:rPr>
          <w:rStyle w:val="apple-converted-space"/>
          <w:color w:val="000000" w:themeColor="text1"/>
          <w:sz w:val="22"/>
          <w:szCs w:val="22"/>
        </w:rPr>
        <w:t> </w:t>
      </w:r>
      <w:r w:rsidR="00C263F9" w:rsidRPr="003F6673">
        <w:rPr>
          <w:color w:val="000000" w:themeColor="text1"/>
          <w:sz w:val="22"/>
          <w:szCs w:val="22"/>
        </w:rPr>
        <w:t>Dante lub rozwiązanie równoważne</w:t>
      </w:r>
      <w:r w:rsidR="00C263F9" w:rsidRPr="003F6673">
        <w:rPr>
          <w:rStyle w:val="apple-converted-space"/>
          <w:color w:val="000000" w:themeColor="text1"/>
          <w:sz w:val="22"/>
          <w:szCs w:val="22"/>
        </w:rPr>
        <w:t> </w:t>
      </w:r>
      <w:r w:rsidR="00C263F9" w:rsidRPr="003F6673">
        <w:rPr>
          <w:color w:val="000000" w:themeColor="text1"/>
          <w:sz w:val="22"/>
          <w:szCs w:val="22"/>
        </w:rPr>
        <w:t xml:space="preserve">(np. zgodne ze standardem AES67, zapewniające natywną kompatybilność z posiadaną kartą Dante 24-bit / 48 kHz). Zamawiający dopuszcza realizację tego wymogu na dwa sposoby: </w:t>
      </w:r>
      <w:r w:rsidR="00C263F9" w:rsidRPr="003F6673">
        <w:rPr>
          <w:color w:val="000000" w:themeColor="text1"/>
          <w:sz w:val="22"/>
          <w:szCs w:val="22"/>
        </w:rPr>
        <w:br/>
        <w:t>- Zastosowanie wzmacniaczy z bezpośrednim, wbudowanym cyfrowym interfejsem sieciowym (Dante lub równoważnym),</w:t>
      </w:r>
      <w:r w:rsidR="00C263F9" w:rsidRPr="003F6673">
        <w:rPr>
          <w:rStyle w:val="apple-converted-space"/>
          <w:color w:val="000000" w:themeColor="text1"/>
          <w:sz w:val="22"/>
          <w:szCs w:val="22"/>
        </w:rPr>
        <w:t> </w:t>
      </w:r>
      <w:r w:rsidR="00C263F9" w:rsidRPr="003F6673">
        <w:rPr>
          <w:b/>
          <w:bCs/>
          <w:color w:val="000000" w:themeColor="text1"/>
          <w:sz w:val="22"/>
          <w:szCs w:val="22"/>
        </w:rPr>
        <w:t>lub</w:t>
      </w:r>
      <w:r w:rsidR="00C263F9" w:rsidRPr="003F6673">
        <w:rPr>
          <w:color w:val="000000" w:themeColor="text1"/>
          <w:sz w:val="22"/>
          <w:szCs w:val="22"/>
        </w:rPr>
        <w:t xml:space="preserve"> </w:t>
      </w:r>
      <w:r w:rsidR="00C263F9" w:rsidRPr="003F6673">
        <w:rPr>
          <w:color w:val="000000" w:themeColor="text1"/>
          <w:sz w:val="22"/>
          <w:szCs w:val="22"/>
        </w:rPr>
        <w:br/>
        <w:t>- Zastosowanie wzmacniaczy wyposażonych w cyfrowe wejścia w formacie</w:t>
      </w:r>
      <w:r w:rsidR="00C263F9" w:rsidRPr="003F6673">
        <w:rPr>
          <w:rStyle w:val="apple-converted-space"/>
          <w:color w:val="000000" w:themeColor="text1"/>
          <w:sz w:val="22"/>
          <w:szCs w:val="22"/>
        </w:rPr>
        <w:t> </w:t>
      </w:r>
      <w:r w:rsidR="00C263F9" w:rsidRPr="003F6673">
        <w:rPr>
          <w:color w:val="000000" w:themeColor="text1"/>
          <w:sz w:val="22"/>
          <w:szCs w:val="22"/>
        </w:rPr>
        <w:t>AES/EBU</w:t>
      </w:r>
      <w:r w:rsidR="00C263F9" w:rsidRPr="003F6673">
        <w:rPr>
          <w:rStyle w:val="apple-converted-space"/>
          <w:color w:val="000000" w:themeColor="text1"/>
          <w:sz w:val="22"/>
          <w:szCs w:val="22"/>
        </w:rPr>
        <w:t> </w:t>
      </w:r>
      <w:r w:rsidR="00C263F9" w:rsidRPr="003F6673">
        <w:rPr>
          <w:color w:val="000000" w:themeColor="text1"/>
          <w:sz w:val="22"/>
          <w:szCs w:val="22"/>
        </w:rPr>
        <w:t>wraz z dostarczeniem przez Wykonawcę dedykowanego zewnętrznego konwerter sygnału z protokołu sieciowego (Dante/AES67) na format AES/EBU.</w:t>
      </w:r>
    </w:p>
    <w:p w14:paraId="7C832BCE" w14:textId="30A3AF7A" w:rsidR="0060229D" w:rsidRPr="00C263F9" w:rsidRDefault="0060229D" w:rsidP="00EF60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Zarządzanie strefami: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Zamawiający nie podaje ilości 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urządzeń, bo ta zależy od poszczególnych rozwiązań Oferenta. Wymagane jest natomiast zapewnienie odpowiedniej liczby niezależnych kanałów wyjściowych mocy w stosunku do głośników. Zabrania się łączenia równoległego głośników pracujących w różnych strefach lub liniach opóźniających – każdy fizyczny głośnik lub wydzielona strefa opóźniająca musi mieć przydzielony osobny kanał wyjściowy mocy z dedykowaną, niezależną linią opóźniającą (delay) i korekcją parametryczną (EQ).</w:t>
      </w:r>
    </w:p>
    <w:p w14:paraId="6E2C9602" w14:textId="77777777" w:rsidR="00355950" w:rsidRDefault="0060229D" w:rsidP="00EF60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Sterowanie: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Możliwość zdalnego sterowania przez sieć komputerową.</w:t>
      </w:r>
      <w:r w:rsidR="00632DC8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</w:t>
      </w:r>
      <w:r w:rsidR="00FF3A41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br/>
      </w:r>
      <w:r w:rsidR="00CC2B33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Wzmacniacze mocy lub oprogramowanie sterujące muszą posiadać funkcję ciągłego monitorowania obciążenia (pomiar impedancji w czasie rzeczywistym), umożliwiającą detekcję awarii przetwornika lub uszkodzenia okablowania w trakcie normalnej pracy systemu.</w:t>
      </w:r>
    </w:p>
    <w:p w14:paraId="555D4942" w14:textId="77777777" w:rsidR="00FF3A41" w:rsidRPr="00C263F9" w:rsidRDefault="00FF3A41" w:rsidP="00C263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</w:p>
    <w:p w14:paraId="2A220AD6" w14:textId="77777777" w:rsidR="0060229D" w:rsidRPr="00C263F9" w:rsidRDefault="0060229D" w:rsidP="00EF60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Pozycja 6: Procesor dźwięku</w:t>
      </w:r>
    </w:p>
    <w:p w14:paraId="431F9B08" w14:textId="48894481" w:rsidR="00C263F9" w:rsidRPr="003F6673" w:rsidRDefault="0060229D" w:rsidP="00C263F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Konfiguracja i interfejsy:</w:t>
      </w:r>
      <w:r w:rsidR="00C263F9"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</w:t>
      </w:r>
      <w:r w:rsidR="00C263F9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System musi zostać wyposażony w cyfrowy procesor dźwięku (DSP) zapewniający pełną optymalizację elektroakustyczną (strojenie) całego systemu nagłośnienia. Przetwarzanie sygnału musi umożliwiać m.in. wydzielenie niezależnego toru sterowania dla zestawów niskotonowych z pominięciem głównej szyny miksera (tzw. konfiguracja AUX-fed sub / sub na wysyłce).</w:t>
      </w:r>
    </w:p>
    <w:p w14:paraId="525103A0" w14:textId="2AEED946" w:rsidR="00C263F9" w:rsidRPr="003F6673" w:rsidRDefault="00C263F9" w:rsidP="00C263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Zamawiający nie określa liczby fizycznych urządzeń procesorów – architektura rozwiązania leży w gestii Wykonawcy. Zamawiający dopuszcza realizację obróbki sygnału na dwa sposoby:</w:t>
      </w:r>
    </w:p>
    <w:p w14:paraId="0904F036" w14:textId="5110780F" w:rsidR="00C263F9" w:rsidRPr="003F6673" w:rsidRDefault="00C263F9" w:rsidP="00C263F9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W dedykowanym, zewnętrznym procesorze dźwięku. W takim przypadku dystrybucja sygnału między procesorem a wzmacniaczami musi odbywać się całkowicie w domenie cyfrowej (poprzez protokół sieciowy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 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Dante lub równoważny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 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np. AES67, albo za pomocą standardu cyfrowego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 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AES/EBU).</w:t>
      </w:r>
    </w:p>
    <w:p w14:paraId="271DC1C5" w14:textId="77777777" w:rsidR="00C263F9" w:rsidRPr="003F6673" w:rsidRDefault="00C263F9" w:rsidP="00C263F9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Bezpośrednio we wzmacniaczach mocy wyposażonych w zintegrowane procesory DSP, do których sygnał cyfrowy z miksera trafi bezpośrednio.</w:t>
      </w:r>
    </w:p>
    <w:p w14:paraId="1E9433C2" w14:textId="4E36E565" w:rsidR="00C263F9" w:rsidRPr="003F6673" w:rsidRDefault="00C263F9" w:rsidP="00C263F9">
      <w:pPr>
        <w:pStyle w:val="NormalnyWeb"/>
        <w:ind w:left="720"/>
        <w:jc w:val="both"/>
        <w:rPr>
          <w:color w:val="000000" w:themeColor="text1"/>
          <w:sz w:val="22"/>
          <w:szCs w:val="22"/>
        </w:rPr>
      </w:pPr>
      <w:r w:rsidRPr="003F6673">
        <w:rPr>
          <w:color w:val="000000" w:themeColor="text1"/>
          <w:sz w:val="22"/>
          <w:szCs w:val="22"/>
        </w:rPr>
        <w:t>Niezależnie od wybranej przez Wykonawcę architektury, system DSP musi oferować zdolność przyjęcia i przetworzenia minimum</w:t>
      </w:r>
      <w:r w:rsidRPr="003F6673">
        <w:rPr>
          <w:rStyle w:val="apple-converted-space"/>
          <w:color w:val="000000" w:themeColor="text1"/>
          <w:sz w:val="22"/>
          <w:szCs w:val="22"/>
        </w:rPr>
        <w:t> </w:t>
      </w:r>
      <w:r w:rsidRPr="003F6673">
        <w:rPr>
          <w:color w:val="000000" w:themeColor="text1"/>
          <w:sz w:val="22"/>
          <w:szCs w:val="22"/>
        </w:rPr>
        <w:t>3 niezależnych kanałów wejściowych cyfrowych</w:t>
      </w:r>
      <w:r w:rsidRPr="003F6673">
        <w:rPr>
          <w:rStyle w:val="apple-converted-space"/>
          <w:color w:val="000000" w:themeColor="text1"/>
          <w:sz w:val="22"/>
          <w:szCs w:val="22"/>
        </w:rPr>
        <w:t> </w:t>
      </w:r>
      <w:r w:rsidRPr="003F6673">
        <w:rPr>
          <w:color w:val="000000" w:themeColor="text1"/>
          <w:sz w:val="22"/>
          <w:szCs w:val="22"/>
        </w:rPr>
        <w:t>oraz wygenerowania z nich minimum</w:t>
      </w:r>
      <w:r w:rsidRPr="003F6673">
        <w:rPr>
          <w:rStyle w:val="apple-converted-space"/>
          <w:color w:val="000000" w:themeColor="text1"/>
          <w:sz w:val="22"/>
          <w:szCs w:val="22"/>
        </w:rPr>
        <w:t> </w:t>
      </w:r>
      <w:r w:rsidRPr="003F6673">
        <w:rPr>
          <w:color w:val="000000" w:themeColor="text1"/>
          <w:sz w:val="22"/>
          <w:szCs w:val="22"/>
        </w:rPr>
        <w:t>11</w:t>
      </w:r>
      <w:r w:rsidR="00B23F31" w:rsidRPr="003F6673">
        <w:rPr>
          <w:color w:val="000000" w:themeColor="text1"/>
          <w:sz w:val="22"/>
          <w:szCs w:val="22"/>
        </w:rPr>
        <w:t xml:space="preserve"> </w:t>
      </w:r>
      <w:r w:rsidRPr="003F6673">
        <w:rPr>
          <w:color w:val="000000" w:themeColor="text1"/>
          <w:sz w:val="22"/>
          <w:szCs w:val="22"/>
        </w:rPr>
        <w:t>niezależnych torów (kanałów) wyjściowych</w:t>
      </w:r>
      <w:r w:rsidRPr="003F6673">
        <w:rPr>
          <w:rStyle w:val="apple-converted-space"/>
          <w:color w:val="000000" w:themeColor="text1"/>
          <w:sz w:val="22"/>
          <w:szCs w:val="22"/>
        </w:rPr>
        <w:t> </w:t>
      </w:r>
      <w:r w:rsidRPr="003F6673">
        <w:rPr>
          <w:color w:val="000000" w:themeColor="text1"/>
          <w:sz w:val="22"/>
          <w:szCs w:val="22"/>
        </w:rPr>
        <w:t>dla poszczególnych stref i urządzeń (każdy z niezależnym procesowaniem).</w:t>
      </w:r>
    </w:p>
    <w:p w14:paraId="36925F3C" w14:textId="77777777" w:rsidR="00C263F9" w:rsidRPr="003F6673" w:rsidRDefault="00C263F9">
      <w:pPr>
        <w:pStyle w:val="NormalnyWeb"/>
        <w:numPr>
          <w:ilvl w:val="0"/>
          <w:numId w:val="11"/>
        </w:numPr>
        <w:jc w:val="both"/>
        <w:rPr>
          <w:color w:val="000000" w:themeColor="text1"/>
          <w:sz w:val="22"/>
          <w:szCs w:val="22"/>
        </w:rPr>
      </w:pPr>
      <w:r w:rsidRPr="003F6673">
        <w:rPr>
          <w:b/>
          <w:bCs/>
          <w:color w:val="000000" w:themeColor="text1"/>
          <w:sz w:val="22"/>
          <w:szCs w:val="22"/>
        </w:rPr>
        <w:lastRenderedPageBreak/>
        <w:t>Presety i bezpieczeństwo:</w:t>
      </w:r>
      <w:r w:rsidRPr="003F6673">
        <w:rPr>
          <w:rStyle w:val="apple-converted-space"/>
          <w:color w:val="000000" w:themeColor="text1"/>
          <w:sz w:val="22"/>
          <w:szCs w:val="22"/>
        </w:rPr>
        <w:t> </w:t>
      </w:r>
      <w:r w:rsidRPr="003F6673">
        <w:rPr>
          <w:color w:val="000000" w:themeColor="text1"/>
          <w:sz w:val="22"/>
          <w:szCs w:val="22"/>
        </w:rPr>
        <w:t>Zewnętrzne procesory DSP lub wzmacniacze z wbudowanym DSP muszą obsługiwać dedykowane biblioteki presetów głośnikowych (zawierające m.in. filtry FIR oraz wielostopniowe limitery napięciowo-termiczne) zapewniające optymalną pracę i bezpieczeństwo sprzętu. Wykonawca zobowiązany jest do zastosowania wyłącznie oryginalnych presetów opracowanych, zoptymalizowanych i oficjalnie autoryzowanych przez producenta oferowanych zestawów głośnikowych. Bloki ustawień systemowych odpowiedzialne za powyższe presety (limity, filtry ochronne) muszą zostać zabezpieczone/zablokowane przed możliwością przypadkowej edycji lub usunięcia przez użytkownika końcowego.</w:t>
      </w:r>
    </w:p>
    <w:p w14:paraId="36463238" w14:textId="10D85D50" w:rsidR="0060229D" w:rsidRPr="00C6623D" w:rsidRDefault="0060229D" w:rsidP="00C6623D">
      <w:pPr>
        <w:pStyle w:val="Akapitzlist"/>
        <w:numPr>
          <w:ilvl w:val="1"/>
          <w:numId w:val="5"/>
        </w:num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6623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Urządzenia sieciowe, emisyjne, projekcyjne i pomocnicze</w:t>
      </w:r>
    </w:p>
    <w:p w14:paraId="427E7D97" w14:textId="77777777" w:rsidR="00392D34" w:rsidRPr="003F6673" w:rsidRDefault="00392D34" w:rsidP="00EF60AC">
      <w:pPr>
        <w:pStyle w:val="Akapitzlist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</w:p>
    <w:p w14:paraId="3E016543" w14:textId="77777777" w:rsidR="0060229D" w:rsidRPr="003F6673" w:rsidRDefault="0060229D" w:rsidP="00EF60AC">
      <w:p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Pozycja 7: Urządzenie sieciowe (switch)</w:t>
      </w:r>
    </w:p>
    <w:p w14:paraId="569689CA" w14:textId="77777777" w:rsidR="0060229D" w:rsidRPr="003F6673" w:rsidRDefault="0060229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Opis funkcjonalny: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Switch sieciowy zapewniający bezkolizyjną i bezawaryjną obsługę sieci Dante oraz sterowania wzmacniaczami, pracujący z prędkością 1 Gbps.</w:t>
      </w:r>
    </w:p>
    <w:p w14:paraId="6830EB0A" w14:textId="77777777" w:rsidR="0060229D" w:rsidRPr="003F6673" w:rsidRDefault="0060229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Parametry fizyczne: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Fizyczna ilość wlotów (portów) do urządzenia minimum 24 porty RJ-45.</w:t>
      </w:r>
    </w:p>
    <w:p w14:paraId="37B5C49C" w14:textId="77777777" w:rsidR="0060229D" w:rsidRPr="003F6673" w:rsidRDefault="0060229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Wymagana ilość: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Co najmniej 1 sztuka, chyba że rozwiązanie technologiczne oferenta obejmuje więcej urządzeń.</w:t>
      </w:r>
    </w:p>
    <w:p w14:paraId="534476AD" w14:textId="2AD539FE" w:rsidR="0060229D" w:rsidRPr="003F6673" w:rsidRDefault="0060229D" w:rsidP="00EF60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Pozycja 8: Komputer emisyjny (Mobilna stacja robocza)</w:t>
      </w:r>
    </w:p>
    <w:p w14:paraId="0489BB2B" w14:textId="072060C4" w:rsidR="0060229D" w:rsidRPr="003F6673" w:rsidRDefault="0060229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Przeznaczenie: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Mobilna stacja robocza dla realizatora audio-video, z wydajnym procesorem </w:t>
      </w:r>
      <w:r w:rsidR="00C263F9"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do pracy z grafiką, wideo i wielokanałowym dźwiękiem w czasie rzeczywistym, w tym z wykorzystaniem sieciowych protokołów audio (Dante lub równoważnych, np. AES67). </w:t>
      </w:r>
    </w:p>
    <w:p w14:paraId="32DE1ED0" w14:textId="77777777" w:rsidR="0060229D" w:rsidRPr="003F6673" w:rsidRDefault="0060229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Wymagana ilość: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2 komplety (w zestawie z dedykowanym zasilaczem, torbą transportową oraz myszką bezprzewodową podłączaną bezpośrednio pod Bluetooth komputera).</w:t>
      </w:r>
    </w:p>
    <w:p w14:paraId="0E50E243" w14:textId="77777777" w:rsidR="0060229D" w:rsidRPr="003F6673" w:rsidRDefault="0060229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Wydajność obliczeniowa:</w:t>
      </w:r>
    </w:p>
    <w:p w14:paraId="60A80AC9" w14:textId="04810DA6" w:rsidR="00824A8C" w:rsidRPr="00355950" w:rsidRDefault="00824A8C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55950">
        <w:rPr>
          <w:rFonts w:ascii="Times New Roman" w:hAnsi="Times New Roman" w:cs="Times New Roman"/>
          <w:b/>
          <w:bCs/>
          <w:sz w:val="22"/>
          <w:szCs w:val="22"/>
        </w:rPr>
        <w:t>Procesor:</w:t>
      </w:r>
      <w:r w:rsidRPr="00355950">
        <w:rPr>
          <w:rFonts w:ascii="Times New Roman" w:hAnsi="Times New Roman" w:cs="Times New Roman"/>
          <w:sz w:val="22"/>
          <w:szCs w:val="22"/>
        </w:rPr>
        <w:t> Dedykowany procesor stacji roboczej, wyposażony w co najmniej 16 rdzeni (fizycznych) i 24 wątki, z pamięcią cache co najmniej 24 MB (np. Intel Core i7/i9 13./14. generacji lub AMD Ryzen 9 serii 7000/8000 lub równoważny). </w:t>
      </w:r>
      <w:r w:rsidR="00355950" w:rsidRPr="00355950">
        <w:rPr>
          <w:rFonts w:ascii="Times New Roman" w:hAnsi="Times New Roman" w:cs="Times New Roman"/>
          <w:sz w:val="22"/>
          <w:szCs w:val="22"/>
        </w:rPr>
        <w:t xml:space="preserve">Wydajność oferowanego procesora w teście wielowątkowym PassMark CPU Mark (publikowanym w serwisie cpubenchmark.net) musi wynosić co najmniej 40 000 punktów na dzień </w:t>
      </w:r>
      <w:r w:rsidR="00A2798D">
        <w:rPr>
          <w:rFonts w:ascii="Times New Roman" w:hAnsi="Times New Roman" w:cs="Times New Roman"/>
          <w:sz w:val="22"/>
          <w:szCs w:val="22"/>
        </w:rPr>
        <w:t>31.07.2026</w:t>
      </w:r>
      <w:r w:rsidR="00355950" w:rsidRPr="00355950">
        <w:rPr>
          <w:rFonts w:ascii="Times New Roman" w:hAnsi="Times New Roman" w:cs="Times New Roman"/>
          <w:sz w:val="22"/>
          <w:szCs w:val="22"/>
        </w:rPr>
        <w:t>.</w:t>
      </w:r>
      <w:r w:rsidR="0035595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EFCD314" w14:textId="65F53BC5" w:rsidR="00824A8C" w:rsidRPr="003F6673" w:rsidRDefault="00824A8C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355950">
        <w:rPr>
          <w:rFonts w:ascii="Times New Roman" w:hAnsi="Times New Roman" w:cs="Times New Roman"/>
          <w:b/>
          <w:bCs/>
          <w:sz w:val="22"/>
          <w:szCs w:val="22"/>
        </w:rPr>
        <w:t>Karta graficzna:</w:t>
      </w:r>
      <w:r w:rsidRPr="00355950">
        <w:rPr>
          <w:rFonts w:ascii="Times New Roman" w:hAnsi="Times New Roman" w:cs="Times New Roman"/>
          <w:sz w:val="22"/>
          <w:szCs w:val="22"/>
        </w:rPr>
        <w:t xml:space="preserve"> Dedykowana profesjonalna karta graficzna wyposażona w co najmniej 12 GB własnej pamięci VRAM GDDR6 (np. NVIDIA RTX 2000 Ada / RTX 3500 Ada lub NVIDIA GeForce RTX 4070/4080 Mobile lub równoważna), </w:t>
      </w:r>
      <w:r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>umożliwiająca bezawaryjną obsługę co najmniej 4 zewnętrznych wyświetlaczy FHD. </w:t>
      </w:r>
      <w:r w:rsidR="00355950"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Wydajność oferowanej karty graficznej w teście PassMark G3D Mark (publikowanym w serwisie videobenchmark.net) musi wynosić co najmniej 23 000 punktów na dzień </w:t>
      </w:r>
      <w:r w:rsidR="00A2798D"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31.07.2026. </w:t>
      </w:r>
    </w:p>
    <w:p w14:paraId="0BAC77C0" w14:textId="39E7C48C" w:rsidR="00824A8C" w:rsidRPr="003F6673" w:rsidRDefault="00824A8C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3F667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Dyski:</w:t>
      </w:r>
      <w:r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> Pamięć masowa o łącznej pojemności co najmniej 4 TB SSD NVMe PCIe Gen4, zrealizowana fabrycznie na co najmniej dwóch fizycznych dyskach SSD M.2 (2x 2 TB). Płyta główna musi posiadać co najmniej 2 fizyczne sloty M.2 PCIe NVMe.</w:t>
      </w:r>
    </w:p>
    <w:p w14:paraId="1D3113E0" w14:textId="6799A06E" w:rsidR="0060229D" w:rsidRPr="003F6673" w:rsidRDefault="0060229D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Wyświetlacz: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Matryca UHD o przekątnej co najmniej 17 cali, z maksymalną częstotliwością odświeżania co najmniej </w:t>
      </w:r>
      <w:r w:rsidR="00C263F9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60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Hz.</w:t>
      </w:r>
    </w:p>
    <w:p w14:paraId="316BA4C7" w14:textId="5ACEEC00" w:rsidR="0060229D" w:rsidRPr="003F6673" w:rsidRDefault="0060229D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Pamięć RAM: </w:t>
      </w:r>
      <w:r w:rsidR="00C263F9"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DDR5 lub wyższa, o pojemności co najmniej 64 GB, z możliwością rozbudowy do co najmniej 128 GB, pracująca z prędkością co najmniej 3600 MHz </w:t>
      </w:r>
    </w:p>
    <w:p w14:paraId="691734DD" w14:textId="69E593DE" w:rsidR="0060229D" w:rsidRPr="003F6673" w:rsidRDefault="00DB03C0" w:rsidP="00DB03C0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>Chipset musi zapewniać sprzętową obsługę magistrali PCIe w standardzie co najmniej Gen4</w:t>
      </w:r>
      <w:r w:rsidRPr="003F6673">
        <w:rPr>
          <w:rFonts w:ascii="Arial" w:hAnsi="Arial" w:cs="Arial"/>
          <w:color w:val="000000" w:themeColor="text1"/>
          <w:sz w:val="21"/>
          <w:szCs w:val="21"/>
          <w:shd w:val="clear" w:color="auto" w:fill="222222"/>
        </w:rPr>
        <w:br/>
      </w:r>
      <w:r w:rsidR="0060229D" w:rsidRPr="00824A8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lastRenderedPageBreak/>
        <w:t>Złącza fizyczne:</w:t>
      </w:r>
      <w:r w:rsidR="0060229D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co najmniej 2 gniazda Thunderbolt co najmniej 4 generacji </w:t>
      </w:r>
      <w:r w:rsidR="0060229D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realizowane przez USB-C </w:t>
      </w:r>
      <w:r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>lub gniazda w standardzie USB4 o równoważnej przepustowości 40 Gb/s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,</w:t>
      </w:r>
      <w:r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60229D"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t>(pracujące również jako wyjścia video</w:t>
      </w:r>
      <w:r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t xml:space="preserve">), </w:t>
      </w:r>
      <w:r w:rsidR="0060229D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co najmniej jedno gniazdo USB-C pracujące jako Display Port, co najmniej 3 gniazda USB 3.2 (w tym co najmniej jedno 2 generacji oraz </w:t>
      </w:r>
      <w:r w:rsidR="00355950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co najmniej jedno z funkcją ładowania urządzeń zewnętrznych w trybie uśpienia),</w:t>
      </w:r>
      <w:r w:rsidR="00355950" w:rsidRPr="003F6673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</w:t>
      </w:r>
      <w:r w:rsidR="0060229D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co najmniej jedno gniazdo audio jack 3,5 mm, co najmniej jeden slot kart pamięci SD,</w:t>
      </w:r>
      <w:r w:rsidR="00355950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)</w:t>
      </w:r>
      <w:r w:rsidR="0060229D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co najmniej jedno złącze RJ-45 (karta sieciowa pracująca z prędkością nie mniejszą niż 1 Gbps).</w:t>
      </w:r>
    </w:p>
    <w:p w14:paraId="3A53FC0B" w14:textId="77777777" w:rsidR="0060229D" w:rsidRPr="003F6673" w:rsidRDefault="0060229D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Łączność bezprzewodowa: karta WiFi pracująca w standardach 2,4 GHz, 5 GHz, 6 GHz, wspierająca szyfrowanie WEP, TKIP, AES; karta Bluetooth w wersji co najmniej 5.3.</w:t>
      </w:r>
    </w:p>
    <w:p w14:paraId="42F91234" w14:textId="77777777" w:rsidR="0060229D" w:rsidRPr="00C263F9" w:rsidRDefault="0060229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Cechy dodatkowe: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Klawiatura podświetlana (praca w ciemności), zintegrowana karta dźwiękowa z wbudowanymi głośnikami.</w:t>
      </w:r>
    </w:p>
    <w:p w14:paraId="683C376B" w14:textId="195C7579" w:rsidR="0060229D" w:rsidRPr="00C263F9" w:rsidRDefault="0060229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Gwarancja: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3-letnia realizowana w trybie u użytkownika (On-Site) z czasem reakcji</w:t>
      </w:r>
      <w:r w:rsidR="003E03B7"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(usunięcie usterki)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w następny dzień roboczy po zgłoszeniu i zdiagnozowaniu awarii.</w:t>
      </w:r>
    </w:p>
    <w:p w14:paraId="6926FE9A" w14:textId="77777777" w:rsidR="0060229D" w:rsidRPr="00C263F9" w:rsidRDefault="0060229D" w:rsidP="00EF60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1"/>
          <w:szCs w:val="21"/>
          <w:lang w:eastAsia="pl-PL"/>
          <w14:ligatures w14:val="none"/>
        </w:rPr>
        <w:t>Pozycja 9: T</w:t>
      </w: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ablet sterujący</w:t>
      </w:r>
    </w:p>
    <w:p w14:paraId="18024805" w14:textId="77777777" w:rsidR="0060229D" w:rsidRPr="00C263F9" w:rsidRDefault="0060229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Wymagana ilość:</w:t>
      </w: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2 komplety (w zestawie z dedykowanym, precyzyjnie pracującym rysikiem).</w:t>
      </w:r>
    </w:p>
    <w:p w14:paraId="2A9194C6" w14:textId="77777777" w:rsidR="0060229D" w:rsidRPr="00C263F9" w:rsidRDefault="0060229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Specyfikacja techniczna:</w:t>
      </w:r>
    </w:p>
    <w:p w14:paraId="2E05492C" w14:textId="77777777" w:rsidR="0060229D" w:rsidRPr="00C263F9" w:rsidRDefault="0060229D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Ekran: przekątna nie mniejsza niż 10 cali, matryca pracująca w rozdzielczości nie mniejszej niż 2100 x 1300 pikseli.</w:t>
      </w:r>
    </w:p>
    <w:p w14:paraId="1BD4DD46" w14:textId="77777777" w:rsidR="0060229D" w:rsidRPr="00C263F9" w:rsidRDefault="0060229D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Pamięć: co najmniej 6 GB pamięci RAM oraz 128 GB pamięci wewnętrznej.</w:t>
      </w:r>
    </w:p>
    <w:p w14:paraId="52AE7360" w14:textId="77777777" w:rsidR="00355950" w:rsidRPr="003F6673" w:rsidRDefault="0060229D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Złącza i łączność: złącze USB-C, karta WiFi pracująca w trybach a, b, g, n, ac, ax, Bluetooth w wersji co najmniej 5.3.</w:t>
      </w:r>
    </w:p>
    <w:p w14:paraId="50399A6C" w14:textId="5ACC76F4" w:rsidR="0060229D" w:rsidRPr="003F6673" w:rsidRDefault="00355950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System operacyjny: fabrycznie zainstalowany system Android w wersji min. 15 lub iPadOS min. 18 lub Windows 11 Pro 64-bit (wersja 24h2h lub nowsza)</w:t>
      </w:r>
      <w:r w:rsidR="00DB03C0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lub równoważne. </w:t>
      </w:r>
    </w:p>
    <w:p w14:paraId="2831C397" w14:textId="4AC17475" w:rsidR="0060229D" w:rsidRPr="003F6673" w:rsidRDefault="0060229D" w:rsidP="00EF60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Pozycja 1</w:t>
      </w:r>
      <w:r w:rsidR="00D76703"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0</w:t>
      </w: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: Konsoleta foniczna (Mikser)</w:t>
      </w:r>
    </w:p>
    <w:p w14:paraId="4FF83988" w14:textId="77777777" w:rsidR="001F704B" w:rsidRPr="003F6673" w:rsidRDefault="00B20688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667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Specyfikacja urządzenia:</w:t>
      </w:r>
      <w:r w:rsidRPr="003F6673">
        <w:rPr>
          <w:rStyle w:val="apple-converted-space"/>
          <w:rFonts w:ascii="Times New Roman" w:hAnsi="Times New Roman" w:cs="Times New Roman"/>
          <w:color w:val="000000" w:themeColor="text1"/>
          <w:sz w:val="22"/>
          <w:szCs w:val="22"/>
        </w:rPr>
        <w:t> </w:t>
      </w:r>
      <w:r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>Cyfrowy mikser dźwięku Behringer Wing (lub równoważny), wyposażony w dedykowaną kartę rozszerzeń Dante (lub równoważną) oraz zewnętrzny stage box Midas DL32 (lub równoważny).</w:t>
      </w:r>
    </w:p>
    <w:p w14:paraId="15F852FC" w14:textId="20233EAC" w:rsidR="00B20688" w:rsidRPr="003F6673" w:rsidRDefault="00B20688" w:rsidP="001F704B">
      <w:pPr>
        <w:pStyle w:val="Akapitzlist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81A9076" w14:textId="466D7149" w:rsidR="00AF54F4" w:rsidRPr="003F6673" w:rsidRDefault="00B20688" w:rsidP="00AF54F4">
      <w:pPr>
        <w:pStyle w:val="Akapitzlist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>Zamawiający podaje markę i typ w celu zachowania pełnej kompatybilności i zamienności z posiadanym przez Zamawiającego sprzętem</w:t>
      </w:r>
      <w:r w:rsidR="00AF54F4"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w celu </w:t>
      </w:r>
      <w:r w:rsidR="00AF54F4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możliwości zamiennego realizowania tych samych spektakli i wydarzeń na zamawianej oraz obecnie posiadanej konsole</w:t>
      </w:r>
      <w:r w:rsidR="00DB03C0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cie</w:t>
      </w:r>
      <w:r w:rsidR="00AF54F4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. </w:t>
      </w:r>
    </w:p>
    <w:p w14:paraId="272E0608" w14:textId="1E1AE046" w:rsidR="00AF54F4" w:rsidRPr="003F6673" w:rsidRDefault="00AF54F4" w:rsidP="00AF54F4">
      <w:pPr>
        <w:pStyle w:val="Akapitzlist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W przypadku zaoferowania urządzenia równoważnego (innego producenta), Wykonawca zobowiązany jest zapewnić pełną wymienność eksploatacyjną poprzez:</w:t>
      </w:r>
    </w:p>
    <w:p w14:paraId="2BAA2A7D" w14:textId="58D4AEA9" w:rsidR="00AF54F4" w:rsidRPr="003F6673" w:rsidRDefault="00AF54F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Konwersję scen: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 Przeniesienie i zmapowanie na format oferowanej konsolety wskazanych przez Zamawiającego istniejących plików scen </w:t>
      </w:r>
      <w:r w:rsidR="002741C6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12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spektakli (z zachowaniem struktury kanałów, grup, wysyłek i pamięci scen).</w:t>
      </w:r>
    </w:p>
    <w:p w14:paraId="3A2CBF1F" w14:textId="6F9FD5B5" w:rsidR="00AF54F4" w:rsidRPr="003F6673" w:rsidRDefault="00AF54F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Oprogramowanie i narzędzia: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 Dostarczenie bezpłatnego oprogramowania oraz narzędzi umożliwiających transfer i edycję konfiguracji spektakli.</w:t>
      </w:r>
    </w:p>
    <w:p w14:paraId="678A6381" w14:textId="0A3E883A" w:rsidR="00AF54F4" w:rsidRPr="003F6673" w:rsidRDefault="00AF54F4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Integrację sieciową i szkolenie: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 Wyposażenie konsolety w interfejs sieciowy (Dante/AES67 lub MADI) zapewniający bezkonfliktowe przełączanie sygnałów w sieci audio oraz przeprowadzenie szkolenia stanowiskowego (min 8 godzin) dla realizatorów Zamawiającego z zakresu przenoszenia i obsługi spektakli</w:t>
      </w:r>
      <w:r w:rsidRPr="003F6673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  <w14:ligatures w14:val="none"/>
        </w:rPr>
        <w:t>.</w:t>
      </w:r>
    </w:p>
    <w:p w14:paraId="64CD9436" w14:textId="77777777" w:rsidR="001F704B" w:rsidRPr="003F6673" w:rsidRDefault="001F704B" w:rsidP="001F704B">
      <w:pPr>
        <w:pStyle w:val="Akapitzlist"/>
        <w:spacing w:after="0" w:line="240" w:lineRule="auto"/>
        <w:ind w:left="1068"/>
        <w:rPr>
          <w:rFonts w:ascii="Arial" w:eastAsia="Times New Roman" w:hAnsi="Arial" w:cs="Arial"/>
          <w:b/>
          <w:bCs/>
          <w:color w:val="000000" w:themeColor="text1"/>
          <w:kern w:val="0"/>
          <w:sz w:val="21"/>
          <w:szCs w:val="21"/>
          <w:lang w:eastAsia="pl-PL"/>
          <w14:ligatures w14:val="none"/>
        </w:rPr>
      </w:pPr>
    </w:p>
    <w:p w14:paraId="2C7A7847" w14:textId="7FEDE741" w:rsidR="001F704B" w:rsidRPr="003F6673" w:rsidRDefault="001F704B" w:rsidP="001F70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lastRenderedPageBreak/>
        <w:t>Minimalne parametry równoważności</w:t>
      </w:r>
    </w:p>
    <w:p w14:paraId="7164FBB4" w14:textId="77777777" w:rsidR="001F704B" w:rsidRPr="003F6673" w:rsidRDefault="001F704B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Min. 48 kanałów wejściowych z pełnym procesowaniem (EQ, dynamika, bramka).</w:t>
      </w:r>
    </w:p>
    <w:p w14:paraId="4A192645" w14:textId="77777777" w:rsidR="001F704B" w:rsidRPr="003F6673" w:rsidRDefault="001F704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Min. 28 szyn wyjściowych z korekcją parametryczną/graficzną.</w:t>
      </w:r>
    </w:p>
    <w:p w14:paraId="41DE04E6" w14:textId="77777777" w:rsidR="001F704B" w:rsidRPr="003F6673" w:rsidRDefault="001F704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Zintegrowany interfejs sieciowy audio (Dante / AES67 lub MADI) min. 32x32 kanały.</w:t>
      </w:r>
    </w:p>
    <w:p w14:paraId="5902CF15" w14:textId="43955320" w:rsidR="001F704B" w:rsidRPr="003F6673" w:rsidRDefault="001F704B">
      <w:pPr>
        <w:numPr>
          <w:ilvl w:val="0"/>
          <w:numId w:val="12"/>
        </w:numPr>
        <w:spacing w:after="0" w:line="240" w:lineRule="auto"/>
        <w:rPr>
          <w:rStyle w:val="apple-converted-space"/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Latencja systemu od wejścia analogowego do wyjścia analogowego </w:t>
      </w:r>
      <m:oMath>
        <m:r>
          <w:rPr>
            <w:rFonts w:ascii="Cambria Math" w:eastAsia="Times New Roman" w:hAnsi="Cambria Math" w:cs="Times New Roman"/>
            <w:color w:val="000000" w:themeColor="text1"/>
            <w:kern w:val="0"/>
            <w:sz w:val="22"/>
            <w:szCs w:val="22"/>
            <w:lang w:eastAsia="pl-PL"/>
            <w14:ligatures w14:val="none"/>
          </w:rPr>
          <m:t>≤1,5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kern w:val="0"/>
            <w:sz w:val="22"/>
            <w:szCs w:val="22"/>
            <w:lang w:eastAsia="pl-PL"/>
            <w14:ligatures w14:val="none"/>
          </w:rPr>
          <m:t> ms</m:t>
        </m:r>
      </m:oMath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.</w:t>
      </w:r>
    </w:p>
    <w:p w14:paraId="7EC39FB3" w14:textId="3E27AF26" w:rsidR="00B20688" w:rsidRDefault="00B20688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667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Wymagana ilość:</w:t>
      </w:r>
      <w:r w:rsidRPr="003F6673">
        <w:rPr>
          <w:rStyle w:val="apple-converted-space"/>
          <w:rFonts w:ascii="Times New Roman" w:hAnsi="Times New Roman" w:cs="Times New Roman"/>
          <w:color w:val="000000" w:themeColor="text1"/>
          <w:sz w:val="22"/>
          <w:szCs w:val="22"/>
        </w:rPr>
        <w:t> </w:t>
      </w:r>
      <w:r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>1 komplet.</w:t>
      </w:r>
    </w:p>
    <w:p w14:paraId="67278593" w14:textId="02FB539F" w:rsidR="0060229D" w:rsidRDefault="0060229D" w:rsidP="00EF60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Pozycja 1</w:t>
      </w:r>
      <w:r w:rsidR="00D76703"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1</w:t>
      </w: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: Cyfrowy system mikrofonów bezprzewodowych</w:t>
      </w:r>
    </w:p>
    <w:p w14:paraId="36B650E1" w14:textId="3ADFDD26" w:rsidR="005305D9" w:rsidRPr="003F6673" w:rsidRDefault="005305D9" w:rsidP="005305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Specyfikacja i skład zestawu: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 Cyfrowy system mikrofonów bezprzewodowych Shure z serii ULXD (lub równoważny) pracujący w paśmie częstotliwości </w:t>
      </w:r>
      <w:r w:rsidR="00ED4CC5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co najmniej 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470–534 MHz. W skład zestawu wchodzą:</w:t>
      </w:r>
    </w:p>
    <w:p w14:paraId="0B49A541" w14:textId="77777777" w:rsidR="005305D9" w:rsidRPr="003F6673" w:rsidRDefault="005305D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Odbiornik czterokanałowy (Quad): 2 sztuki.</w:t>
      </w:r>
    </w:p>
    <w:p w14:paraId="2355561A" w14:textId="77777777" w:rsidR="005305D9" w:rsidRPr="003F6673" w:rsidRDefault="005305D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Nadajnik ręczny (Handheld) z kapsułą wokalną Shure Beta 58A (lub równoważną z gwintem 1.25" x 28 UN-2A): 8 sztuk.</w:t>
      </w:r>
    </w:p>
    <w:p w14:paraId="1BD4F2B9" w14:textId="77777777" w:rsidR="005305D9" w:rsidRPr="003F6673" w:rsidRDefault="005305D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Nadajnik miniaturowy (Bodypack) ze złączem TA4F: 8 sztuk.</w:t>
      </w:r>
    </w:p>
    <w:p w14:paraId="53705D6D" w14:textId="77777777" w:rsidR="005305D9" w:rsidRPr="003F6673" w:rsidRDefault="005305D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Dedykowane akumulatory litowo-jonowe Shure SB900C (lub równoważne): 20 sztuk.</w:t>
      </w:r>
    </w:p>
    <w:p w14:paraId="18BCFD9C" w14:textId="7DFB4A1B" w:rsidR="005305D9" w:rsidRPr="003F6673" w:rsidRDefault="005305D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Ładowarki stacjonarne Shure SBC800-E (lub równoważne): 3 sztuki.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br/>
      </w:r>
    </w:p>
    <w:p w14:paraId="2A643102" w14:textId="77777777" w:rsidR="00355950" w:rsidRPr="003F6673" w:rsidRDefault="00355950" w:rsidP="0035595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Zamawiający dopuszcza zaoferowanie systemu innego producenta niż Shure, pod warunkiem spełnienia poniższych kluczowych parametrów:</w:t>
      </w:r>
    </w:p>
    <w:p w14:paraId="60B8E687" w14:textId="2754FCDA" w:rsidR="00355950" w:rsidRPr="003F6673" w:rsidRDefault="00355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W pełni cyfrowa transmisja UHF w paśmie 470–534 MHz z szyfrowaniem AES-256 oraz pasmem strojenia odbiornika </w:t>
      </w:r>
      <w:r w:rsidR="00ED4CC5"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co najmniej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50 MHz.</w:t>
      </w:r>
    </w:p>
    <w:p w14:paraId="3070A9DA" w14:textId="2DD2AB79" w:rsidR="00355950" w:rsidRPr="003F6673" w:rsidRDefault="00355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Całkowita latencja cyfrowa systemu 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2"/>
            <w:szCs w:val="22"/>
            <w:lang w:eastAsia="pl-PL"/>
            <w14:ligatures w14:val="none"/>
          </w:rPr>
          <m:t>≤3,2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kern w:val="0"/>
            <w:sz w:val="22"/>
            <w:szCs w:val="22"/>
            <w:lang w:eastAsia="pl-PL"/>
            <w14:ligatures w14:val="none"/>
          </w:rPr>
          <m:t> ms</m:t>
        </m:r>
      </m:oMath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 oraz dynamika systemu 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2"/>
            <w:szCs w:val="22"/>
            <w:lang w:eastAsia="pl-PL"/>
            <w14:ligatures w14:val="none"/>
          </w:rPr>
          <m:t>≥120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kern w:val="0"/>
            <w:sz w:val="22"/>
            <w:szCs w:val="22"/>
            <w:lang w:eastAsia="pl-PL"/>
            <w14:ligatures w14:val="none"/>
          </w:rPr>
          <m:t> dB (A)</m:t>
        </m:r>
      </m:oMath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.</w:t>
      </w:r>
    </w:p>
    <w:p w14:paraId="6D30DDBE" w14:textId="060907EB" w:rsidR="00355950" w:rsidRPr="003F6673" w:rsidRDefault="00355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Dwuportowy interfejs Ethernet wspierający protokół Dante (lub równoważny, np. zgodny z AES67) z obsługą sprzętowej redundancji (Primary/Secondary).</w:t>
      </w:r>
    </w:p>
    <w:p w14:paraId="06B7C228" w14:textId="23817660" w:rsidR="00355950" w:rsidRPr="003F6673" w:rsidRDefault="00355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Dedykowane akumulatory Li-Ion z wyświetlaniem czasu pracy w godzinach i minutach oraz stacje ładujące z interfejsem Ethernet (IP) do diagnostyki stanu ogniw w sieci LAN.</w:t>
      </w:r>
    </w:p>
    <w:p w14:paraId="0A28D745" w14:textId="38A6F699" w:rsidR="005305D9" w:rsidRPr="003F6673" w:rsidRDefault="00355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Metalowe obudowy nadajników, złącze bodypacka 4-pinowe Mini-XLR (TA4F) z zasilaniem Bias +5V DC oraz przelotowe złącza antenowe BNC (50 Ohm).</w:t>
      </w:r>
    </w:p>
    <w:p w14:paraId="01020202" w14:textId="77777777" w:rsidR="00966F3C" w:rsidRPr="003F6673" w:rsidRDefault="005305D9" w:rsidP="00966F3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Zapewnienie dedykowanego, bezpłatnego oprogramowania zarządczego producenta (dla Windows/macOS) umożliwiającego monitoring, skanowanie widma i koordynację częstotliwości przez sieć Ethernet.</w:t>
      </w:r>
    </w:p>
    <w:p w14:paraId="75FCD69E" w14:textId="617C84DD" w:rsidR="005305D9" w:rsidRPr="003F6673" w:rsidRDefault="00966F3C" w:rsidP="00966F3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1"/>
          <w:szCs w:val="21"/>
          <w:lang w:eastAsia="pl-PL"/>
          <w14:ligatures w14:val="none"/>
        </w:rPr>
      </w:pPr>
      <w:r w:rsidRPr="003F6673">
        <w:rPr>
          <w:rFonts w:ascii="Times New Roman" w:hAnsi="Times New Roman" w:cs="Times New Roman"/>
          <w:color w:val="000000" w:themeColor="text1"/>
          <w:sz w:val="22"/>
          <w:szCs w:val="22"/>
        </w:rPr>
        <w:t>System (odbiorniki lub dedykowane oprogramowanie zarządcze) musi oferować funkcję automatycznego skanowania widma RF oraz tworzenia i ciągłego aktualizowania listy czystych częstotliwości rezerwowych (Backup Frequencies), gotowych do natychmiastowego przydzielenia w przypadku wystąpienia zakłóceń na pracującym kanale.</w:t>
      </w:r>
      <w:r w:rsidR="00355950"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br/>
      </w:r>
    </w:p>
    <w:p w14:paraId="01B6DC5A" w14:textId="7FBF835D" w:rsidR="00B20688" w:rsidRPr="003F6673" w:rsidRDefault="00B20688" w:rsidP="003F6673">
      <w:pPr>
        <w:pStyle w:val="NormalnyWeb"/>
        <w:ind w:left="360"/>
        <w:rPr>
          <w:color w:val="000000" w:themeColor="text1"/>
          <w:sz w:val="22"/>
          <w:szCs w:val="22"/>
        </w:rPr>
      </w:pPr>
      <w:r w:rsidRPr="003F6673">
        <w:rPr>
          <w:b/>
          <w:bCs/>
          <w:color w:val="000000" w:themeColor="text1"/>
          <w:sz w:val="22"/>
          <w:szCs w:val="22"/>
        </w:rPr>
        <w:t>Integracja i skrzynia transportowa (Flight Case):</w:t>
      </w:r>
    </w:p>
    <w:p w14:paraId="5F3013ED" w14:textId="77777777" w:rsidR="00B20688" w:rsidRPr="003F6673" w:rsidRDefault="00B20688">
      <w:pPr>
        <w:pStyle w:val="NormalnyWeb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3F6673">
        <w:rPr>
          <w:color w:val="000000" w:themeColor="text1"/>
          <w:sz w:val="22"/>
          <w:szCs w:val="22"/>
        </w:rPr>
        <w:t>Dostarczane odbiorniki bezprzewodowe muszą być w pełni zabudowane w profesjonalnej skrzyni transportowej typu case o wysokości co najmniej 7U.</w:t>
      </w:r>
    </w:p>
    <w:p w14:paraId="527963E2" w14:textId="77777777" w:rsidR="00B20688" w:rsidRPr="003F6673" w:rsidRDefault="00B20688">
      <w:pPr>
        <w:pStyle w:val="NormalnyWeb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3F6673">
        <w:rPr>
          <w:color w:val="000000" w:themeColor="text1"/>
          <w:sz w:val="22"/>
          <w:szCs w:val="22"/>
        </w:rPr>
        <w:t>Skrzynia musi mieć wyprowadzone wszystkie złącza sygnałowe i RF odbiorników na zewnętrzne panele przyłączeniowe (patchbaye) umieszczone na tylnym panelu skrzyni.</w:t>
      </w:r>
    </w:p>
    <w:p w14:paraId="15F9BE74" w14:textId="77777777" w:rsidR="00B20688" w:rsidRPr="005305D9" w:rsidRDefault="00B20688">
      <w:pPr>
        <w:pStyle w:val="NormalnyWeb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3F6673">
        <w:rPr>
          <w:color w:val="000000" w:themeColor="text1"/>
          <w:sz w:val="22"/>
          <w:szCs w:val="22"/>
        </w:rPr>
        <w:t xml:space="preserve">Dopuszcza się wyprowadzenie wspólnych złączy antenowych </w:t>
      </w:r>
      <w:r w:rsidRPr="005305D9">
        <w:rPr>
          <w:color w:val="000000" w:themeColor="text1"/>
          <w:sz w:val="22"/>
          <w:szCs w:val="22"/>
        </w:rPr>
        <w:t>na przedni panel w miejscach fabrycznie dedykowanych przez producenta systemu mikrofonowego, a także wspólne zasilanie urządzeń zrealizowane poprzez jedno blokowane złącze zasilające (typu PowerCon in lub równoważne) na panelu tylnym.</w:t>
      </w:r>
    </w:p>
    <w:p w14:paraId="290C2A74" w14:textId="77777777" w:rsidR="00B20688" w:rsidRPr="005305D9" w:rsidRDefault="00B20688">
      <w:pPr>
        <w:pStyle w:val="NormalnyWeb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5305D9">
        <w:rPr>
          <w:color w:val="000000" w:themeColor="text1"/>
          <w:sz w:val="22"/>
          <w:szCs w:val="22"/>
        </w:rPr>
        <w:t>Na panelu tylnym skrzyni należy również zabudować przelotowe blokowane złącze zasilające (typu PowerCon out lub równoważne), tzw. „podaj dalej”.</w:t>
      </w:r>
    </w:p>
    <w:p w14:paraId="52C57477" w14:textId="05290642" w:rsidR="00B20688" w:rsidRPr="003F6673" w:rsidRDefault="00B20688">
      <w:pPr>
        <w:pStyle w:val="NormalnyWeb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3F6673">
        <w:rPr>
          <w:color w:val="000000" w:themeColor="text1"/>
          <w:sz w:val="22"/>
          <w:szCs w:val="22"/>
        </w:rPr>
        <w:lastRenderedPageBreak/>
        <w:t xml:space="preserve">Konstrukcja skrzyni: wykonana z trwałej, prasowanej sklejki w kolorze czarnym </w:t>
      </w:r>
      <w:r w:rsidR="00355950" w:rsidRPr="003F6673">
        <w:rPr>
          <w:color w:val="000000" w:themeColor="text1"/>
          <w:sz w:val="22"/>
          <w:szCs w:val="22"/>
        </w:rPr>
        <w:t>z powłoką ochronną/antypoślizgową</w:t>
      </w:r>
      <w:r w:rsidRPr="003F6673">
        <w:rPr>
          <w:color w:val="000000" w:themeColor="text1"/>
          <w:sz w:val="22"/>
          <w:szCs w:val="22"/>
        </w:rPr>
        <w:t>, wzmocniona metalowymi okuciami narożnymi (kulowymi).</w:t>
      </w:r>
    </w:p>
    <w:p w14:paraId="7C11C847" w14:textId="77777777" w:rsidR="00B20688" w:rsidRPr="003F6673" w:rsidRDefault="00B20688">
      <w:pPr>
        <w:pStyle w:val="NormalnyWeb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3F6673">
        <w:rPr>
          <w:color w:val="000000" w:themeColor="text1"/>
          <w:sz w:val="22"/>
          <w:szCs w:val="22"/>
        </w:rPr>
        <w:t>Mobilność i ergonomia: skrzynia wyposażona w podwozie z czterema kołami skrętnymi, z czego co najmniej dwa koła muszą posiadać zintegrowane hamulce mechaniczne. Na bocznych ścianach skrzyni muszą być zamontowane co najmniej dwa wpuszczane, samoskładające się uchwyty transportowe.</w:t>
      </w:r>
    </w:p>
    <w:p w14:paraId="513D3DD5" w14:textId="77777777" w:rsidR="00B20688" w:rsidRPr="003F6673" w:rsidRDefault="00B20688">
      <w:pPr>
        <w:pStyle w:val="NormalnyWeb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3F6673">
        <w:rPr>
          <w:color w:val="000000" w:themeColor="text1"/>
          <w:sz w:val="22"/>
          <w:szCs w:val="22"/>
        </w:rPr>
        <w:t>Zamknięcie i dostęp: zdejmowane klapy (pokrywy) od frontu oraz z tyłu skrzyni, zabezpieczone dedykowanymi zamkami motylkowymi.</w:t>
      </w:r>
    </w:p>
    <w:p w14:paraId="3579FFC1" w14:textId="77777777" w:rsidR="00B20688" w:rsidRPr="003F6673" w:rsidRDefault="00B20688">
      <w:pPr>
        <w:pStyle w:val="NormalnyWeb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3F6673">
        <w:rPr>
          <w:color w:val="000000" w:themeColor="text1"/>
          <w:sz w:val="22"/>
          <w:szCs w:val="22"/>
        </w:rPr>
        <w:t>Szuflady i bezpieczne przechowywanie nadajników: wewnątrz skrzyni case należy zabudować dwie wysuwane szuflady o wysokości 2U każda, zamykane na klucz. Każda szuflada musi zawierać dopasowany wkład z pianki technicznej (gąbki) wycięty technologią CNC/laserową, gwarantujący bezpieczny transport czterech nadajników handheld oraz czterech nadajników bodypack (łącznie zabezpieczenie transportowe dla 8 sztuk nadajników ręcznych oraz 8 sztuk nadajników miniaturowych).</w:t>
      </w:r>
    </w:p>
    <w:p w14:paraId="24554DC1" w14:textId="77777777" w:rsidR="00B20688" w:rsidRPr="003F6673" w:rsidRDefault="00B20688">
      <w:pPr>
        <w:pStyle w:val="NormalnyWeb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3F6673">
        <w:rPr>
          <w:b/>
          <w:bCs/>
          <w:color w:val="000000" w:themeColor="text1"/>
          <w:sz w:val="22"/>
          <w:szCs w:val="22"/>
        </w:rPr>
        <w:t>Wymagana ilość:</w:t>
      </w:r>
      <w:r w:rsidRPr="003F6673">
        <w:rPr>
          <w:rStyle w:val="apple-converted-space"/>
          <w:color w:val="000000" w:themeColor="text1"/>
          <w:sz w:val="22"/>
          <w:szCs w:val="22"/>
        </w:rPr>
        <w:t> </w:t>
      </w:r>
      <w:r w:rsidRPr="003F6673">
        <w:rPr>
          <w:color w:val="000000" w:themeColor="text1"/>
          <w:sz w:val="22"/>
          <w:szCs w:val="22"/>
        </w:rPr>
        <w:t>1 komplet.</w:t>
      </w:r>
    </w:p>
    <w:p w14:paraId="6A875DC5" w14:textId="57A94301" w:rsidR="0060229D" w:rsidRPr="008051BC" w:rsidRDefault="0060229D" w:rsidP="008051B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Pozycja 1</w:t>
      </w:r>
      <w:r w:rsidR="00D76703"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2</w:t>
      </w:r>
      <w:r w:rsidRPr="00C263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: Mikrofon nagłowny (Headset):</w:t>
      </w:r>
    </w:p>
    <w:p w14:paraId="20FA99D2" w14:textId="77777777" w:rsidR="008051BC" w:rsidRPr="003F6673" w:rsidRDefault="008051BC" w:rsidP="008051BC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pl-PL"/>
        </w:rPr>
      </w:pPr>
      <w:r w:rsidRPr="003F667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pl-PL"/>
        </w:rPr>
        <w:t>Wymagana ilość: 20 kompletów.</w:t>
      </w:r>
    </w:p>
    <w:p w14:paraId="48EBD9CA" w14:textId="77777777" w:rsidR="008051BC" w:rsidRPr="003F6673" w:rsidRDefault="008051BC" w:rsidP="008051BC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pl-PL"/>
        </w:rPr>
      </w:pPr>
      <w:r w:rsidRPr="003F667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pl-PL"/>
        </w:rPr>
        <w:t>Specyfikacja techniczna:</w:t>
      </w:r>
    </w:p>
    <w:p w14:paraId="3FD0A536" w14:textId="2AFFDC05" w:rsidR="008051BC" w:rsidRPr="003F6673" w:rsidRDefault="008051BC" w:rsidP="008051BC">
      <w:pPr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t>Konstrukcja: Pałąk mocowany na oba uszy, kolor cielisty, osłona przeciwwietrzna (windshield), waga całkowita mikrofonu nie większa niż 20 g.</w:t>
      </w:r>
      <w:r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br/>
        <w:t>Kapsuła: Pojemnościowa o dookólnej (omni) charakterystyce kierunkowości.</w:t>
      </w:r>
      <w:r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br/>
        <w:t>Parametry elektroakustyczne: Pasmo przenoszenia nie węższe niż 20 Hz – 20 kHz.</w:t>
      </w:r>
      <w:r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br/>
        <w:t>Interfejs i topologia połączeń: Fabryczny wtyk typu TA4F (Mini-XLR 4-pin) o topologii pinów i parametrach elektrycznych w 100% zgodnych ze standardem nadajników bodypack Shure ULXD. Złącze musi umożliwiać bezpośrednie, bezadapterowe podłączenie zarówno do nowo dostarczanych nadajników bodypack, jak i do posiadanych już przez Zamawiającego nadajników bodypack Shure ULXD.</w:t>
      </w:r>
      <w:r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br/>
        <w:t>W przypadku zaoferowania w Pozycji 11 nadajników bodypack posiadających inne gniazdo wejściowe niż TA4F (np. Jack 3,5 mm z gwintem lub LEMO), Wykonawca w cenie oferty zobowiązany jest do:</w:t>
      </w:r>
    </w:p>
    <w:p w14:paraId="425ECEFA" w14:textId="77777777" w:rsidR="008051BC" w:rsidRPr="003F6673" w:rsidRDefault="008051BC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t>Dostarczenia 20 sztuk mikrofonów nagłownych z wtykami dedykowanymi do zaoferowanych nadajników.</w:t>
      </w:r>
    </w:p>
    <w:p w14:paraId="0E75857E" w14:textId="4ED24A53" w:rsidR="00355950" w:rsidRPr="003F6673" w:rsidRDefault="008051BC">
      <w:pPr>
        <w:pStyle w:val="Akapitzlist"/>
        <w:numPr>
          <w:ilvl w:val="0"/>
          <w:numId w:val="16"/>
        </w:numPr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  <w14:ligatures w14:val="none"/>
        </w:rPr>
      </w:pPr>
      <w:r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t>Dostarczenia bezszumowych, dedykowanych adapterów/przejściówek dla wszystkich 20 nowych mikrofonów nagłownych</w:t>
      </w:r>
      <w:r w:rsidR="00B23F31" w:rsidRPr="003F6673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7A0303EB" w14:textId="77777777" w:rsidR="00355950" w:rsidRPr="003F6673" w:rsidRDefault="00355950" w:rsidP="00B23F31">
      <w:pPr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  <w14:ligatures w14:val="none"/>
        </w:rPr>
      </w:pPr>
    </w:p>
    <w:p w14:paraId="437036B8" w14:textId="220580CD" w:rsidR="00355950" w:rsidRPr="00C6623D" w:rsidRDefault="00355950" w:rsidP="00C6623D">
      <w:pPr>
        <w:pStyle w:val="Akapitzlist"/>
        <w:numPr>
          <w:ilvl w:val="1"/>
          <w:numId w:val="5"/>
        </w:numPr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C6623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Wymagania dotyczące montażu, okablowania, szaf RACK, zestrojenia i uruchomienia (Usługa pod klucz):</w:t>
      </w:r>
    </w:p>
    <w:p w14:paraId="42F01313" w14:textId="77777777" w:rsidR="00355950" w:rsidRPr="003F6673" w:rsidRDefault="00355950" w:rsidP="003559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W cenie oferty Wykonawca zobowiązany jest do wykonania pełnego zakresu prac instalacyjno-uruchomieniowych, obejmującego w szczególności:</w:t>
      </w:r>
    </w:p>
    <w:p w14:paraId="0F189EC4" w14:textId="77777777" w:rsidR="00355950" w:rsidRPr="003F6673" w:rsidRDefault="00355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Dostawę profesjonalnej szafy RACK 19":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 Dostarczenie profesjonalnej stacjonarnej szafy (lub szaf) instalacyjnej RACK 19" dopasowanej gabarytowo do zaoferowanych wzmacniaczy, wyposażonej w chłodzenie wymuszone (wentylatory z termostatem), dedykowane listwy 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lastRenderedPageBreak/>
        <w:t>zasilające PDU z zabezpieczeniami oraz panel przyłączeniowy (patchbay RACK 19") z wyjściami głośnikowymi i sygnałowymi.</w:t>
      </w:r>
    </w:p>
    <w:p w14:paraId="3E8F7708" w14:textId="21993FC0" w:rsidR="00355950" w:rsidRPr="003F6673" w:rsidRDefault="00355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Pełne okablowanie i trasowanie: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 Dostarczenie i ułożenie kompletnego, bezobsługowego i profesjonalnego okablowania głośnikowego oraz sygnałowego/sieciowego, zarobionego profesjonalnymi złączami estradowymi, wraz z wykonaniem i opisaniem tras kablowych.</w:t>
      </w:r>
    </w:p>
    <w:p w14:paraId="20D63FBB" w14:textId="77777777" w:rsidR="00355950" w:rsidRPr="003F6673" w:rsidRDefault="00355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Montaż mechaniczny: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 Podwieszenie i zamontowanie urządzeń głośnikowych (Poz. 1, 2, 3, 4) na dedykowanych, atestowanych uchwytach fabrycznych z regulacją kątów.</w:t>
      </w:r>
    </w:p>
    <w:p w14:paraId="5657A9E5" w14:textId="77777777" w:rsidR="00355950" w:rsidRPr="003F6673" w:rsidRDefault="00355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Zestrojenie elektroakustyczne i pomiary: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 Przeprowadzenie pełnego zestrojenia systemu (opóźnienia czasowe delay, korekcja EQ, limity ochronne) przy użyciu systemu pomiarowego (np. SMAART v9 / EASE) zakończone sporządzeniem i przekazaniem Zamawiającemu </w:t>
      </w: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protokołu z pomiarów elektroakustycznych sali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.</w:t>
      </w:r>
    </w:p>
    <w:p w14:paraId="7C1DA289" w14:textId="77777777" w:rsidR="00355950" w:rsidRPr="003F6673" w:rsidRDefault="00355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</w:pPr>
      <w:r w:rsidRPr="003F667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Uruchomienie i szkolenie:</w:t>
      </w:r>
      <w:r w:rsidRPr="003F6673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 Uruchomienie całości infrastruktury oraz przeprowadzenie szkolenia stanowiskowego dla realizatorów dźwięku Zamawiającego (min. 8 godzin).</w:t>
      </w:r>
    </w:p>
    <w:p w14:paraId="19ADF293" w14:textId="53A3BB9D" w:rsidR="000417FA" w:rsidRDefault="000417FA" w:rsidP="00EF60AC">
      <w:pPr>
        <w:pStyle w:val="paragraph"/>
        <w:spacing w:before="0" w:beforeAutospacing="0" w:after="120" w:afterAutospacing="0"/>
        <w:jc w:val="both"/>
        <w:textAlignment w:val="baseline"/>
        <w:rPr>
          <w:rStyle w:val="eop"/>
          <w:color w:val="000000" w:themeColor="text1"/>
          <w:sz w:val="22"/>
          <w:szCs w:val="22"/>
        </w:rPr>
      </w:pPr>
    </w:p>
    <w:p w14:paraId="0C8EF45D" w14:textId="0924CF60" w:rsidR="00C6623D" w:rsidRDefault="00C6623D" w:rsidP="00C6623D">
      <w:pPr>
        <w:pStyle w:val="paragraph"/>
        <w:numPr>
          <w:ilvl w:val="1"/>
          <w:numId w:val="5"/>
        </w:numPr>
        <w:spacing w:before="0" w:beforeAutospacing="0" w:after="120" w:afterAutospacing="0"/>
        <w:jc w:val="both"/>
        <w:textAlignment w:val="baseline"/>
        <w:rPr>
          <w:rStyle w:val="eop"/>
          <w:b/>
          <w:bCs/>
          <w:color w:val="000000" w:themeColor="text1"/>
          <w:sz w:val="22"/>
          <w:szCs w:val="22"/>
        </w:rPr>
      </w:pPr>
      <w:r w:rsidRPr="00C6623D">
        <w:rPr>
          <w:rStyle w:val="eop"/>
          <w:b/>
          <w:bCs/>
          <w:color w:val="000000" w:themeColor="text1"/>
          <w:sz w:val="22"/>
          <w:szCs w:val="22"/>
        </w:rPr>
        <w:t xml:space="preserve">Plany techniczne i fotografie Dużej Sceny. </w:t>
      </w:r>
    </w:p>
    <w:p w14:paraId="27AD9DC9" w14:textId="4AB08BF3" w:rsidR="00C6623D" w:rsidRDefault="00C6623D" w:rsidP="00C6623D">
      <w:pPr>
        <w:pStyle w:val="paragraph"/>
        <w:spacing w:before="0" w:beforeAutospacing="0" w:after="120" w:afterAutospacing="0"/>
        <w:jc w:val="both"/>
        <w:textAlignment w:val="baseline"/>
        <w:rPr>
          <w:rStyle w:val="eop"/>
          <w:color w:val="000000" w:themeColor="text1"/>
          <w:sz w:val="22"/>
          <w:szCs w:val="22"/>
        </w:rPr>
      </w:pPr>
      <w:r>
        <w:rPr>
          <w:rStyle w:val="eop"/>
          <w:color w:val="000000" w:themeColor="text1"/>
          <w:sz w:val="22"/>
          <w:szCs w:val="22"/>
        </w:rPr>
        <w:t xml:space="preserve">Poniżej znajdują się fotografie Dużej Sceny i widowni, przedstawiające jej kształt i układ oraz plany techniczne, z sugestią rozmieszczenia urządzeń. </w:t>
      </w:r>
    </w:p>
    <w:p w14:paraId="0C947F46" w14:textId="11308725" w:rsidR="00C6623D" w:rsidRDefault="00C6623D" w:rsidP="00C6623D">
      <w:pPr>
        <w:pStyle w:val="paragraph"/>
        <w:spacing w:before="0" w:beforeAutospacing="0" w:after="120" w:afterAutospacing="0"/>
        <w:jc w:val="both"/>
        <w:textAlignment w:val="baseline"/>
        <w:rPr>
          <w:rStyle w:val="eop"/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0DBD4E0B" wp14:editId="65A0E648">
            <wp:extent cx="5618748" cy="4214062"/>
            <wp:effectExtent l="0" t="0" r="0" b="2540"/>
            <wp:docPr id="36288218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82184" name="Obraz 36288218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082" cy="423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029D1" w14:textId="4204C365" w:rsidR="00C6623D" w:rsidRPr="00C6623D" w:rsidRDefault="00C6623D" w:rsidP="00C6623D">
      <w:pPr>
        <w:pStyle w:val="paragraph"/>
        <w:spacing w:before="0" w:beforeAutospacing="0" w:after="120" w:afterAutospacing="0"/>
        <w:jc w:val="both"/>
        <w:textAlignment w:val="baseline"/>
        <w:rPr>
          <w:rStyle w:val="eop"/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  <w14:ligatures w14:val="standardContextual"/>
        </w:rPr>
        <w:lastRenderedPageBreak/>
        <w:drawing>
          <wp:inline distT="0" distB="0" distL="0" distR="0" wp14:anchorId="25359FD5" wp14:editId="0A9AD001">
            <wp:extent cx="5085347" cy="3814010"/>
            <wp:effectExtent l="0" t="0" r="0" b="0"/>
            <wp:docPr id="151296656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66569" name="Obraz 151296656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133" cy="388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26C92B65" wp14:editId="7CB944F8">
            <wp:extent cx="5065295" cy="3798971"/>
            <wp:effectExtent l="0" t="0" r="2540" b="0"/>
            <wp:docPr id="182175524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55249" name="Obraz 182175524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513" cy="382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2"/>
          <w:szCs w:val="22"/>
          <w14:ligatures w14:val="standardContextual"/>
        </w:rPr>
        <w:lastRenderedPageBreak/>
        <w:drawing>
          <wp:inline distT="0" distB="0" distL="0" distR="0" wp14:anchorId="16526729" wp14:editId="2021BAD7">
            <wp:extent cx="6160169" cy="4620126"/>
            <wp:effectExtent l="0" t="0" r="0" b="3175"/>
            <wp:docPr id="52878860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88604" name="Obraz 52878860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462" cy="466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6DA87" w14:textId="4BBCA2E6" w:rsidR="00C6623D" w:rsidRPr="00C6623D" w:rsidRDefault="00C6623D" w:rsidP="00C6623D">
      <w:pPr>
        <w:pStyle w:val="paragraph"/>
        <w:spacing w:before="0" w:beforeAutospacing="0" w:after="120" w:afterAutospacing="0"/>
        <w:ind w:left="720"/>
        <w:jc w:val="both"/>
        <w:textAlignment w:val="baseline"/>
        <w:rPr>
          <w:rStyle w:val="eop"/>
          <w:b/>
          <w:bCs/>
          <w:color w:val="000000" w:themeColor="text1"/>
          <w:sz w:val="22"/>
          <w:szCs w:val="22"/>
        </w:rPr>
      </w:pPr>
      <w:r>
        <w:rPr>
          <w:b/>
          <w:bCs/>
          <w:noProof/>
          <w:color w:val="000000" w:themeColor="text1"/>
          <w:sz w:val="22"/>
          <w:szCs w:val="22"/>
          <w14:ligatures w14:val="standardContextual"/>
        </w:rPr>
        <w:lastRenderedPageBreak/>
        <w:drawing>
          <wp:inline distT="0" distB="0" distL="0" distR="0" wp14:anchorId="1EC2300B" wp14:editId="49098274">
            <wp:extent cx="7764074" cy="5053666"/>
            <wp:effectExtent l="0" t="3810" r="5080" b="5080"/>
            <wp:docPr id="19973358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335845" name="Obraz 199733584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86568" cy="506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23D" w:rsidRPr="00C6623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6AFDF" w14:textId="77777777" w:rsidR="00CC27ED" w:rsidRDefault="00CC27ED" w:rsidP="00EF60AC">
      <w:pPr>
        <w:spacing w:after="0" w:line="240" w:lineRule="auto"/>
      </w:pPr>
      <w:r>
        <w:separator/>
      </w:r>
    </w:p>
  </w:endnote>
  <w:endnote w:type="continuationSeparator" w:id="0">
    <w:p w14:paraId="6E490182" w14:textId="77777777" w:rsidR="00CC27ED" w:rsidRDefault="00CC27ED" w:rsidP="00EF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AE643" w14:textId="77777777" w:rsidR="008D3ECD" w:rsidRDefault="008D3E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A747C" w14:textId="77777777" w:rsidR="008D3ECD" w:rsidRDefault="008D3EC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80505" w14:textId="77777777" w:rsidR="008D3ECD" w:rsidRDefault="008D3E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B0745" w14:textId="77777777" w:rsidR="00CC27ED" w:rsidRDefault="00CC27ED" w:rsidP="00EF60AC">
      <w:pPr>
        <w:spacing w:after="0" w:line="240" w:lineRule="auto"/>
      </w:pPr>
      <w:r>
        <w:separator/>
      </w:r>
    </w:p>
  </w:footnote>
  <w:footnote w:type="continuationSeparator" w:id="0">
    <w:p w14:paraId="1D4A5666" w14:textId="77777777" w:rsidR="00CC27ED" w:rsidRDefault="00CC27ED" w:rsidP="00EF6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40B69" w14:textId="77777777" w:rsidR="008D3ECD" w:rsidRDefault="008D3E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20806" w14:textId="5733605A" w:rsidR="00EF60AC" w:rsidRPr="00EF60AC" w:rsidRDefault="00EF60AC" w:rsidP="00EF60AC">
    <w:pPr>
      <w:pStyle w:val="Nagwek"/>
      <w:rPr>
        <w:b/>
        <w:bCs/>
        <w:iCs/>
      </w:rPr>
    </w:pPr>
    <w:r w:rsidRPr="00EF60AC">
      <w:rPr>
        <w:b/>
        <w:bCs/>
      </w:rPr>
      <w:t>Załączn</w:t>
    </w:r>
    <w:r w:rsidR="008D3ECD">
      <w:rPr>
        <w:b/>
        <w:bCs/>
      </w:rPr>
      <w:t xml:space="preserve">ik nr 5 do SWZ </w:t>
    </w:r>
    <w:r w:rsidR="008D3ECD">
      <w:rPr>
        <w:b/>
        <w:bCs/>
      </w:rPr>
      <w:tab/>
    </w:r>
    <w:r w:rsidR="008D3ECD">
      <w:rPr>
        <w:b/>
        <w:bCs/>
      </w:rPr>
      <w:tab/>
      <w:t xml:space="preserve">znak sprawy: </w:t>
    </w:r>
    <w:r w:rsidR="008D3ECD">
      <w:rPr>
        <w:b/>
        <w:bCs/>
      </w:rPr>
      <w:t>03</w:t>
    </w:r>
    <w:bookmarkStart w:id="0" w:name="_GoBack"/>
    <w:bookmarkEnd w:id="0"/>
    <w:r w:rsidRPr="00EF60AC">
      <w:rPr>
        <w:b/>
        <w:bCs/>
      </w:rPr>
      <w:t>/NG/2025</w:t>
    </w:r>
  </w:p>
  <w:p w14:paraId="3EBAB5CE" w14:textId="77777777" w:rsidR="00EF60AC" w:rsidRPr="00EF60AC" w:rsidRDefault="00EF60AC" w:rsidP="00EF60AC">
    <w:pPr>
      <w:pStyle w:val="Nagwek"/>
      <w:rPr>
        <w:b/>
        <w:bCs/>
      </w:rPr>
    </w:pPr>
  </w:p>
  <w:p w14:paraId="1BDD81B2" w14:textId="77777777" w:rsidR="00EF60AC" w:rsidRPr="00EF60AC" w:rsidRDefault="00EF60AC" w:rsidP="00EF60AC">
    <w:pPr>
      <w:pStyle w:val="Nagwek"/>
      <w:rPr>
        <w:b/>
        <w:bCs/>
      </w:rPr>
    </w:pPr>
  </w:p>
  <w:p w14:paraId="1BC545AF" w14:textId="77777777" w:rsidR="00EF60AC" w:rsidRPr="00EF60AC" w:rsidRDefault="00EF60AC" w:rsidP="00EF60AC">
    <w:pPr>
      <w:pStyle w:val="Nagwek"/>
      <w:rPr>
        <w:b/>
        <w:bCs/>
      </w:rPr>
    </w:pPr>
    <w:r w:rsidRPr="00EF60AC">
      <w:rPr>
        <w:b/>
        <w:bCs/>
      </w:rPr>
      <w:t>OPIS PRZEDMIOTU ZAMÓWIENIA</w:t>
    </w:r>
  </w:p>
  <w:p w14:paraId="2A9E3BB8" w14:textId="77777777" w:rsidR="00EF60AC" w:rsidRDefault="00EF60A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E5555" w14:textId="77777777" w:rsidR="008D3ECD" w:rsidRDefault="008D3E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978"/>
    <w:multiLevelType w:val="multilevel"/>
    <w:tmpl w:val="93A4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14E0D"/>
    <w:multiLevelType w:val="multilevel"/>
    <w:tmpl w:val="073E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560848"/>
    <w:multiLevelType w:val="multilevel"/>
    <w:tmpl w:val="1338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ED4721"/>
    <w:multiLevelType w:val="hybridMultilevel"/>
    <w:tmpl w:val="4A2E3E32"/>
    <w:lvl w:ilvl="0" w:tplc="53FC5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804FE"/>
    <w:multiLevelType w:val="multilevel"/>
    <w:tmpl w:val="57C6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B1658"/>
    <w:multiLevelType w:val="hybridMultilevel"/>
    <w:tmpl w:val="D236DF7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493A49"/>
    <w:multiLevelType w:val="hybridMultilevel"/>
    <w:tmpl w:val="7B306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97ED2"/>
    <w:multiLevelType w:val="multilevel"/>
    <w:tmpl w:val="E55C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81441D"/>
    <w:multiLevelType w:val="multilevel"/>
    <w:tmpl w:val="B0A6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75482B"/>
    <w:multiLevelType w:val="multilevel"/>
    <w:tmpl w:val="DBB0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E10D74"/>
    <w:multiLevelType w:val="multilevel"/>
    <w:tmpl w:val="7668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F12C42"/>
    <w:multiLevelType w:val="multilevel"/>
    <w:tmpl w:val="1294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A6136F"/>
    <w:multiLevelType w:val="hybridMultilevel"/>
    <w:tmpl w:val="6478E13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C2F6063"/>
    <w:multiLevelType w:val="hybridMultilevel"/>
    <w:tmpl w:val="E4A2E21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F4968AF"/>
    <w:multiLevelType w:val="hybridMultilevel"/>
    <w:tmpl w:val="B4906896"/>
    <w:styleLink w:val="Zaimportowanystyl11"/>
    <w:lvl w:ilvl="0" w:tplc="D43224E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86205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C644B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A4193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56ACB8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2AF4D4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62755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4E87E6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6B8BA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3C2029C"/>
    <w:multiLevelType w:val="multilevel"/>
    <w:tmpl w:val="934AE4C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6">
    <w:nsid w:val="57B51489"/>
    <w:multiLevelType w:val="multilevel"/>
    <w:tmpl w:val="0764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A208CF"/>
    <w:multiLevelType w:val="multilevel"/>
    <w:tmpl w:val="56DE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24666A"/>
    <w:multiLevelType w:val="multilevel"/>
    <w:tmpl w:val="56E2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6D5771"/>
    <w:multiLevelType w:val="multilevel"/>
    <w:tmpl w:val="C2E66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290AD6"/>
    <w:multiLevelType w:val="multilevel"/>
    <w:tmpl w:val="C6121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1163CA"/>
    <w:multiLevelType w:val="hybridMultilevel"/>
    <w:tmpl w:val="87484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8"/>
  </w:num>
  <w:num w:numId="4">
    <w:abstractNumId w:val="7"/>
  </w:num>
  <w:num w:numId="5">
    <w:abstractNumId w:val="2"/>
  </w:num>
  <w:num w:numId="6">
    <w:abstractNumId w:val="11"/>
  </w:num>
  <w:num w:numId="7">
    <w:abstractNumId w:val="9"/>
  </w:num>
  <w:num w:numId="8">
    <w:abstractNumId w:val="16"/>
  </w:num>
  <w:num w:numId="9">
    <w:abstractNumId w:val="3"/>
  </w:num>
  <w:num w:numId="10">
    <w:abstractNumId w:val="14"/>
  </w:num>
  <w:num w:numId="11">
    <w:abstractNumId w:val="17"/>
  </w:num>
  <w:num w:numId="12">
    <w:abstractNumId w:val="6"/>
  </w:num>
  <w:num w:numId="13">
    <w:abstractNumId w:val="10"/>
  </w:num>
  <w:num w:numId="14">
    <w:abstractNumId w:val="20"/>
  </w:num>
  <w:num w:numId="15">
    <w:abstractNumId w:val="15"/>
  </w:num>
  <w:num w:numId="16">
    <w:abstractNumId w:val="13"/>
  </w:num>
  <w:num w:numId="17">
    <w:abstractNumId w:val="5"/>
  </w:num>
  <w:num w:numId="18">
    <w:abstractNumId w:val="1"/>
  </w:num>
  <w:num w:numId="19">
    <w:abstractNumId w:val="19"/>
  </w:num>
  <w:num w:numId="20">
    <w:abstractNumId w:val="21"/>
  </w:num>
  <w:num w:numId="21">
    <w:abstractNumId w:val="0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9D"/>
    <w:rsid w:val="000417FA"/>
    <w:rsid w:val="000541AB"/>
    <w:rsid w:val="00057A36"/>
    <w:rsid w:val="001003D0"/>
    <w:rsid w:val="00163EAA"/>
    <w:rsid w:val="00177637"/>
    <w:rsid w:val="00177BDA"/>
    <w:rsid w:val="00181108"/>
    <w:rsid w:val="001C686A"/>
    <w:rsid w:val="001F704B"/>
    <w:rsid w:val="002034E2"/>
    <w:rsid w:val="002741C6"/>
    <w:rsid w:val="002B3EEE"/>
    <w:rsid w:val="00307B0D"/>
    <w:rsid w:val="003130B2"/>
    <w:rsid w:val="003355A5"/>
    <w:rsid w:val="00355950"/>
    <w:rsid w:val="00392D34"/>
    <w:rsid w:val="003D1C76"/>
    <w:rsid w:val="003E03B7"/>
    <w:rsid w:val="003E5995"/>
    <w:rsid w:val="003F5874"/>
    <w:rsid w:val="003F6673"/>
    <w:rsid w:val="00462AC4"/>
    <w:rsid w:val="004B2A54"/>
    <w:rsid w:val="004F4092"/>
    <w:rsid w:val="005110AF"/>
    <w:rsid w:val="005146A1"/>
    <w:rsid w:val="005305D9"/>
    <w:rsid w:val="00567602"/>
    <w:rsid w:val="0060229D"/>
    <w:rsid w:val="00632DC8"/>
    <w:rsid w:val="00637AC7"/>
    <w:rsid w:val="00674C14"/>
    <w:rsid w:val="00680FAF"/>
    <w:rsid w:val="006B5C84"/>
    <w:rsid w:val="006D2007"/>
    <w:rsid w:val="00725A38"/>
    <w:rsid w:val="00781385"/>
    <w:rsid w:val="008051BC"/>
    <w:rsid w:val="00824A8C"/>
    <w:rsid w:val="00845036"/>
    <w:rsid w:val="00850B08"/>
    <w:rsid w:val="008632D8"/>
    <w:rsid w:val="008812C4"/>
    <w:rsid w:val="008A3530"/>
    <w:rsid w:val="008D3ECD"/>
    <w:rsid w:val="008E6FBF"/>
    <w:rsid w:val="009334B1"/>
    <w:rsid w:val="00966F3C"/>
    <w:rsid w:val="00974D0E"/>
    <w:rsid w:val="009846BE"/>
    <w:rsid w:val="00984C1B"/>
    <w:rsid w:val="00A2798D"/>
    <w:rsid w:val="00A351E9"/>
    <w:rsid w:val="00A50722"/>
    <w:rsid w:val="00A5084E"/>
    <w:rsid w:val="00AD6BC4"/>
    <w:rsid w:val="00AF54F4"/>
    <w:rsid w:val="00B00550"/>
    <w:rsid w:val="00B20688"/>
    <w:rsid w:val="00B23F31"/>
    <w:rsid w:val="00B33B97"/>
    <w:rsid w:val="00BD4446"/>
    <w:rsid w:val="00C01C56"/>
    <w:rsid w:val="00C13A95"/>
    <w:rsid w:val="00C263F9"/>
    <w:rsid w:val="00C3598D"/>
    <w:rsid w:val="00C54540"/>
    <w:rsid w:val="00C6623D"/>
    <w:rsid w:val="00CB51DF"/>
    <w:rsid w:val="00CC27ED"/>
    <w:rsid w:val="00CC2B33"/>
    <w:rsid w:val="00CE0ECA"/>
    <w:rsid w:val="00D1001F"/>
    <w:rsid w:val="00D32016"/>
    <w:rsid w:val="00D570AE"/>
    <w:rsid w:val="00D76703"/>
    <w:rsid w:val="00D95832"/>
    <w:rsid w:val="00DB03C0"/>
    <w:rsid w:val="00DB687E"/>
    <w:rsid w:val="00E04AB5"/>
    <w:rsid w:val="00E4235C"/>
    <w:rsid w:val="00E47BBA"/>
    <w:rsid w:val="00E62C2D"/>
    <w:rsid w:val="00EB06FD"/>
    <w:rsid w:val="00ED4CC5"/>
    <w:rsid w:val="00EE3FCB"/>
    <w:rsid w:val="00EF60AC"/>
    <w:rsid w:val="00FD4081"/>
    <w:rsid w:val="00FE41A1"/>
    <w:rsid w:val="00FF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4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2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2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2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02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2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2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2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2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2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2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02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602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6022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22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22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22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22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22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2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2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2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2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2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22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22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22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2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22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229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02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2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22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229D"/>
    <w:rPr>
      <w:sz w:val="20"/>
      <w:szCs w:val="20"/>
    </w:rPr>
  </w:style>
  <w:style w:type="paragraph" w:customStyle="1" w:styleId="pending">
    <w:name w:val="pending"/>
    <w:basedOn w:val="Normalny"/>
    <w:rsid w:val="0033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pending1">
    <w:name w:val="pending1"/>
    <w:basedOn w:val="Domylnaczcionkaakapitu"/>
    <w:rsid w:val="003355A5"/>
  </w:style>
  <w:style w:type="paragraph" w:customStyle="1" w:styleId="paragraph">
    <w:name w:val="paragraph"/>
    <w:basedOn w:val="Normalny"/>
    <w:rsid w:val="0033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3355A5"/>
  </w:style>
  <w:style w:type="character" w:customStyle="1" w:styleId="eop">
    <w:name w:val="eop"/>
    <w:basedOn w:val="Domylnaczcionkaakapitu"/>
    <w:rsid w:val="003355A5"/>
  </w:style>
  <w:style w:type="paragraph" w:customStyle="1" w:styleId="Default">
    <w:name w:val="Default"/>
    <w:rsid w:val="003355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numbering" w:customStyle="1" w:styleId="Zaimportowanystyl11">
    <w:name w:val="Zaimportowany styl 11"/>
    <w:rsid w:val="003355A5"/>
    <w:pPr>
      <w:numPr>
        <w:numId w:val="10"/>
      </w:numPr>
    </w:pPr>
  </w:style>
  <w:style w:type="paragraph" w:customStyle="1" w:styleId="p1">
    <w:name w:val="p1"/>
    <w:basedOn w:val="Normalny"/>
    <w:rsid w:val="003355A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17"/>
      <w:lang w:eastAsia="pl-PL"/>
      <w14:ligatures w14:val="none"/>
    </w:rPr>
  </w:style>
  <w:style w:type="character" w:customStyle="1" w:styleId="s1">
    <w:name w:val="s1"/>
    <w:basedOn w:val="Domylnaczcionkaakapitu"/>
    <w:rsid w:val="003355A5"/>
    <w:rPr>
      <w:rFonts w:ascii="Arial" w:hAnsi="Arial" w:cs="Arial" w:hint="default"/>
      <w:sz w:val="17"/>
      <w:szCs w:val="17"/>
    </w:rPr>
  </w:style>
  <w:style w:type="character" w:customStyle="1" w:styleId="apple-converted-space">
    <w:name w:val="apple-converted-space"/>
    <w:basedOn w:val="Domylnaczcionkaakapitu"/>
    <w:rsid w:val="003355A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B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B0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F6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60AC"/>
  </w:style>
  <w:style w:type="paragraph" w:styleId="Stopka">
    <w:name w:val="footer"/>
    <w:basedOn w:val="Normalny"/>
    <w:link w:val="StopkaZnak"/>
    <w:uiPriority w:val="99"/>
    <w:unhideWhenUsed/>
    <w:rsid w:val="00EF6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60AC"/>
  </w:style>
  <w:style w:type="character" w:styleId="Pogrubienie">
    <w:name w:val="Strong"/>
    <w:basedOn w:val="Domylnaczcionkaakapitu"/>
    <w:uiPriority w:val="22"/>
    <w:qFormat/>
    <w:rsid w:val="00AF54F4"/>
    <w:rPr>
      <w:b/>
      <w:bCs/>
    </w:rPr>
  </w:style>
  <w:style w:type="character" w:styleId="Uwydatnienie">
    <w:name w:val="Emphasis"/>
    <w:basedOn w:val="Domylnaczcionkaakapitu"/>
    <w:uiPriority w:val="20"/>
    <w:qFormat/>
    <w:rsid w:val="0035595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355950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2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2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2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02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2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2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2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2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2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2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02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602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6022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22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22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22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22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22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2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2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2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2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2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22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22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22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2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22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229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02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2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22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229D"/>
    <w:rPr>
      <w:sz w:val="20"/>
      <w:szCs w:val="20"/>
    </w:rPr>
  </w:style>
  <w:style w:type="paragraph" w:customStyle="1" w:styleId="pending">
    <w:name w:val="pending"/>
    <w:basedOn w:val="Normalny"/>
    <w:rsid w:val="0033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pending1">
    <w:name w:val="pending1"/>
    <w:basedOn w:val="Domylnaczcionkaakapitu"/>
    <w:rsid w:val="003355A5"/>
  </w:style>
  <w:style w:type="paragraph" w:customStyle="1" w:styleId="paragraph">
    <w:name w:val="paragraph"/>
    <w:basedOn w:val="Normalny"/>
    <w:rsid w:val="0033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3355A5"/>
  </w:style>
  <w:style w:type="character" w:customStyle="1" w:styleId="eop">
    <w:name w:val="eop"/>
    <w:basedOn w:val="Domylnaczcionkaakapitu"/>
    <w:rsid w:val="003355A5"/>
  </w:style>
  <w:style w:type="paragraph" w:customStyle="1" w:styleId="Default">
    <w:name w:val="Default"/>
    <w:rsid w:val="003355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numbering" w:customStyle="1" w:styleId="Zaimportowanystyl11">
    <w:name w:val="Zaimportowany styl 11"/>
    <w:rsid w:val="003355A5"/>
    <w:pPr>
      <w:numPr>
        <w:numId w:val="10"/>
      </w:numPr>
    </w:pPr>
  </w:style>
  <w:style w:type="paragraph" w:customStyle="1" w:styleId="p1">
    <w:name w:val="p1"/>
    <w:basedOn w:val="Normalny"/>
    <w:rsid w:val="003355A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17"/>
      <w:lang w:eastAsia="pl-PL"/>
      <w14:ligatures w14:val="none"/>
    </w:rPr>
  </w:style>
  <w:style w:type="character" w:customStyle="1" w:styleId="s1">
    <w:name w:val="s1"/>
    <w:basedOn w:val="Domylnaczcionkaakapitu"/>
    <w:rsid w:val="003355A5"/>
    <w:rPr>
      <w:rFonts w:ascii="Arial" w:hAnsi="Arial" w:cs="Arial" w:hint="default"/>
      <w:sz w:val="17"/>
      <w:szCs w:val="17"/>
    </w:rPr>
  </w:style>
  <w:style w:type="character" w:customStyle="1" w:styleId="apple-converted-space">
    <w:name w:val="apple-converted-space"/>
    <w:basedOn w:val="Domylnaczcionkaakapitu"/>
    <w:rsid w:val="003355A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B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B0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F6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60AC"/>
  </w:style>
  <w:style w:type="paragraph" w:styleId="Stopka">
    <w:name w:val="footer"/>
    <w:basedOn w:val="Normalny"/>
    <w:link w:val="StopkaZnak"/>
    <w:uiPriority w:val="99"/>
    <w:unhideWhenUsed/>
    <w:rsid w:val="00EF6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60AC"/>
  </w:style>
  <w:style w:type="character" w:styleId="Pogrubienie">
    <w:name w:val="Strong"/>
    <w:basedOn w:val="Domylnaczcionkaakapitu"/>
    <w:uiPriority w:val="22"/>
    <w:qFormat/>
    <w:rsid w:val="00AF54F4"/>
    <w:rPr>
      <w:b/>
      <w:bCs/>
    </w:rPr>
  </w:style>
  <w:style w:type="character" w:styleId="Uwydatnienie">
    <w:name w:val="Emphasis"/>
    <w:basedOn w:val="Domylnaczcionkaakapitu"/>
    <w:uiPriority w:val="20"/>
    <w:qFormat/>
    <w:rsid w:val="0035595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35595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B80072-6FFE-4535-BAD8-8F09B5B9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11</Pages>
  <Words>3067</Words>
  <Characters>18404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 omylak</dc:creator>
  <cp:keywords/>
  <dc:description/>
  <cp:lastModifiedBy>Marek Glapa</cp:lastModifiedBy>
  <cp:revision>38</cp:revision>
  <dcterms:created xsi:type="dcterms:W3CDTF">2026-07-24T09:34:00Z</dcterms:created>
  <dcterms:modified xsi:type="dcterms:W3CDTF">2026-08-21T07:35:00Z</dcterms:modified>
</cp:coreProperties>
</file>