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43A28" w14:textId="77777777" w:rsidR="0024665F" w:rsidRPr="005D7C75" w:rsidRDefault="0024665F" w:rsidP="005D7C75">
      <w:pPr>
        <w:spacing w:line="252" w:lineRule="auto"/>
        <w:jc w:val="right"/>
        <w:rPr>
          <w:rFonts w:ascii="Aptos" w:hAnsi="Aptos"/>
          <w:i/>
          <w:iCs/>
          <w:sz w:val="20"/>
          <w:szCs w:val="20"/>
        </w:rPr>
      </w:pPr>
      <w:r w:rsidRPr="005D7C75">
        <w:rPr>
          <w:i/>
          <w:iCs/>
          <w:szCs w:val="20"/>
        </w:rPr>
        <w:t>Załącznik nr 8b do SWZ</w:t>
      </w:r>
    </w:p>
    <w:p w14:paraId="14A7EAF9" w14:textId="77777777" w:rsidR="0085655F" w:rsidRPr="005D7C75" w:rsidRDefault="0085655F" w:rsidP="005D7C75">
      <w:pPr>
        <w:spacing w:after="200"/>
        <w:jc w:val="both"/>
        <w:rPr>
          <w:rFonts w:ascii="Aptos" w:hAnsi="Aptos"/>
          <w:sz w:val="20"/>
          <w:szCs w:val="20"/>
        </w:rPr>
      </w:pPr>
    </w:p>
    <w:p w14:paraId="08EE0F27" w14:textId="77777777" w:rsidR="0085655F" w:rsidRPr="005D7C75" w:rsidRDefault="00CB7E42" w:rsidP="005D7C75">
      <w:pPr>
        <w:spacing w:after="80"/>
        <w:jc w:val="center"/>
        <w:rPr>
          <w:rFonts w:ascii="Aptos" w:hAnsi="Aptos"/>
          <w:sz w:val="20"/>
          <w:szCs w:val="20"/>
        </w:rPr>
      </w:pPr>
      <w:r w:rsidRPr="005D7C75">
        <w:rPr>
          <w:b/>
          <w:bCs/>
          <w:szCs w:val="20"/>
        </w:rPr>
        <w:t>UMOWA NR ………………………….</w:t>
      </w:r>
    </w:p>
    <w:p w14:paraId="2FC80397" w14:textId="77777777" w:rsidR="0085655F" w:rsidRPr="005D7C75" w:rsidRDefault="00CB7E42" w:rsidP="005D7C75">
      <w:pPr>
        <w:spacing w:after="80"/>
        <w:jc w:val="center"/>
        <w:rPr>
          <w:rFonts w:ascii="Aptos" w:hAnsi="Aptos"/>
          <w:sz w:val="20"/>
          <w:szCs w:val="20"/>
        </w:rPr>
      </w:pPr>
      <w:r w:rsidRPr="005D7C75">
        <w:rPr>
          <w:i/>
          <w:iCs/>
          <w:szCs w:val="20"/>
        </w:rPr>
        <w:t>(Projekt)</w:t>
      </w:r>
    </w:p>
    <w:p w14:paraId="273E8914" w14:textId="77777777" w:rsidR="0085655F" w:rsidRPr="005D7C75" w:rsidRDefault="00CB7E42" w:rsidP="005D7C75">
      <w:pPr>
        <w:spacing w:after="80"/>
        <w:jc w:val="center"/>
        <w:rPr>
          <w:rFonts w:ascii="Aptos" w:hAnsi="Aptos"/>
          <w:sz w:val="20"/>
          <w:szCs w:val="20"/>
        </w:rPr>
      </w:pPr>
      <w:r w:rsidRPr="005D7C75">
        <w:rPr>
          <w:b/>
          <w:bCs/>
          <w:szCs w:val="20"/>
        </w:rPr>
        <w:t>na dostawę i wdrożenie urządzeń i systemów OT</w:t>
      </w:r>
    </w:p>
    <w:p w14:paraId="251D9A36" w14:textId="77777777" w:rsidR="0085655F" w:rsidRPr="005D7C75" w:rsidRDefault="00CB7E42" w:rsidP="005D7C75">
      <w:pPr>
        <w:spacing w:after="200"/>
        <w:jc w:val="center"/>
        <w:rPr>
          <w:rFonts w:ascii="Aptos" w:hAnsi="Aptos"/>
          <w:sz w:val="20"/>
          <w:szCs w:val="20"/>
        </w:rPr>
      </w:pPr>
      <w:r w:rsidRPr="005D7C75">
        <w:rPr>
          <w:i/>
          <w:iCs/>
          <w:szCs w:val="20"/>
        </w:rPr>
        <w:t>(Część 2 zamówienia – systemy i usługi bezpieczeństwa OT)</w:t>
      </w:r>
    </w:p>
    <w:p w14:paraId="7BB1CA34" w14:textId="77777777" w:rsidR="0085655F" w:rsidRPr="005D7C75" w:rsidRDefault="00CB7E42" w:rsidP="005D7C75">
      <w:pPr>
        <w:spacing w:after="120"/>
        <w:jc w:val="both"/>
        <w:rPr>
          <w:rFonts w:ascii="Aptos" w:hAnsi="Aptos"/>
          <w:sz w:val="20"/>
          <w:szCs w:val="20"/>
        </w:rPr>
      </w:pPr>
      <w:r w:rsidRPr="005D7C75">
        <w:rPr>
          <w:sz w:val="20"/>
          <w:szCs w:val="20"/>
        </w:rPr>
        <w:t>zawarta w Grodzisku Dolnym w dniu ……………………… r.</w:t>
      </w:r>
    </w:p>
    <w:p w14:paraId="6EA71CC2" w14:textId="77777777" w:rsidR="0085655F" w:rsidRPr="005D7C75" w:rsidRDefault="00CB7E42" w:rsidP="005D7C75">
      <w:pPr>
        <w:spacing w:after="120"/>
        <w:jc w:val="both"/>
        <w:rPr>
          <w:rFonts w:ascii="Aptos" w:hAnsi="Aptos"/>
          <w:sz w:val="20"/>
          <w:szCs w:val="20"/>
        </w:rPr>
      </w:pPr>
      <w:r w:rsidRPr="005D7C75">
        <w:rPr>
          <w:szCs w:val="20"/>
        </w:rPr>
        <w:t>pomiędzy:</w:t>
      </w:r>
    </w:p>
    <w:p w14:paraId="1C071FA9" w14:textId="77777777" w:rsidR="0085655F" w:rsidRPr="005D7C75" w:rsidRDefault="00CB7E42" w:rsidP="005D7C75">
      <w:pPr>
        <w:spacing w:after="120"/>
        <w:jc w:val="both"/>
        <w:rPr>
          <w:rFonts w:ascii="Aptos" w:hAnsi="Aptos"/>
          <w:sz w:val="20"/>
          <w:szCs w:val="20"/>
        </w:rPr>
      </w:pPr>
      <w:r w:rsidRPr="005D7C75">
        <w:rPr>
          <w:b/>
          <w:bCs/>
          <w:szCs w:val="20"/>
        </w:rPr>
        <w:t>PRZEDSIĘBIORSTWO GOSPODARKI KOMUNALNEJ SPÓŁKA Z OGRANICZONĄ ODPOWIEDZIALNOŚCIĄ W GRODZISKU DOLNYM</w:t>
      </w:r>
      <w:r w:rsidRPr="005D7C75">
        <w:rPr>
          <w:szCs w:val="20"/>
        </w:rPr>
        <w:t xml:space="preserve"> z siedzibą w Grodzisko Dolne, pod adresem: 134, 37-306 Grodzisko Dolne, Polska, wpisana do Rejestru Przedsiębiorców Krajowego Rejestru Sądowego, prowadzonego przez Sąd Rejonowy w Rzeszowie, XII Wydział Gospodarczy Krajowego Rejestru Sądowego, pod numerem KRS: 0000375532, posiadająca numer NIP: 8161693001, numer REGON: 180656560, o kapitale zakładowym 6 043 000,00 zł,</w:t>
      </w:r>
    </w:p>
    <w:p w14:paraId="5856607F" w14:textId="77777777" w:rsidR="0085655F" w:rsidRPr="005D7C75" w:rsidRDefault="00CB7E42" w:rsidP="005D7C75">
      <w:pPr>
        <w:spacing w:after="120"/>
        <w:jc w:val="both"/>
        <w:rPr>
          <w:rFonts w:ascii="Aptos" w:hAnsi="Aptos"/>
          <w:sz w:val="20"/>
          <w:szCs w:val="20"/>
        </w:rPr>
      </w:pPr>
      <w:r w:rsidRPr="005D7C75">
        <w:rPr>
          <w:szCs w:val="20"/>
        </w:rPr>
        <w:t>reprezentowaną przez:</w:t>
      </w:r>
    </w:p>
    <w:p w14:paraId="04C0DAA2" w14:textId="77777777" w:rsidR="0085655F" w:rsidRPr="005D7C75" w:rsidRDefault="00CB7E42" w:rsidP="005D7C75">
      <w:pPr>
        <w:spacing w:after="120"/>
        <w:jc w:val="both"/>
        <w:rPr>
          <w:rFonts w:ascii="Aptos" w:hAnsi="Aptos"/>
          <w:sz w:val="20"/>
          <w:szCs w:val="20"/>
        </w:rPr>
      </w:pPr>
      <w:r w:rsidRPr="005D7C75">
        <w:rPr>
          <w:szCs w:val="20"/>
        </w:rPr>
        <w:t>Marek Odryczyński – Prezes Zarządu</w:t>
      </w:r>
    </w:p>
    <w:p w14:paraId="75901AF1" w14:textId="77777777" w:rsidR="0085655F" w:rsidRPr="005D7C75" w:rsidRDefault="00CB7E42" w:rsidP="005D7C75">
      <w:pPr>
        <w:spacing w:after="80"/>
        <w:jc w:val="both"/>
        <w:rPr>
          <w:rFonts w:ascii="Aptos" w:hAnsi="Aptos"/>
          <w:sz w:val="20"/>
          <w:szCs w:val="20"/>
        </w:rPr>
      </w:pPr>
      <w:r w:rsidRPr="005D7C75">
        <w:rPr>
          <w:i/>
          <w:iCs/>
          <w:szCs w:val="20"/>
        </w:rPr>
        <w:t>zwaną dalej "Zamawiającym",</w:t>
      </w:r>
    </w:p>
    <w:p w14:paraId="34668231" w14:textId="77777777" w:rsidR="0085655F" w:rsidRPr="005D7C75" w:rsidRDefault="00CB7E42" w:rsidP="005D7C75">
      <w:pPr>
        <w:spacing w:after="80"/>
        <w:jc w:val="both"/>
        <w:rPr>
          <w:rFonts w:ascii="Aptos" w:hAnsi="Aptos"/>
          <w:sz w:val="20"/>
          <w:szCs w:val="20"/>
        </w:rPr>
      </w:pPr>
      <w:r w:rsidRPr="005D7C75">
        <w:rPr>
          <w:szCs w:val="20"/>
        </w:rPr>
        <w:t>a</w:t>
      </w:r>
    </w:p>
    <w:p w14:paraId="5B9D6857" w14:textId="77777777" w:rsidR="0085655F" w:rsidRPr="005D7C75" w:rsidRDefault="00CB7E42" w:rsidP="005D7C75">
      <w:pPr>
        <w:spacing w:after="120"/>
        <w:jc w:val="both"/>
        <w:rPr>
          <w:rFonts w:ascii="Aptos" w:hAnsi="Aptos"/>
          <w:sz w:val="20"/>
          <w:szCs w:val="20"/>
        </w:rPr>
      </w:pPr>
      <w:r w:rsidRPr="005D7C75">
        <w:rPr>
          <w:szCs w:val="20"/>
        </w:rPr>
        <w:t>…………………………………………………………………………………………………………………………… z siedzibą w ……………………………………… (adres: …………………………………………), KRS: …………………, NIP: …………………, REGON: …………………,</w:t>
      </w:r>
    </w:p>
    <w:p w14:paraId="40B8C9F1" w14:textId="77777777" w:rsidR="0085655F" w:rsidRPr="005D7C75" w:rsidRDefault="00CB7E42" w:rsidP="005D7C75">
      <w:pPr>
        <w:spacing w:after="120"/>
        <w:jc w:val="both"/>
        <w:rPr>
          <w:rFonts w:ascii="Aptos" w:hAnsi="Aptos"/>
          <w:sz w:val="20"/>
          <w:szCs w:val="20"/>
        </w:rPr>
      </w:pPr>
      <w:r w:rsidRPr="005D7C75">
        <w:rPr>
          <w:szCs w:val="20"/>
        </w:rPr>
        <w:t>którą/którego reprezentuje/reprezentują:</w:t>
      </w:r>
    </w:p>
    <w:p w14:paraId="0C27F174" w14:textId="77777777" w:rsidR="0085655F" w:rsidRPr="005D7C75" w:rsidRDefault="00CB7E42" w:rsidP="005D7C75">
      <w:pPr>
        <w:spacing w:after="120"/>
        <w:jc w:val="both"/>
        <w:rPr>
          <w:rFonts w:ascii="Aptos" w:hAnsi="Aptos"/>
          <w:sz w:val="20"/>
          <w:szCs w:val="20"/>
        </w:rPr>
      </w:pPr>
      <w:r w:rsidRPr="005D7C75">
        <w:rPr>
          <w:szCs w:val="20"/>
        </w:rPr>
        <w:t>………………………………………… – …………………………………………</w:t>
      </w:r>
    </w:p>
    <w:p w14:paraId="7366ACE1" w14:textId="77777777" w:rsidR="0085655F" w:rsidRPr="005D7C75" w:rsidRDefault="00CB7E42" w:rsidP="005D7C75">
      <w:pPr>
        <w:spacing w:after="80"/>
        <w:jc w:val="both"/>
        <w:rPr>
          <w:rFonts w:ascii="Aptos" w:hAnsi="Aptos"/>
          <w:sz w:val="20"/>
          <w:szCs w:val="20"/>
        </w:rPr>
      </w:pPr>
      <w:r w:rsidRPr="005D7C75">
        <w:rPr>
          <w:i/>
          <w:iCs/>
          <w:szCs w:val="20"/>
        </w:rPr>
        <w:t>zwanym/ą dalej "Wykonawcą",</w:t>
      </w:r>
    </w:p>
    <w:p w14:paraId="4503275A" w14:textId="77777777" w:rsidR="0085655F" w:rsidRPr="005D7C75" w:rsidRDefault="00CB7E42" w:rsidP="005D7C75">
      <w:pPr>
        <w:spacing w:after="200"/>
        <w:jc w:val="both"/>
        <w:rPr>
          <w:rFonts w:ascii="Aptos" w:hAnsi="Aptos"/>
          <w:sz w:val="20"/>
          <w:szCs w:val="20"/>
        </w:rPr>
      </w:pPr>
      <w:r w:rsidRPr="005D7C75">
        <w:rPr>
          <w:b/>
          <w:bCs/>
          <w:szCs w:val="20"/>
        </w:rPr>
        <w:t>łącznie zwanymi dalej "Stronami".</w:t>
      </w:r>
    </w:p>
    <w:p w14:paraId="25098C07" w14:textId="77777777" w:rsidR="0085655F" w:rsidRPr="005D7C75" w:rsidRDefault="00CB7E42" w:rsidP="004954CC">
      <w:pPr>
        <w:pBdr>
          <w:bottom w:val="single" w:sz="6" w:space="1" w:color="333333"/>
        </w:pBdr>
        <w:spacing w:before="240" w:after="120"/>
        <w:jc w:val="center"/>
        <w:rPr>
          <w:rFonts w:ascii="Aptos" w:hAnsi="Aptos"/>
          <w:sz w:val="20"/>
          <w:szCs w:val="20"/>
        </w:rPr>
      </w:pPr>
      <w:r w:rsidRPr="005D7C75">
        <w:rPr>
          <w:b/>
          <w:bCs/>
          <w:szCs w:val="20"/>
        </w:rPr>
        <w:t>PREAMBUŁA</w:t>
      </w:r>
    </w:p>
    <w:p w14:paraId="7A4DA455" w14:textId="77777777" w:rsidR="0085655F" w:rsidRPr="005D7C75" w:rsidRDefault="00CB7E42" w:rsidP="005D7C75">
      <w:pPr>
        <w:spacing w:after="120"/>
        <w:jc w:val="both"/>
        <w:rPr>
          <w:rFonts w:ascii="Aptos" w:hAnsi="Aptos"/>
          <w:sz w:val="20"/>
          <w:szCs w:val="20"/>
        </w:rPr>
      </w:pPr>
      <w:r w:rsidRPr="005D7C75">
        <w:rPr>
          <w:szCs w:val="20"/>
        </w:rPr>
        <w:t>Niniejsza Umowa zostaje zawarta w wyniku postępowania o udzielenie zamówienia nr 1/CW/PGKGrodzisko, przeprowadzonego w trybie podstawowym bez negocjacji, o którym mowa w art. 275 pkt 1 ustawy z dnia 11 września 2019 r. – Prawo zamówień publicznych (t.j. Dz.U. z 2026 r. poz. 793), z uwzględnieniem zasad wynikających z Regulaminu Konkursu Grantowego „Cyberbezpieczne Wodociągi” (KPOD.05.10-CW.01-001/25).</w:t>
      </w:r>
    </w:p>
    <w:p w14:paraId="0FA64F23" w14:textId="77777777" w:rsidR="0085655F" w:rsidRPr="005D7C75" w:rsidRDefault="00CB7E42" w:rsidP="005D7C75">
      <w:pPr>
        <w:spacing w:after="120"/>
        <w:jc w:val="both"/>
        <w:rPr>
          <w:rFonts w:ascii="Aptos" w:hAnsi="Aptos"/>
          <w:sz w:val="20"/>
          <w:szCs w:val="20"/>
        </w:rPr>
      </w:pPr>
      <w:r w:rsidRPr="005D7C75">
        <w:rPr>
          <w:szCs w:val="20"/>
        </w:rPr>
        <w:t xml:space="preserve">Realizacja Przedmiotu Umowy odbywa się w ramach projektu </w:t>
      </w:r>
      <w:r w:rsidRPr="005D7C75">
        <w:rPr>
          <w:b/>
          <w:bCs/>
          <w:szCs w:val="20"/>
        </w:rPr>
        <w:t>„Wzmocnienie cyberbezpieczeństwa infrastruktury wodociągowej w Gminie Grodzisko Dolne”</w:t>
      </w:r>
      <w:r w:rsidRPr="005D7C75">
        <w:rPr>
          <w:szCs w:val="20"/>
        </w:rPr>
        <w:t xml:space="preserve">, współfinansowanego ze środków </w:t>
      </w:r>
      <w:r w:rsidRPr="005D7C75">
        <w:rPr>
          <w:b/>
          <w:bCs/>
          <w:szCs w:val="20"/>
        </w:rPr>
        <w:t>Krajowego Planu Odbudowy i Zwiększania Odporności (KPO)</w:t>
      </w:r>
      <w:r w:rsidRPr="005D7C75">
        <w:rPr>
          <w:szCs w:val="20"/>
        </w:rPr>
        <w:t>, Priorytet C3 Cyberbezpieczeństwo, Działanie C3.1.1 Cyberbezpieczeństwo – CyberPL, numer naboru KPOD.05.10-CW.01-001/25, Projekt nr KPOD.05.10-CW.01-001/25/0662.</w:t>
      </w:r>
    </w:p>
    <w:p w14:paraId="7A36A7BC" w14:textId="77777777" w:rsidR="0085655F" w:rsidRPr="005D7C75" w:rsidRDefault="00CB7E42" w:rsidP="005D7C75">
      <w:pPr>
        <w:spacing w:after="120"/>
        <w:jc w:val="both"/>
        <w:rPr>
          <w:rFonts w:ascii="Aptos" w:hAnsi="Aptos"/>
          <w:sz w:val="20"/>
          <w:szCs w:val="20"/>
        </w:rPr>
      </w:pPr>
      <w:r w:rsidRPr="005D7C75">
        <w:rPr>
          <w:szCs w:val="20"/>
        </w:rPr>
        <w:t xml:space="preserve">Podstawę realizacji zadań objętych niniejszą Umową stanowi Umowa o powierzenie grantu nr </w:t>
      </w:r>
      <w:r w:rsidR="004B5EDB" w:rsidRPr="005D7C75">
        <w:rPr>
          <w:szCs w:val="20"/>
        </w:rPr>
        <w:t>KPOD.05.10-CW.01-001/25/0662/KPOD.05.10-CW.01-001/25/2026.</w:t>
      </w:r>
    </w:p>
    <w:p w14:paraId="1DCDD614" w14:textId="77777777" w:rsidR="0085655F" w:rsidRPr="005D7C75" w:rsidRDefault="00CB7E42" w:rsidP="005D7C75">
      <w:pPr>
        <w:spacing w:after="120"/>
        <w:jc w:val="both"/>
        <w:rPr>
          <w:rFonts w:ascii="Aptos" w:hAnsi="Aptos"/>
          <w:sz w:val="20"/>
          <w:szCs w:val="20"/>
        </w:rPr>
      </w:pPr>
      <w:r w:rsidRPr="005D7C75">
        <w:rPr>
          <w:szCs w:val="20"/>
        </w:rPr>
        <w:t>Wykonawca oświadcza, że posiada niezbędną wiedzę, doświadczenie oraz potencjał techniczny i osobowy do wykonania Przedmiotu Umowy zgodnie z wymogami określonymi w Opisie Przedmiotu Zamówienia (OPZ) – Część 2.</w:t>
      </w:r>
    </w:p>
    <w:p w14:paraId="7C9A7DA0" w14:textId="77777777" w:rsidR="0085655F" w:rsidRPr="005D7C75" w:rsidRDefault="00CB7E42" w:rsidP="004954CC">
      <w:pPr>
        <w:spacing w:before="200" w:after="100"/>
        <w:jc w:val="center"/>
        <w:rPr>
          <w:rFonts w:ascii="Aptos" w:hAnsi="Aptos"/>
          <w:sz w:val="20"/>
          <w:szCs w:val="20"/>
        </w:rPr>
      </w:pPr>
      <w:r w:rsidRPr="005D7C75">
        <w:rPr>
          <w:b/>
          <w:bCs/>
          <w:szCs w:val="20"/>
        </w:rPr>
        <w:t>§ 1. Słownik pojęć</w:t>
      </w:r>
    </w:p>
    <w:p w14:paraId="4DD26473" w14:textId="77777777" w:rsidR="0085655F" w:rsidRPr="005D7C75" w:rsidRDefault="00CB7E42" w:rsidP="005D7C75">
      <w:pPr>
        <w:spacing w:after="120"/>
        <w:jc w:val="both"/>
        <w:rPr>
          <w:rFonts w:ascii="Aptos" w:hAnsi="Aptos"/>
          <w:sz w:val="20"/>
          <w:szCs w:val="20"/>
        </w:rPr>
      </w:pPr>
      <w:r w:rsidRPr="005D7C75">
        <w:rPr>
          <w:szCs w:val="20"/>
        </w:rPr>
        <w:lastRenderedPageBreak/>
        <w:t>Użyte w niniejszej Umowie pojęcia oznaczają:</w:t>
      </w:r>
    </w:p>
    <w:p w14:paraId="1B647D66"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Dostawa – dostarczenie przez Wykonawcę do wskazanych przez Zamawiającego lokalizacji fabrycznie nowego, wolnego od wad i kompletnego Sprzętu oraz Oprogramowania wraz z niezbędną dokumentacją i licencjami, pochodzących z autoryzowanego kanału sprzedaży producentów.</w:t>
      </w:r>
    </w:p>
    <w:p w14:paraId="792B81ED"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Sprzęt OT – urządzenia infrastruktury technologii operacyjnej (OT) wyszczególnione w OPZ Część 2, w tym stacja przesiadkowa OT. Jeżeli stacja przesiadkowa OT jest realizowana w wariancie wirtualnym, postanowienia Umowy dotyczące Sprzętu stosuje się odpowiednio do dostarczonego oprogramowania, licencji i konfiguracji.</w:t>
      </w:r>
    </w:p>
    <w:p w14:paraId="15245311"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Oprogramowanie –</w:t>
      </w:r>
      <w:r w:rsidR="00D51149" w:rsidRPr="005D7C75">
        <w:rPr>
          <w:szCs w:val="20"/>
        </w:rPr>
        <w:t xml:space="preserve"> oprogramowanie technologii operacyjnej (OT) wyszczególnione w OPZ Część 2</w:t>
      </w:r>
      <w:r w:rsidRPr="005D7C75">
        <w:rPr>
          <w:szCs w:val="20"/>
        </w:rPr>
        <w:t>.</w:t>
      </w:r>
    </w:p>
    <w:p w14:paraId="2D93714B"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Wdrożenie – zespół czynności polegających na fizycznym montażu, instalacji, konfiguracji i integracji Sprzętu oraz Oprogramowania z istniejącą infrastrukturą OT Zamawiającego, zakończony testami funkcjonalnymi potwierdzającymi poprawność działania systemu.</w:t>
      </w:r>
    </w:p>
    <w:p w14:paraId="0C6E13FB"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OPZ – Opis Przedmiotu Zamówienia stanowiący Załącznik nr 1 do Umowy, określający szczegółowe wymagania techniczne, standardy bezpieczeństwa oraz zakres usług wdrożeniowych, szkoleniowych i serwisowych dla Części 2.</w:t>
      </w:r>
    </w:p>
    <w:p w14:paraId="76012D77"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Nośnik danych – każdy dysk lub moduł pamięci wchodzący w skład dostarczonego Sprzętu, podlegający zasadzie Disk Retention – uszkodzony nośnik pozostaje w siedzibie Zamawiającego.</w:t>
      </w:r>
    </w:p>
    <w:p w14:paraId="263A31A8"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Wada – jakakolwiek niezgodność Przedmiotu Umowy z wymaganiami określonymi w OPZ oraz wady fizyczne i prawne w rozumieniu Kodeksu cywilnego.</w:t>
      </w:r>
    </w:p>
    <w:p w14:paraId="218FC496"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Protokół Odbioru Końcowego – dokument podpisany przez obie Strony bez zastrzeżeń, po zrealizowaniu wszystkich dostaw, wdrożeń, testów funkcjonalnych i szkoleń, stanowiący podstawę do wystawienia faktury końcowej.</w:t>
      </w:r>
    </w:p>
    <w:p w14:paraId="23757E11"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Protokół Odbioru Częściowego – dokument potwierdzający prawidłowe wykonanie i odbiór jednej lub kilku Grup asortymentowych, stanowiący podstawę do wystawienia faktury częściowej.</w:t>
      </w:r>
    </w:p>
    <w:p w14:paraId="6D722844"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Instytucja Finansująca – Centrum Projektów Polska Cyfrowa (CPPC) oraz NASK-PIB, odpowiedzialne za nadzór i rozliczanie grantu w ramach Inwestycji C3.1.1 KPO.</w:t>
      </w:r>
    </w:p>
    <w:p w14:paraId="4F7FAD97"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Umowa o Grant – Umowa o powierzenie grantu nr KPOD.05.10-CW.01-001/25/0662/KPOD.05.10-CW.01-001/25/2026, której zapisy w zakresie kwalifikowalności wydatków, kontroli, audytu i obowiązków informacyjnych są wiążące dla realizacji niniejszej Umowy.</w:t>
      </w:r>
    </w:p>
    <w:p w14:paraId="7033617B"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Siła Wyższa – zdarzenie zewnętrzne, nagłe, niemożliwe do przewidzenia i zapobieżenia, które nastąpiło po zawarciu Umowy, uniemożliwiające wykonanie zobowiązania.</w:t>
      </w:r>
    </w:p>
    <w:p w14:paraId="7E2F8D89"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Prywatny APN – wydzielony punkt dostępu do sieci operatora telefonii komórkowej, uruchamiany i utrzymywany przez Wykonawcę, zapewniający transmisję danych z urządzeń telemetrycznych Zamawiającego wyłącznie w sieci prywatnej, bez ekspozycji na publiczną sieć Internet.</w:t>
      </w:r>
    </w:p>
    <w:p w14:paraId="0155C9AB" w14:textId="77777777" w:rsidR="0085655F" w:rsidRPr="005D7C75" w:rsidRDefault="00CB7E42" w:rsidP="005D7C75">
      <w:pPr>
        <w:pStyle w:val="Akapitzlist"/>
        <w:numPr>
          <w:ilvl w:val="0"/>
          <w:numId w:val="5"/>
        </w:numPr>
        <w:spacing w:after="80"/>
        <w:jc w:val="both"/>
        <w:rPr>
          <w:rFonts w:ascii="Aptos" w:hAnsi="Aptos"/>
          <w:sz w:val="20"/>
          <w:szCs w:val="20"/>
        </w:rPr>
      </w:pPr>
      <w:r w:rsidRPr="005D7C75">
        <w:rPr>
          <w:szCs w:val="20"/>
        </w:rPr>
        <w:t>Utrzymanie – usługa, o której mowa w § 2 ust. 2 Grupa 3, świadczona przez 36 miesięcy od dnia podpisania Protokołu Odbioru Końcowego, obejmująca wsparcie techniczne, aktualizacje bezpieczeństwa, monitoring podatności oraz utrzymanie usługi prywatnego APN wraz z uzgodnionym SLA.</w:t>
      </w:r>
    </w:p>
    <w:p w14:paraId="53265333" w14:textId="77777777" w:rsidR="0085655F" w:rsidRPr="005D7C75" w:rsidRDefault="00CB7E42" w:rsidP="004954CC">
      <w:pPr>
        <w:spacing w:before="200" w:after="100"/>
        <w:jc w:val="center"/>
        <w:rPr>
          <w:rFonts w:ascii="Aptos" w:hAnsi="Aptos"/>
          <w:sz w:val="20"/>
          <w:szCs w:val="20"/>
        </w:rPr>
      </w:pPr>
      <w:r w:rsidRPr="005D7C75">
        <w:rPr>
          <w:b/>
          <w:bCs/>
          <w:szCs w:val="20"/>
        </w:rPr>
        <w:t>§ 2. Przedmiot Umowy</w:t>
      </w:r>
    </w:p>
    <w:p w14:paraId="0052C092" w14:textId="77777777" w:rsidR="0085655F" w:rsidRPr="005D7C75" w:rsidRDefault="00CB7E42" w:rsidP="005D7C75">
      <w:pPr>
        <w:pStyle w:val="Akapitzlist"/>
        <w:numPr>
          <w:ilvl w:val="0"/>
          <w:numId w:val="3"/>
        </w:numPr>
        <w:spacing w:after="80"/>
        <w:jc w:val="both"/>
        <w:rPr>
          <w:rFonts w:ascii="Aptos" w:hAnsi="Aptos"/>
          <w:sz w:val="20"/>
          <w:szCs w:val="20"/>
        </w:rPr>
      </w:pPr>
      <w:r w:rsidRPr="005D7C75">
        <w:rPr>
          <w:szCs w:val="20"/>
        </w:rPr>
        <w:t xml:space="preserve">Przedmiotem Umowy jest dostawa, konfiguracja i uruchomienie stacji przesiadkowej OT, wykonanie usługi konfiguracji i hardeningu posiadanego przez Zamawiającego systemu </w:t>
      </w:r>
      <w:r w:rsidRPr="005D7C75">
        <w:rPr>
          <w:szCs w:val="20"/>
        </w:rPr>
        <w:lastRenderedPageBreak/>
        <w:t>obszaru OT/IIoT oraz powiązanych systemów IT/SCADA – w tym uruchomienie usługi prywatnego APN – a także świadczenie usługi Utrzymania, w ramach Części 2 postępowania nr 1/CW/PGKGrodzisko, zgodnie z OPZ (Załącznik nr 1) oraz Ofertą Wykonawcy (Załącznik nr 2).</w:t>
      </w:r>
    </w:p>
    <w:p w14:paraId="01B25558" w14:textId="77777777" w:rsidR="0085655F" w:rsidRPr="005D7C75" w:rsidRDefault="00CB7E42" w:rsidP="005D7C75">
      <w:pPr>
        <w:pStyle w:val="Akapitzlist"/>
        <w:numPr>
          <w:ilvl w:val="0"/>
          <w:numId w:val="3"/>
        </w:numPr>
        <w:spacing w:after="80"/>
        <w:jc w:val="both"/>
        <w:rPr>
          <w:rFonts w:ascii="Aptos" w:hAnsi="Aptos"/>
          <w:sz w:val="20"/>
          <w:szCs w:val="20"/>
        </w:rPr>
      </w:pPr>
      <w:r w:rsidRPr="005D7C75">
        <w:rPr>
          <w:szCs w:val="20"/>
        </w:rPr>
        <w:t>W skład Przedmiotu Umowy wchodzi dostawa i pełne wdrożenie następujących Grup asortymentowych:</w:t>
      </w:r>
    </w:p>
    <w:p w14:paraId="3180BC34" w14:textId="77777777" w:rsidR="0085655F" w:rsidRPr="005D7C75" w:rsidRDefault="00CB7E42" w:rsidP="005D7C75">
      <w:pPr>
        <w:pStyle w:val="Akapitzlist"/>
        <w:numPr>
          <w:ilvl w:val="0"/>
          <w:numId w:val="6"/>
        </w:numPr>
        <w:spacing w:after="80"/>
        <w:jc w:val="both"/>
        <w:rPr>
          <w:rFonts w:ascii="Aptos" w:hAnsi="Aptos"/>
          <w:sz w:val="20"/>
          <w:szCs w:val="20"/>
        </w:rPr>
      </w:pPr>
      <w:r w:rsidRPr="005D7C75">
        <w:rPr>
          <w:szCs w:val="20"/>
        </w:rPr>
        <w:t>Grupa 1 – Stacja przesiadkowa OT (1 szt.): dostawa i uruchomienie stacji roboczej fizycznej albo maszyny wirtualnej pełniącej rolę jedynego punktu pośredniczącego w dostępie zdalnym do systemów i urządzeń OT, wraz z hardeningiem systemu operacyjnego zgodnie z CIS Benchmarks lub standardem równoważnym, wdrożeniem MFA i RBAC, rejestrowaniem sesji dostępowych, integracją z systemem zarządzania dostępem, gwarancją albo wsparciem przez 36 miesięcy, szkoleniem i dokumentacją powykonawczą.</w:t>
      </w:r>
    </w:p>
    <w:p w14:paraId="32C0F7B0" w14:textId="77777777" w:rsidR="0085655F" w:rsidRPr="005D7C75" w:rsidRDefault="00CB7E42" w:rsidP="005D7C75">
      <w:pPr>
        <w:pStyle w:val="Akapitzlist"/>
        <w:numPr>
          <w:ilvl w:val="0"/>
          <w:numId w:val="6"/>
        </w:numPr>
        <w:spacing w:after="80"/>
        <w:jc w:val="both"/>
        <w:rPr>
          <w:rFonts w:ascii="Aptos" w:hAnsi="Aptos"/>
          <w:sz w:val="20"/>
          <w:szCs w:val="20"/>
        </w:rPr>
      </w:pPr>
      <w:r w:rsidRPr="005D7C75">
        <w:rPr>
          <w:szCs w:val="20"/>
        </w:rPr>
        <w:t>Grupa 2 – Usługa konfiguracji i hardeningu systemów/urządzeń OT/IIoT oraz powiązanych systemów IT/SCADA: przegląd i inwentaryzacja istniejącego systemu OT, opracowanie i wdrożenie hardeningu zabezpieczeń, wdrożenie polityk dostępu, RBAC i MFA, zabezpieczenie połączeń VPN i tuneli, separacja sieci, hardening stacji roboczych obsługujących SCADA, rekonfiguracja parametrów transmisji GSM/APN oraz uruchomienie usługi prywatnego APN wraz z pełną integracją z systemem centralnym Zamawiającego.</w:t>
      </w:r>
    </w:p>
    <w:p w14:paraId="2FEAE89A" w14:textId="77777777" w:rsidR="0085655F" w:rsidRPr="005D7C75" w:rsidRDefault="00CB7E42" w:rsidP="005D7C75">
      <w:pPr>
        <w:pStyle w:val="Akapitzlist"/>
        <w:numPr>
          <w:ilvl w:val="0"/>
          <w:numId w:val="6"/>
        </w:numPr>
        <w:spacing w:after="80"/>
        <w:jc w:val="both"/>
        <w:rPr>
          <w:rFonts w:ascii="Aptos" w:hAnsi="Aptos"/>
          <w:sz w:val="20"/>
          <w:szCs w:val="20"/>
        </w:rPr>
      </w:pPr>
      <w:r w:rsidRPr="005D7C75">
        <w:rPr>
          <w:szCs w:val="20"/>
        </w:rPr>
        <w:t>Grupa 3 – Usługa Utrzymania: 36-miesięczne wsparcie techniczne i eksploatacja wdrożonych rozwiązań bezpieczeństwa IT/OT/ICS/IIoT, obejmujące dostarczanie i wdrażanie poprawek bezpieczeństwa, monitoring podatności, wsparcie w reżimie uzgodnionego SLA, coroczne przeglądy bezpieczeństwa wraz z raportami oraz utrzymanie usługi prywatnego APN (zarządzanie usługą, SLA dostępności, monitoring, raportowanie i usuwanie awarii).</w:t>
      </w:r>
    </w:p>
    <w:p w14:paraId="61EA2CFB" w14:textId="77777777" w:rsidR="00CB6D83" w:rsidRPr="005D7C75" w:rsidRDefault="00CB7E42" w:rsidP="005D7C75">
      <w:pPr>
        <w:pStyle w:val="Akapitzlist"/>
        <w:numPr>
          <w:ilvl w:val="0"/>
          <w:numId w:val="3"/>
        </w:numPr>
        <w:spacing w:after="80"/>
        <w:jc w:val="both"/>
        <w:rPr>
          <w:rFonts w:ascii="Aptos" w:hAnsi="Aptos"/>
          <w:sz w:val="20"/>
          <w:szCs w:val="20"/>
        </w:rPr>
      </w:pPr>
      <w:r w:rsidRPr="005D7C75">
        <w:rPr>
          <w:szCs w:val="20"/>
        </w:rPr>
        <w:t>Wykonawca oświadcza i gwarantuje, że dostarczony Sprzęt, a w przypadku wariantu wirtualnego stacji przesiadkowej OT – odpowiednio dostarczone oprogramowanie i licencje:</w:t>
      </w:r>
    </w:p>
    <w:p w14:paraId="6FCC70E2"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 xml:space="preserve">pochodzi z autoryzowanego kanału sprzedaży producentów i jest wolna od wad; </w:t>
      </w:r>
    </w:p>
    <w:p w14:paraId="11139294"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 xml:space="preserve">jest fabrycznie nowa, </w:t>
      </w:r>
    </w:p>
    <w:p w14:paraId="36EAF0A3"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 xml:space="preserve">nieużywana i dopuszczona do obrotu na terenie Unii Europejskiej; </w:t>
      </w:r>
    </w:p>
    <w:p w14:paraId="6E1E71E2"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jest zgodna z zasadą „nie czyń znaczącej szkody” (DNSH) – w zakresie, w jakim zasada ta znajduje zastosowanie do dostarczanego rozwiązania;</w:t>
      </w:r>
    </w:p>
    <w:p w14:paraId="2103CEAF"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 xml:space="preserve">spełnia wymogi dostępności określone w ustawie z dnia 26 kwietnia 2024 r. o zapewnianiu spełniania wymagań dostępności niektórych produktów i usług; </w:t>
      </w:r>
    </w:p>
    <w:p w14:paraId="2A1CD27D" w14:textId="77777777" w:rsidR="0085655F" w:rsidRPr="005D7C75" w:rsidRDefault="00CB7E42" w:rsidP="005D7C75">
      <w:pPr>
        <w:pStyle w:val="Akapitzlist"/>
        <w:numPr>
          <w:ilvl w:val="1"/>
          <w:numId w:val="3"/>
        </w:numPr>
        <w:spacing w:after="80"/>
        <w:jc w:val="both"/>
        <w:rPr>
          <w:rFonts w:ascii="Aptos" w:hAnsi="Aptos"/>
          <w:sz w:val="20"/>
          <w:szCs w:val="20"/>
        </w:rPr>
      </w:pPr>
      <w:r w:rsidRPr="005D7C75">
        <w:rPr>
          <w:szCs w:val="20"/>
        </w:rPr>
        <w:t>spełnia wymagania norm IEC 62443 w zakresie wskazanym w OPZ.</w:t>
      </w:r>
    </w:p>
    <w:p w14:paraId="2EC3C0C1" w14:textId="77777777" w:rsidR="0085655F" w:rsidRPr="005D7C75" w:rsidRDefault="00CB7E42" w:rsidP="005D7C75">
      <w:pPr>
        <w:pStyle w:val="Akapitzlist"/>
        <w:numPr>
          <w:ilvl w:val="0"/>
          <w:numId w:val="3"/>
        </w:numPr>
        <w:spacing w:after="80"/>
        <w:jc w:val="both"/>
        <w:rPr>
          <w:rFonts w:ascii="Aptos" w:hAnsi="Aptos"/>
          <w:sz w:val="20"/>
          <w:szCs w:val="20"/>
        </w:rPr>
      </w:pPr>
      <w:r w:rsidRPr="005D7C75">
        <w:rPr>
          <w:szCs w:val="20"/>
        </w:rPr>
        <w:t>Parametry techniczne zaoferowane przez Wykonawcę w Ofercie (Załącznik nr 2) stanowią minimalne standardy wykonania Umowy i są wiążące przez cały okres jej realizacji. Zamawiający nie wyraża zgody na dostarczenie rozwiązań o parametrach niższych niż zaoferowane.</w:t>
      </w:r>
    </w:p>
    <w:p w14:paraId="26C6808F" w14:textId="77777777" w:rsidR="00CB6D83" w:rsidRPr="005D7C75" w:rsidRDefault="00CB7E42" w:rsidP="005D7C75">
      <w:pPr>
        <w:pStyle w:val="Akapitzlist"/>
        <w:numPr>
          <w:ilvl w:val="0"/>
          <w:numId w:val="3"/>
        </w:numPr>
        <w:spacing w:after="80"/>
        <w:jc w:val="both"/>
        <w:rPr>
          <w:rFonts w:ascii="Aptos" w:hAnsi="Aptos"/>
          <w:sz w:val="20"/>
          <w:szCs w:val="20"/>
        </w:rPr>
      </w:pPr>
      <w:r w:rsidRPr="005D7C75">
        <w:rPr>
          <w:szCs w:val="20"/>
        </w:rPr>
        <w:t xml:space="preserve">Zakres usług wdrożeniowych obejmuje: </w:t>
      </w:r>
    </w:p>
    <w:p w14:paraId="283EBCA0"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montaż i instalację stacji przesiadkowej OT w serwerowni Zamawiającego albo – w wariancie wirtualnym – uruchomienie i konfigurację maszyny wirtualnej w środowisku wirtualizacyjnym Zamawiającego;</w:t>
      </w:r>
    </w:p>
    <w:p w14:paraId="09D71554"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t>konfigurację i hardening posiadanego przez Zamawiającego systemu obszaru OT/IIoT oraz powiązanych systemów IT/SCADA, w tym wdrożenie RBAC i MFA, zabezpieczenie połączeń VPN i tuneli oraz separację sieci;</w:t>
      </w:r>
    </w:p>
    <w:p w14:paraId="1B59EAC5" w14:textId="77777777" w:rsidR="00CB6D83" w:rsidRPr="005D7C75" w:rsidRDefault="00CB7E42" w:rsidP="005D7C75">
      <w:pPr>
        <w:pStyle w:val="Akapitzlist"/>
        <w:numPr>
          <w:ilvl w:val="1"/>
          <w:numId w:val="3"/>
        </w:numPr>
        <w:spacing w:after="80"/>
        <w:jc w:val="both"/>
        <w:rPr>
          <w:rFonts w:ascii="Aptos" w:hAnsi="Aptos"/>
          <w:sz w:val="20"/>
          <w:szCs w:val="20"/>
        </w:rPr>
      </w:pPr>
      <w:r w:rsidRPr="005D7C75">
        <w:rPr>
          <w:szCs w:val="20"/>
        </w:rPr>
        <w:lastRenderedPageBreak/>
        <w:t>uruchomienie usługi prywatnego APN wraz z integracją z systemem centralnym Zamawiającego oraz rekonfigurację parametrów transmisji danych (GSM/APN) bez ingerencji w urządzenia automatyki;</w:t>
      </w:r>
    </w:p>
    <w:p w14:paraId="63904455" w14:textId="77777777" w:rsidR="005A784D" w:rsidRPr="005D7C75" w:rsidRDefault="00CB7E42" w:rsidP="005D7C75">
      <w:pPr>
        <w:pStyle w:val="Akapitzlist"/>
        <w:numPr>
          <w:ilvl w:val="1"/>
          <w:numId w:val="3"/>
        </w:numPr>
        <w:spacing w:after="80"/>
        <w:jc w:val="both"/>
        <w:rPr>
          <w:rFonts w:ascii="Aptos" w:hAnsi="Aptos"/>
          <w:sz w:val="20"/>
          <w:szCs w:val="20"/>
        </w:rPr>
      </w:pPr>
      <w:r w:rsidRPr="005D7C75">
        <w:rPr>
          <w:szCs w:val="20"/>
        </w:rPr>
        <w:t>przeprowadzenie testów funkcjonalnych wszystkich wdrożonych mechanizmów, w tym usługi prywatnego APN, oraz sporządzenie raportu z audytu bezpieczeństwa;</w:t>
      </w:r>
    </w:p>
    <w:p w14:paraId="309A56A2" w14:textId="77777777" w:rsidR="005A784D" w:rsidRPr="005D7C75" w:rsidRDefault="00CB7E42" w:rsidP="005D7C75">
      <w:pPr>
        <w:pStyle w:val="Akapitzlist"/>
        <w:numPr>
          <w:ilvl w:val="1"/>
          <w:numId w:val="3"/>
        </w:numPr>
        <w:spacing w:after="80"/>
        <w:jc w:val="both"/>
        <w:rPr>
          <w:rFonts w:ascii="Aptos" w:hAnsi="Aptos"/>
          <w:sz w:val="20"/>
          <w:szCs w:val="20"/>
        </w:rPr>
      </w:pPr>
      <w:r w:rsidRPr="005D7C75">
        <w:rPr>
          <w:szCs w:val="20"/>
        </w:rPr>
        <w:t>przeszkolenie personelu Zamawiającego w wymiarze co najmniej 2 dni;</w:t>
      </w:r>
    </w:p>
    <w:p w14:paraId="2BFA51F4" w14:textId="77777777" w:rsidR="0085655F" w:rsidRPr="005D7C75" w:rsidRDefault="00CB7E42" w:rsidP="005D7C75">
      <w:pPr>
        <w:pStyle w:val="Akapitzlist"/>
        <w:numPr>
          <w:ilvl w:val="1"/>
          <w:numId w:val="3"/>
        </w:numPr>
        <w:spacing w:after="80"/>
        <w:jc w:val="both"/>
        <w:rPr>
          <w:rFonts w:ascii="Aptos" w:hAnsi="Aptos"/>
          <w:sz w:val="20"/>
          <w:szCs w:val="20"/>
        </w:rPr>
      </w:pPr>
      <w:r w:rsidRPr="005D7C75">
        <w:rPr>
          <w:szCs w:val="20"/>
        </w:rPr>
        <w:t>sporządzenie i przekazanie dokumentacji powykonawczej oraz przekazanie danych dostępowych i haseł.</w:t>
      </w:r>
    </w:p>
    <w:p w14:paraId="3D26D3F5" w14:textId="77777777" w:rsidR="0085655F" w:rsidRPr="005D7C75" w:rsidRDefault="00CB7E42" w:rsidP="004954CC">
      <w:pPr>
        <w:spacing w:before="200" w:after="100"/>
        <w:jc w:val="center"/>
        <w:rPr>
          <w:rFonts w:ascii="Aptos" w:hAnsi="Aptos"/>
          <w:sz w:val="20"/>
          <w:szCs w:val="20"/>
        </w:rPr>
      </w:pPr>
      <w:r w:rsidRPr="005D7C75">
        <w:rPr>
          <w:b/>
          <w:bCs/>
          <w:szCs w:val="20"/>
        </w:rPr>
        <w:t>§ 3. Termin realizacji</w:t>
      </w:r>
    </w:p>
    <w:p w14:paraId="159E4170" w14:textId="77777777" w:rsidR="0085655F" w:rsidRPr="005D7C75" w:rsidRDefault="00CB7E42" w:rsidP="005D7C75">
      <w:pPr>
        <w:pStyle w:val="Akapitzlist"/>
        <w:numPr>
          <w:ilvl w:val="0"/>
          <w:numId w:val="10"/>
        </w:numPr>
        <w:spacing w:after="80"/>
        <w:jc w:val="both"/>
        <w:rPr>
          <w:rFonts w:ascii="Aptos" w:hAnsi="Aptos"/>
          <w:sz w:val="20"/>
          <w:szCs w:val="20"/>
        </w:rPr>
      </w:pPr>
      <w:r w:rsidRPr="005D7C75">
        <w:rPr>
          <w:szCs w:val="20"/>
        </w:rPr>
        <w:t>Wykonawca zobowiązuje się zrealizować dostawę, konfigurację, hardening i uruchomienie objęte Grupami 1 i 2, to jest przekazać je do odbioru końcowego, w terminie ……… dni kalendarzowych od daty podpisania Umowy, zgodnie z terminem zadeklarowanym w Ofercie, nie dłuższym niż 90 dni i nie później niż do dnia 30 listopada 2026 r.</w:t>
      </w:r>
    </w:p>
    <w:p w14:paraId="73411A96" w14:textId="77777777" w:rsidR="0085655F" w:rsidRPr="005D7C75" w:rsidRDefault="00CB7E42" w:rsidP="005D7C75">
      <w:pPr>
        <w:pStyle w:val="Akapitzlist"/>
        <w:numPr>
          <w:ilvl w:val="0"/>
          <w:numId w:val="10"/>
        </w:numPr>
        <w:spacing w:after="80"/>
        <w:jc w:val="both"/>
        <w:rPr>
          <w:rFonts w:ascii="Aptos" w:hAnsi="Aptos"/>
          <w:sz w:val="20"/>
          <w:szCs w:val="20"/>
        </w:rPr>
      </w:pPr>
      <w:r w:rsidRPr="005D7C75">
        <w:rPr>
          <w:szCs w:val="20"/>
        </w:rPr>
        <w:t>Termin realizacji, o którym mowa w ust. 1, jest terminem kluczowym ze względu na konieczność rozliczenia projektu w ramach KPO. Jego dotrzymanie jest warunkiem kwalifikowalności wydatków.</w:t>
      </w:r>
    </w:p>
    <w:p w14:paraId="23A5CF79" w14:textId="77777777" w:rsidR="0085655F" w:rsidRPr="005D7C75" w:rsidRDefault="00CB7E42" w:rsidP="005D7C75">
      <w:pPr>
        <w:pStyle w:val="Akapitzlist"/>
        <w:numPr>
          <w:ilvl w:val="0"/>
          <w:numId w:val="10"/>
        </w:numPr>
        <w:spacing w:after="80"/>
        <w:jc w:val="both"/>
        <w:rPr>
          <w:rFonts w:ascii="Aptos" w:hAnsi="Aptos"/>
          <w:sz w:val="20"/>
          <w:szCs w:val="20"/>
        </w:rPr>
      </w:pPr>
      <w:r w:rsidRPr="005D7C75">
        <w:rPr>
          <w:szCs w:val="20"/>
        </w:rPr>
        <w:t>Wykonawca zobowiązuje się do zgłoszenia pisemnej gotowości do odbioru Przedmiotu Umowy z wyprzedzeniem co najmniej 5 dni roboczych przed planowaną datą odbioru.</w:t>
      </w:r>
    </w:p>
    <w:p w14:paraId="2B152CD9" w14:textId="77777777" w:rsidR="0085655F" w:rsidRPr="005D7C75" w:rsidRDefault="00CB7E42" w:rsidP="005D7C75">
      <w:pPr>
        <w:pStyle w:val="Akapitzlist"/>
        <w:numPr>
          <w:ilvl w:val="0"/>
          <w:numId w:val="10"/>
        </w:numPr>
        <w:spacing w:after="80"/>
        <w:jc w:val="both"/>
        <w:rPr>
          <w:rFonts w:ascii="Aptos" w:hAnsi="Aptos"/>
          <w:sz w:val="20"/>
          <w:szCs w:val="20"/>
        </w:rPr>
      </w:pPr>
      <w:r w:rsidRPr="005D7C75">
        <w:rPr>
          <w:szCs w:val="20"/>
        </w:rPr>
        <w:t>W toku realizacji Zamawiający może wyrazić zgodę na odbiory częściowe poszczególnych Grup asortymentowych przed terminem końcowym, o którym mowa w ust. 1, na pisemny wniosek Wykonawcy. Odbiory częściowe nie zwalniają Wykonawcy z obowiązku terminowej realizacji całości Przedmiotu Umowy.</w:t>
      </w:r>
    </w:p>
    <w:p w14:paraId="66665D24" w14:textId="77777777" w:rsidR="0085655F" w:rsidRPr="005D7C75" w:rsidRDefault="00CB7E42" w:rsidP="005D7C75">
      <w:pPr>
        <w:pStyle w:val="Akapitzlist"/>
        <w:numPr>
          <w:ilvl w:val="0"/>
          <w:numId w:val="10"/>
        </w:numPr>
        <w:spacing w:after="80"/>
        <w:jc w:val="both"/>
        <w:rPr>
          <w:rFonts w:ascii="Aptos" w:hAnsi="Aptos"/>
          <w:sz w:val="20"/>
          <w:szCs w:val="20"/>
        </w:rPr>
      </w:pPr>
      <w:r w:rsidRPr="005D7C75">
        <w:rPr>
          <w:szCs w:val="20"/>
        </w:rPr>
        <w:t>Dokumentacja powykonawcza dla każdej Grupy asortymentowej przekazywana jest Zamawiającemu w terminie 14 dni od zakończenia prac wdrożeniowych danej Grupy, jednak nie później niż w dniu zgłoszenia gotowości do Odbioru Końcowego.</w:t>
      </w:r>
    </w:p>
    <w:p w14:paraId="001025E5" w14:textId="77777777" w:rsidR="0085655F" w:rsidRPr="005D7C75" w:rsidRDefault="00CB7E42" w:rsidP="005D7C75">
      <w:pPr>
        <w:pStyle w:val="Akapitzlist"/>
        <w:numPr>
          <w:ilvl w:val="0"/>
          <w:numId w:val="10"/>
        </w:numPr>
        <w:spacing w:after="80"/>
        <w:jc w:val="both"/>
        <w:rPr>
          <w:rFonts w:ascii="Aptos" w:hAnsi="Aptos"/>
          <w:sz w:val="20"/>
          <w:szCs w:val="20"/>
        </w:rPr>
      </w:pPr>
      <w:r w:rsidRPr="005D7C75">
        <w:rPr>
          <w:szCs w:val="20"/>
        </w:rPr>
        <w:t>Usługa Utrzymania (Grupa 3) świadczona jest przez 36 miesięcy liczonych od dnia podpisania Protokołu Odbioru Końcowego. Okres ten nie wpływa na termin, o którym mowa w ust. 1, i nie jest objęty karą umowną za zwłokę w realizacji Przedmiotu Umowy.</w:t>
      </w:r>
    </w:p>
    <w:p w14:paraId="068A6051" w14:textId="77777777" w:rsidR="0085655F" w:rsidRPr="005D7C75" w:rsidRDefault="00CB7E42" w:rsidP="004954CC">
      <w:pPr>
        <w:spacing w:before="200" w:after="100"/>
        <w:jc w:val="center"/>
        <w:rPr>
          <w:rFonts w:ascii="Aptos" w:hAnsi="Aptos"/>
          <w:sz w:val="20"/>
          <w:szCs w:val="20"/>
        </w:rPr>
      </w:pPr>
      <w:r w:rsidRPr="005D7C75">
        <w:rPr>
          <w:b/>
          <w:bCs/>
          <w:szCs w:val="20"/>
        </w:rPr>
        <w:t>§ 4. Wynagrodzenie i warunki płatności</w:t>
      </w:r>
    </w:p>
    <w:p w14:paraId="059DB7A8"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Wynagrodzenie Wykonawcy za realizację całości Przedmiotu Umowy jest wynagrodzeniem ryczałtowym i wynosi: …………………… zł brutto (słownie: ……………………………………… złotych), w tym podatek VAT według stawki obowiązującej w dniu wystawienia faktury. Wynagrodzenie jest niezmienne przez cały okres realizacji Umowy, z wyjątkiem przypadku określonego w § 15 ust. 5 lit. a).</w:t>
      </w:r>
    </w:p>
    <w:p w14:paraId="0E9B59F5"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Wynagrodzenie określone w ust. 1 obejmuje wszelkie koszty niezbędne do prawidłowego wykonania Przedmiotu Umowy, w tym koszty transportu, montażu, konfiguracji, szkoleń, dokumentacji, subskrypcji usług bezpieczeństwa na 36 miesięcy, serwisu producenta, a także wszelkie podatki, opłaty i inne świadczenia publicznoprawne.</w:t>
      </w:r>
    </w:p>
    <w:p w14:paraId="78D6B694"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Strony przewidują następujący harmonogram płatności:</w:t>
      </w:r>
    </w:p>
    <w:p w14:paraId="60274AB6" w14:textId="77777777" w:rsidR="0085655F" w:rsidRPr="005D7C75" w:rsidRDefault="00CB7E42" w:rsidP="005D7C75">
      <w:pPr>
        <w:pStyle w:val="Akapitzlist"/>
        <w:numPr>
          <w:ilvl w:val="0"/>
          <w:numId w:val="7"/>
        </w:numPr>
        <w:spacing w:after="80"/>
        <w:jc w:val="both"/>
        <w:rPr>
          <w:rFonts w:ascii="Aptos" w:hAnsi="Aptos"/>
          <w:sz w:val="20"/>
          <w:szCs w:val="20"/>
        </w:rPr>
      </w:pPr>
      <w:r w:rsidRPr="005D7C75">
        <w:rPr>
          <w:szCs w:val="20"/>
        </w:rPr>
        <w:t>Faktura częściowa nr 1 – po protokolarnym odbiorze Grupy 1;</w:t>
      </w:r>
    </w:p>
    <w:p w14:paraId="5E6A14FD" w14:textId="77777777" w:rsidR="0085655F" w:rsidRPr="005D7C75" w:rsidRDefault="00CB7E42" w:rsidP="005D7C75">
      <w:pPr>
        <w:pStyle w:val="Akapitzlist"/>
        <w:numPr>
          <w:ilvl w:val="0"/>
          <w:numId w:val="7"/>
        </w:numPr>
        <w:spacing w:after="80"/>
        <w:jc w:val="both"/>
        <w:rPr>
          <w:rFonts w:ascii="Aptos" w:hAnsi="Aptos"/>
          <w:sz w:val="20"/>
          <w:szCs w:val="20"/>
        </w:rPr>
      </w:pPr>
      <w:r w:rsidRPr="005D7C75">
        <w:rPr>
          <w:szCs w:val="20"/>
        </w:rPr>
        <w:t>Faktura częściowa nr 2 – po protokolarnym odbiorze Grupy 2;</w:t>
      </w:r>
    </w:p>
    <w:p w14:paraId="26B404D4" w14:textId="77777777" w:rsidR="0085655F" w:rsidRPr="005D7C75" w:rsidRDefault="00CB7E42" w:rsidP="005D7C75">
      <w:pPr>
        <w:pStyle w:val="Akapitzlist"/>
        <w:numPr>
          <w:ilvl w:val="0"/>
          <w:numId w:val="7"/>
        </w:numPr>
        <w:spacing w:after="80"/>
        <w:jc w:val="both"/>
        <w:rPr>
          <w:rFonts w:ascii="Aptos" w:hAnsi="Aptos"/>
          <w:sz w:val="20"/>
          <w:szCs w:val="20"/>
        </w:rPr>
      </w:pPr>
      <w:r w:rsidRPr="005D7C75">
        <w:rPr>
          <w:szCs w:val="20"/>
        </w:rPr>
        <w:t xml:space="preserve">Faktura końcowa – po podpisaniu Protokołu Odbioru Końcowego; obejmuje ona również całość wynagrodzenia za usługę Utrzymania (Grupa 3), płatnego jednorazowo z góry za cały 36-miesięczny okres jej świadczenia. Możliwość dokonania tej płatności została przewidziana w dokumentach zamówienia zgodnie z </w:t>
      </w:r>
      <w:r w:rsidRPr="005D7C75">
        <w:rPr>
          <w:szCs w:val="20"/>
        </w:rPr>
        <w:lastRenderedPageBreak/>
        <w:t>art. 442 ust. 1 ustawy Pzp; Zamawiający nie żąda wniesienia zabezpieczenia zaliczki, a do Zamawiającego, jako zamawiającego, o którym mowa w art. 4 pkt 3 ustawy Pzp, nie stosuje się art. 442 ust. 2 i 4 ustawy Pzp. Zapłata tego wynagrodzenia nie zwalnia Wykonawcy ze świadczenia Utrzymania przez pełny okres, a w razie zaprzestania jego świadczenia Zamawiającemu przysługuje zwrot wynagrodzenia proporcjonalnie do okresu niewykonanego, niezależnie od kar umownych.</w:t>
      </w:r>
    </w:p>
    <w:p w14:paraId="632A0777"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Warunkiem wystawienia każdej faktury częściowej jest podpisanie przez obie Strony odpowiedniego Protokołu Odbioru Częściowego bez zastrzeżeń.</w:t>
      </w:r>
    </w:p>
    <w:p w14:paraId="5E6D40E3"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 xml:space="preserve">Zamawiający dokona zapłaty każdej faktury przelewem na rachunek bankowy Wykonawcy wskazany na fakturze, w terminie </w:t>
      </w:r>
      <w:r w:rsidR="00161F90" w:rsidRPr="005D7C75">
        <w:rPr>
          <w:szCs w:val="20"/>
        </w:rPr>
        <w:t>14</w:t>
      </w:r>
      <w:r w:rsidRPr="005D7C75">
        <w:rPr>
          <w:szCs w:val="20"/>
        </w:rPr>
        <w:t xml:space="preserve"> dni od daty doręczenia prawidłowo wystawionej faktury VAT wraz z odpowiednim Protokołem Odbioru.</w:t>
      </w:r>
    </w:p>
    <w:p w14:paraId="205F2A72"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Za dzień zapłaty uważa się dzień obciążenia rachunku bankowego Zamawiającego.</w:t>
      </w:r>
    </w:p>
    <w:p w14:paraId="7DEC130E"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Wykonawca oświadcza, że rachunek bankowy wskazany do rozliczeń widnieje w elektronicznym wykazie podatników VAT (tzw. biała lista). W przypadku stwierdzenia, że rachunek nie figuruje w wykazie, Zamawiający jest uprawniony do wstrzymania płatności bez naliczania odsetek za zwłokę do czasu ujawnienia rachunku lub wskazania innego prawidłowego numeru.</w:t>
      </w:r>
    </w:p>
    <w:p w14:paraId="64A3F067"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Zamawiający stosuje mechanizm podzielonej płatności (split payment), o którym mowa w ustawie o podatku od towarów i usług. Wykonawca oświadcza, że wskazany rachunek umożliwia płatność w tym mechanizmie.</w:t>
      </w:r>
    </w:p>
    <w:p w14:paraId="004A840D"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Wynagrodzenie finansowane jest ze środków KPO i podlega zasadom kwalifikowalności wydatków obowiązującym w ramach Inwestycji C3.1.1.</w:t>
      </w:r>
    </w:p>
    <w:p w14:paraId="45B89807"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Wszystkie płatności wynikające z Umowy muszą zostać zrealizowane nie później niż do dnia 31 grudnia 2026 r.</w:t>
      </w:r>
    </w:p>
    <w:p w14:paraId="55AD0BF3" w14:textId="77777777" w:rsidR="0085655F" w:rsidRPr="005D7C75" w:rsidRDefault="00CB7E42" w:rsidP="005D7C75">
      <w:pPr>
        <w:pStyle w:val="Akapitzlist"/>
        <w:numPr>
          <w:ilvl w:val="0"/>
          <w:numId w:val="36"/>
        </w:numPr>
        <w:spacing w:after="80"/>
        <w:jc w:val="both"/>
        <w:rPr>
          <w:rFonts w:ascii="Aptos" w:hAnsi="Aptos"/>
          <w:sz w:val="20"/>
          <w:szCs w:val="20"/>
        </w:rPr>
      </w:pPr>
      <w:r w:rsidRPr="005D7C75">
        <w:rPr>
          <w:szCs w:val="20"/>
        </w:rPr>
        <w:t>Zgodnie z art. 443 ust. 1 i 2 ustawy Pzp wynagrodzenie jest płatne w częściach, po wykonaniu poszczególnych części Umowy. Procentowa wartość ostatniej części wynagrodzenia (faktura końcowa, o której mowa w ust. 3 lit. c) nie może przekroczyć 50% wynagrodzenia brutto, a łączna wartość faktur częściowych za Grupy 1 i 2 nie może być niższa niż 50% wynagrodzenia brutto. Wykonawca uwzględnia ten podział przy kalkulacji ceny w Formularzu cenowo-ilościowym (załącznik nr 9 do SWZ).</w:t>
      </w:r>
    </w:p>
    <w:p w14:paraId="6AB05579" w14:textId="77777777" w:rsidR="0085655F" w:rsidRPr="005D7C75" w:rsidRDefault="00CB7E42" w:rsidP="004954CC">
      <w:pPr>
        <w:spacing w:before="200" w:after="100"/>
        <w:jc w:val="center"/>
        <w:rPr>
          <w:rFonts w:ascii="Aptos" w:hAnsi="Aptos"/>
          <w:sz w:val="20"/>
          <w:szCs w:val="20"/>
        </w:rPr>
      </w:pPr>
      <w:r w:rsidRPr="005D7C75">
        <w:rPr>
          <w:b/>
          <w:bCs/>
          <w:szCs w:val="20"/>
        </w:rPr>
        <w:t>§ 5. Faktury ustrukturyzowane (KSeF)</w:t>
      </w:r>
    </w:p>
    <w:p w14:paraId="09CBE7E4" w14:textId="77777777" w:rsidR="0085655F" w:rsidRPr="005C1826" w:rsidRDefault="005C1826" w:rsidP="005D7C75">
      <w:pPr>
        <w:pStyle w:val="Akapitzlist"/>
        <w:numPr>
          <w:ilvl w:val="0"/>
          <w:numId w:val="9"/>
        </w:numPr>
        <w:spacing w:after="80"/>
        <w:jc w:val="both"/>
        <w:rPr>
          <w:rFonts w:ascii="Aptos" w:hAnsi="Aptos"/>
          <w:color w:val="000000" w:themeColor="text1"/>
          <w:sz w:val="20"/>
          <w:szCs w:val="20"/>
        </w:rPr>
      </w:pPr>
      <w:r w:rsidRPr="005C1826">
        <w:rPr>
          <w:rFonts w:asciiTheme="minorHAnsi" w:hAnsiTheme="minorHAnsi"/>
          <w:color w:val="000000" w:themeColor="text1"/>
          <w:szCs w:val="20"/>
        </w:rPr>
        <w:t>Wykonawca, jeżeli na dzień wystawienia faktury jest zobowiązany do wystawiania faktur ustrukturyzowanych zgodnie z ustawą z dnia 11 marca 2004 r. o podatku od towarów i usług (w brzmieniu obowiązującym w dacie wystawienia faktury), zobowiązany jest wystawiać faktury wyłącznie za pośrednictwem Krajowego Systemu e-Faktur (KSeF</w:t>
      </w:r>
      <w:r w:rsidR="00CB7E42" w:rsidRPr="005C1826">
        <w:rPr>
          <w:color w:val="000000" w:themeColor="text1"/>
          <w:szCs w:val="20"/>
        </w:rPr>
        <w:t>).</w:t>
      </w:r>
    </w:p>
    <w:p w14:paraId="6E8BBCA3" w14:textId="77777777" w:rsidR="0085655F" w:rsidRPr="005D7C75" w:rsidRDefault="00CB7E42" w:rsidP="005D7C75">
      <w:pPr>
        <w:pStyle w:val="Akapitzlist"/>
        <w:numPr>
          <w:ilvl w:val="0"/>
          <w:numId w:val="9"/>
        </w:numPr>
        <w:spacing w:after="80"/>
        <w:jc w:val="both"/>
        <w:rPr>
          <w:rFonts w:ascii="Aptos" w:hAnsi="Aptos"/>
          <w:sz w:val="20"/>
          <w:szCs w:val="20"/>
        </w:rPr>
      </w:pPr>
      <w:r w:rsidRPr="005D7C75">
        <w:rPr>
          <w:szCs w:val="20"/>
        </w:rPr>
        <w:t>Jako NIP odbiorcy w KSeF Wykonawca wskazuje NIP Zamawiającego: 8161693001.</w:t>
      </w:r>
    </w:p>
    <w:p w14:paraId="01D0BCDE" w14:textId="77777777" w:rsidR="0085655F" w:rsidRPr="005D7C75" w:rsidRDefault="00CB7E42" w:rsidP="005D7C75">
      <w:pPr>
        <w:pStyle w:val="Akapitzlist"/>
        <w:numPr>
          <w:ilvl w:val="0"/>
          <w:numId w:val="9"/>
        </w:numPr>
        <w:spacing w:after="80"/>
        <w:jc w:val="both"/>
        <w:rPr>
          <w:rFonts w:ascii="Aptos" w:hAnsi="Aptos"/>
          <w:sz w:val="20"/>
          <w:szCs w:val="20"/>
        </w:rPr>
      </w:pPr>
      <w:r w:rsidRPr="005D7C75">
        <w:rPr>
          <w:szCs w:val="20"/>
        </w:rPr>
        <w:t>W przypadku wystawienia faktury niezgodnie z wymogami KSeF termin płatności wskazany w § 4 ust. 5 nie rozpoczyna biegu do czasu prawidłowego wystawienia faktury ustrukturyzowanej.</w:t>
      </w:r>
    </w:p>
    <w:p w14:paraId="3FEA49AB" w14:textId="77777777" w:rsidR="0085655F" w:rsidRPr="005D7C75" w:rsidRDefault="00CB7E42" w:rsidP="005D7C75">
      <w:pPr>
        <w:pStyle w:val="Akapitzlist"/>
        <w:numPr>
          <w:ilvl w:val="0"/>
          <w:numId w:val="9"/>
        </w:numPr>
        <w:spacing w:after="80"/>
        <w:jc w:val="both"/>
        <w:rPr>
          <w:rFonts w:ascii="Aptos" w:hAnsi="Aptos"/>
          <w:sz w:val="20"/>
          <w:szCs w:val="20"/>
        </w:rPr>
      </w:pPr>
      <w:r w:rsidRPr="005D7C75">
        <w:rPr>
          <w:szCs w:val="20"/>
        </w:rPr>
        <w:t>Zamawiający nie ponosi odpowiedzialności za opóźnienia w płatności wynikające z nieprawidłowego wystawienia faktury przez Wykonawcę.</w:t>
      </w:r>
    </w:p>
    <w:p w14:paraId="1A1907BB" w14:textId="77777777" w:rsidR="0085655F" w:rsidRPr="005D7C75" w:rsidRDefault="00CB7E42" w:rsidP="004954CC">
      <w:pPr>
        <w:spacing w:before="200" w:after="100"/>
        <w:jc w:val="center"/>
        <w:rPr>
          <w:rFonts w:ascii="Aptos" w:hAnsi="Aptos"/>
          <w:sz w:val="20"/>
          <w:szCs w:val="20"/>
        </w:rPr>
      </w:pPr>
      <w:r w:rsidRPr="005D7C75">
        <w:rPr>
          <w:b/>
          <w:bCs/>
          <w:szCs w:val="20"/>
        </w:rPr>
        <w:t>§ 6. Odbiór Przedmiotu Umowy</w:t>
      </w:r>
    </w:p>
    <w:p w14:paraId="4D4A5CE9"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Odbiór Przedmiotu Umowy zostanie dokonany po pełnej i należytej realizacji przez Wykonawcę obowiązków określonych w § 2 w zakresie Grup 1 i 2, w tym po uruchomieniu stacji przesiadkowej OT, wykonaniu hardeningu, uruchomieniu usługi prywatnego APN, przeprowadzeniu szkoleń i testów funkcjonalnych oraz przekazaniu kompletnej dokumentacji powykonawczej i raportu z audytu bezpieczeństwa.</w:t>
      </w:r>
    </w:p>
    <w:p w14:paraId="38DB3787"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lastRenderedPageBreak/>
        <w:t>W ramach czynności odbiorowych Zamawiający (lub upoważniona Komisja Odbiorowa) dokona weryfikacji:</w:t>
      </w:r>
    </w:p>
    <w:p w14:paraId="4CEE0A90" w14:textId="77777777" w:rsidR="0085655F" w:rsidRPr="0013128D" w:rsidRDefault="00CB7E42" w:rsidP="005D7C75">
      <w:pPr>
        <w:pStyle w:val="Akapitzlist"/>
        <w:numPr>
          <w:ilvl w:val="0"/>
          <w:numId w:val="12"/>
        </w:numPr>
        <w:spacing w:after="80"/>
        <w:jc w:val="both"/>
        <w:rPr>
          <w:rFonts w:ascii="Aptos" w:hAnsi="Aptos"/>
          <w:color w:val="000000" w:themeColor="text1"/>
          <w:sz w:val="20"/>
          <w:szCs w:val="20"/>
        </w:rPr>
      </w:pPr>
      <w:r w:rsidRPr="0013128D">
        <w:rPr>
          <w:color w:val="000000" w:themeColor="text1"/>
          <w:szCs w:val="20"/>
        </w:rPr>
        <w:t>nienaruszalności opakowań – wyłącznie w wariancie fizycznym stacji przesiadkowej OT: sprawdzenie, czy urządzenie zostało dostarczone w oryginalnym, fabrycznie zamkniętym i nienaruszonym opakowaniu producenta;</w:t>
      </w:r>
    </w:p>
    <w:p w14:paraId="63180BF4" w14:textId="77777777" w:rsidR="0085655F" w:rsidRPr="005D7C75" w:rsidRDefault="00CB7E42" w:rsidP="005D7C75">
      <w:pPr>
        <w:pStyle w:val="Akapitzlist"/>
        <w:numPr>
          <w:ilvl w:val="0"/>
          <w:numId w:val="12"/>
        </w:numPr>
        <w:spacing w:after="80"/>
        <w:jc w:val="both"/>
        <w:rPr>
          <w:rFonts w:ascii="Aptos" w:hAnsi="Aptos"/>
          <w:sz w:val="20"/>
          <w:szCs w:val="20"/>
        </w:rPr>
      </w:pPr>
      <w:r w:rsidRPr="005D7C75">
        <w:rPr>
          <w:szCs w:val="20"/>
        </w:rPr>
        <w:t>zgodności ilościowej i identyfikacyjnej – zgodność ilości sprzętu i licencji, ważności subskrypcji z fakturą/dokumentem WZ, Ofertą i OPZ;</w:t>
      </w:r>
    </w:p>
    <w:p w14:paraId="2C8F8115" w14:textId="77777777" w:rsidR="0085655F" w:rsidRPr="005D7C75" w:rsidRDefault="00CB7E42" w:rsidP="005D7C75">
      <w:pPr>
        <w:pStyle w:val="Akapitzlist"/>
        <w:numPr>
          <w:ilvl w:val="0"/>
          <w:numId w:val="12"/>
        </w:numPr>
        <w:spacing w:after="80"/>
        <w:jc w:val="both"/>
        <w:rPr>
          <w:rFonts w:ascii="Aptos" w:hAnsi="Aptos"/>
          <w:sz w:val="20"/>
          <w:szCs w:val="20"/>
        </w:rPr>
      </w:pPr>
      <w:r w:rsidRPr="005D7C75">
        <w:rPr>
          <w:szCs w:val="20"/>
        </w:rPr>
        <w:t>stanu wizualnego – wyłącznie w wariancie fizycznym: brak uszkodzeń mechanicznych i śladów wcześniejszego użytkowania;</w:t>
      </w:r>
    </w:p>
    <w:p w14:paraId="1857DC9F" w14:textId="77777777" w:rsidR="0085655F" w:rsidRPr="005D7C75" w:rsidRDefault="00CB7E42" w:rsidP="005D7C75">
      <w:pPr>
        <w:pStyle w:val="Akapitzlist"/>
        <w:numPr>
          <w:ilvl w:val="0"/>
          <w:numId w:val="12"/>
        </w:numPr>
        <w:spacing w:after="80"/>
        <w:jc w:val="both"/>
        <w:rPr>
          <w:rFonts w:ascii="Aptos" w:hAnsi="Aptos"/>
          <w:sz w:val="20"/>
          <w:szCs w:val="20"/>
        </w:rPr>
      </w:pPr>
      <w:r w:rsidRPr="005D7C75">
        <w:rPr>
          <w:szCs w:val="20"/>
        </w:rPr>
        <w:t>poprawności wdrożenia – weryfikacja konfiguracji stacji przesiadkowej OT (rejestrowanie sesji, wymuszenie MFA, działanie RBAC, integracja z usługami katalogowymi), wyników hardeningu systemu OT/IIoT i systemów IT/SCADA, separacji sieci oraz działania usługi prywatnego APN i tuneli VPN;</w:t>
      </w:r>
    </w:p>
    <w:p w14:paraId="7DB77901" w14:textId="77777777" w:rsidR="0085655F" w:rsidRPr="005D7C75" w:rsidRDefault="00CB7E42" w:rsidP="005D7C75">
      <w:pPr>
        <w:pStyle w:val="Akapitzlist"/>
        <w:numPr>
          <w:ilvl w:val="0"/>
          <w:numId w:val="12"/>
        </w:numPr>
        <w:spacing w:after="80"/>
        <w:jc w:val="both"/>
        <w:rPr>
          <w:rFonts w:ascii="Aptos" w:hAnsi="Aptos"/>
          <w:sz w:val="20"/>
          <w:szCs w:val="20"/>
        </w:rPr>
      </w:pPr>
      <w:r w:rsidRPr="005D7C75">
        <w:rPr>
          <w:szCs w:val="20"/>
        </w:rPr>
        <w:t>raportów z testów funkcjonalnych, raportu z audytu bezpieczeństwa oraz raportów z weryfikacji konfiguracji (narzędzie audytowe lub wypełniona lista kontrolna CIS);</w:t>
      </w:r>
    </w:p>
    <w:p w14:paraId="02AA12E1"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Warunkiem podpisania Protokołu Odbioru Końcowego jest: pozytywny wynik testów wszystkich wdrożonych mechanizmów, w tym usługi prywatnego APN i uruchomienia wsparcia w ramach Utrzymania; przekazanie pełnej dokumentacji powykonawczej i instrukcji w języku polskim; przeprowadzenie szkolenia personelu Zamawiającego w wymiarze co najmniej 2 dni, potwierdzone protokołem; dostarczenie raportu z audytu bezpieczeństwa; przekazanie kart gwarancyjnych albo certyfikatów wsparcia; przekazanie Kwestionariusza Oceny Ryzyka Dostawcy (Załącznik nr 4) – o ile nie został przekazany wcześniej zgodnie z § 13 ust. 6 – wraz z potwierdzeniem, o którym mowa w § 13 ust. 6 zdanie trzecie; oraz przekazanie zestawienia danych wskaźnikowych.</w:t>
      </w:r>
    </w:p>
    <w:p w14:paraId="51A2EA6C"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Z czynności odbioru sporządza się Protokół Odbioru Końcowego. Jego podpisanie bez zastrzeżeń stanowi podstawę do wystawienia faktury końcowej.</w:t>
      </w:r>
    </w:p>
    <w:p w14:paraId="72082346"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W przypadku stwierdzenia podczas odbioru wad, usterek lub niezgodności z Umową, Zamawiający może odmówić odbioru do czasu usunięcia usterek lub wyznaczyć Wykonawcy termin techniczny na ich usunięcie, nie krótszy niż 2 i nie dłuższy niż 5 dni roboczych.</w:t>
      </w:r>
    </w:p>
    <w:p w14:paraId="3D3E36CE"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W wariancie fizycznym, w przypadku stwierdzenia awarii DOA (Dead on Arrival) lub śladów uszkodzeń mechanicznych, Wykonawca wymienia urządzenie na fabrycznie nowe w terminie do 3 dni roboczych. Zamawiający nie wyraża zgody na naprawę serwisową sprzętu, który uległ awarii przed formalnym odbiorem.</w:t>
      </w:r>
    </w:p>
    <w:p w14:paraId="16C958C7"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W wariancie fizycznym, przed podpisaniem Protokołu Odbioru Końcowego Wykonawca zabiera odpady opakowaniowe, zachowując oryginalne opakowania jednostkowe dla celów gwarancyjnych.</w:t>
      </w:r>
    </w:p>
    <w:p w14:paraId="455F78E6" w14:textId="77777777" w:rsidR="0085655F" w:rsidRPr="005D7C75" w:rsidRDefault="00CB7E42" w:rsidP="005D7C75">
      <w:pPr>
        <w:pStyle w:val="Akapitzlist"/>
        <w:numPr>
          <w:ilvl w:val="0"/>
          <w:numId w:val="11"/>
        </w:numPr>
        <w:spacing w:after="80"/>
        <w:jc w:val="both"/>
        <w:rPr>
          <w:rFonts w:ascii="Aptos" w:hAnsi="Aptos"/>
          <w:sz w:val="20"/>
          <w:szCs w:val="20"/>
        </w:rPr>
      </w:pPr>
      <w:r w:rsidRPr="005D7C75">
        <w:rPr>
          <w:szCs w:val="20"/>
        </w:rPr>
        <w:t>Dokonanie odbioru nie wyłącza uprawnień Zamawiającego z tytułu rękojmi za wady ukryte.</w:t>
      </w:r>
    </w:p>
    <w:p w14:paraId="7AADE8A4" w14:textId="77777777" w:rsidR="0085655F" w:rsidRPr="005D7C75" w:rsidRDefault="00CB7E42" w:rsidP="004954CC">
      <w:pPr>
        <w:spacing w:before="200" w:after="100"/>
        <w:jc w:val="center"/>
        <w:rPr>
          <w:rFonts w:ascii="Aptos" w:hAnsi="Aptos"/>
          <w:sz w:val="20"/>
          <w:szCs w:val="20"/>
        </w:rPr>
      </w:pPr>
      <w:r w:rsidRPr="005D7C75">
        <w:rPr>
          <w:b/>
          <w:bCs/>
          <w:szCs w:val="20"/>
        </w:rPr>
        <w:t>§ 7. Gwarancja jakości i serwis</w:t>
      </w:r>
    </w:p>
    <w:p w14:paraId="7CC2DAA7"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Wykonawca udziela gwarancji jakości na dostarczony Przedmiot Umowy na okresy wskazane w Ofercie, nie krótsze niż 36 miesięcy od daty Odbioru Końcowego. W wariancie wirtualnym stacji przesiadkowej OT gwarancja obejmuje dostarczone oprogramowanie, licencje i wykonaną konfigurację, a Wykonawca zapewnia w tym okresie usuwanie wad, aktualizacje bezpieczeństwa i wsparcie techniczne na zasadach określonych w niniejszym paragrafie.</w:t>
      </w:r>
    </w:p>
    <w:p w14:paraId="5A4B3B44"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Bieg terminów gwarancji rozpoczyna się od dnia podpisania Protokołu Odbioru Końcowego.</w:t>
      </w:r>
    </w:p>
    <w:p w14:paraId="132D90A0"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lastRenderedPageBreak/>
        <w:t>Gwarancja na sprzęt świadczona jest w miejscu instalacji (on-site). W przypadku awarii nośnika danych, uszkodzony nośnik pozostaje u Zamawiającego, a Wykonawca dostarcza nowy egzemplarz w ramach wynagrodzenia.</w:t>
      </w:r>
    </w:p>
    <w:p w14:paraId="5611F356"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Czas reakcji Wykonawcy na zgłoszenie awarii (podjęcie działań) wynosi maksymalnie 1 dzień roboczy (NBD). Czas skutecznej naprawy lub dostarczenia urządzenia zastępczego nie przekroczy 14 dni kalendarzowych, a dla systemów OT krytycznych – 5 dni roboczych.</w:t>
      </w:r>
    </w:p>
    <w:p w14:paraId="09B10057"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W przypadku braku możliwości naprawy w terminie wskazanym w ust. 4, Wykonawca dostarczy na czas naprawy sprzęt zastępczy o parametrach nie gorszych niż urządzenie uszkodzone.</w:t>
      </w:r>
    </w:p>
    <w:p w14:paraId="6666B1C4"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Dla usługi prywatnego APN Wykonawca zapewnia przez cały okres Utrzymania dostępność nie niższą niż 99,5% w skali miesiąca kalendarzowego, czas reakcji na zgłoszenie awarii nie dłuższy niż 4 godziny w dni robocze oraz miesięczne raportowanie dostępności. Za każdy pełny punkt procentowy poniżej gwarantowanej dostępności w danym miesiącu, z przyczyn leżących po stronie Wykonawcy lub operatora, z którym Wykonawca realizuje usługę, Wykonawca zapłaci karę umowną w wysokości 1 000,00 zł, nie więcej niż 5 000,00 zł za jeden miesiąc; kara ta jest objęta łącznym pułapem, o którym mowa w § 9 ust. 2.</w:t>
      </w:r>
    </w:p>
    <w:p w14:paraId="0CBE93D5"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Producent stacji przesiadkowej OT zobowiązany jest – przez cały okres gwarancji – do: zapewnienia dostępu do dokumentacji technicznej i instrukcji w języku polskim lub angielskim; udostępniania nowych wersji oprogramowania układowego i sterowników; udostępniania aktualizacji i poprawek bezpieczeństwa; wymiany uszkodzonych podzespołów; wsparcia administratorów Zamawiającego.</w:t>
      </w:r>
    </w:p>
    <w:p w14:paraId="063A0DE0" w14:textId="77777777" w:rsidR="0085655F" w:rsidRPr="005D7C75" w:rsidRDefault="00CB7E42" w:rsidP="005D7C75">
      <w:pPr>
        <w:pStyle w:val="Akapitzlist"/>
        <w:numPr>
          <w:ilvl w:val="0"/>
          <w:numId w:val="13"/>
        </w:numPr>
        <w:spacing w:after="80"/>
        <w:jc w:val="both"/>
        <w:rPr>
          <w:rFonts w:ascii="Aptos" w:hAnsi="Aptos"/>
          <w:sz w:val="20"/>
          <w:szCs w:val="20"/>
        </w:rPr>
      </w:pPr>
      <w:r w:rsidRPr="005D7C75">
        <w:rPr>
          <w:szCs w:val="20"/>
        </w:rPr>
        <w:t>Wszelkie koszty serwisu, części, dojazdów i transportu w ramach gwarancji obciążają Wykonawcę.</w:t>
      </w:r>
    </w:p>
    <w:p w14:paraId="7C330664" w14:textId="77777777" w:rsidR="0085655F" w:rsidRPr="005D7C75" w:rsidRDefault="00CB7E42" w:rsidP="004954CC">
      <w:pPr>
        <w:spacing w:before="200" w:after="100"/>
        <w:jc w:val="center"/>
        <w:rPr>
          <w:rFonts w:ascii="Aptos" w:hAnsi="Aptos"/>
          <w:sz w:val="20"/>
          <w:szCs w:val="20"/>
        </w:rPr>
      </w:pPr>
      <w:r w:rsidRPr="005D7C75">
        <w:rPr>
          <w:b/>
          <w:bCs/>
          <w:szCs w:val="20"/>
        </w:rPr>
        <w:t>§ 8. Rękojmia</w:t>
      </w:r>
    </w:p>
    <w:p w14:paraId="4C891720" w14:textId="77777777" w:rsidR="0085655F" w:rsidRPr="005D7C75" w:rsidRDefault="00CB7E42" w:rsidP="005D7C75">
      <w:pPr>
        <w:pStyle w:val="Akapitzlist"/>
        <w:numPr>
          <w:ilvl w:val="0"/>
          <w:numId w:val="15"/>
        </w:numPr>
        <w:spacing w:after="80"/>
        <w:jc w:val="both"/>
        <w:rPr>
          <w:rFonts w:ascii="Aptos" w:hAnsi="Aptos"/>
          <w:sz w:val="20"/>
          <w:szCs w:val="20"/>
        </w:rPr>
      </w:pPr>
      <w:r w:rsidRPr="005D7C75">
        <w:rPr>
          <w:szCs w:val="20"/>
        </w:rPr>
        <w:t>Wykonawca ponosi wobec Zamawiającego pełną odpowiedzialność z tytułu rękojmi za wady fizyczne i prawne Przedmiotu Umowy na zasadach Kodeksu cywilnego, bez ograniczeń.</w:t>
      </w:r>
    </w:p>
    <w:p w14:paraId="4248F693" w14:textId="77777777" w:rsidR="0085655F" w:rsidRPr="005D7C75" w:rsidRDefault="00CB7E42" w:rsidP="005D7C75">
      <w:pPr>
        <w:pStyle w:val="Akapitzlist"/>
        <w:numPr>
          <w:ilvl w:val="0"/>
          <w:numId w:val="15"/>
        </w:numPr>
        <w:spacing w:after="80"/>
        <w:jc w:val="both"/>
        <w:rPr>
          <w:rFonts w:ascii="Aptos" w:hAnsi="Aptos"/>
          <w:sz w:val="20"/>
          <w:szCs w:val="20"/>
        </w:rPr>
      </w:pPr>
      <w:r w:rsidRPr="005D7C75">
        <w:rPr>
          <w:szCs w:val="20"/>
        </w:rPr>
        <w:t>Okres rękojmi za wady fizyczne Przedmiotu Umowy wynosi 2 lata od dnia podpisania Protokołu Odbioru Końcowego bez zastrzeżeń.</w:t>
      </w:r>
    </w:p>
    <w:p w14:paraId="042837FA" w14:textId="77777777" w:rsidR="0085655F" w:rsidRPr="005D7C75" w:rsidRDefault="00CB7E42" w:rsidP="005D7C75">
      <w:pPr>
        <w:pStyle w:val="Akapitzlist"/>
        <w:numPr>
          <w:ilvl w:val="0"/>
          <w:numId w:val="15"/>
        </w:numPr>
        <w:spacing w:after="80"/>
        <w:jc w:val="both"/>
        <w:rPr>
          <w:rFonts w:ascii="Aptos" w:hAnsi="Aptos"/>
          <w:sz w:val="20"/>
          <w:szCs w:val="20"/>
        </w:rPr>
      </w:pPr>
      <w:r w:rsidRPr="005D7C75">
        <w:rPr>
          <w:szCs w:val="20"/>
        </w:rPr>
        <w:t>Zamawiający może wykonywać uprawnienia z tytułu rękojmi niezależnie od uprawnień z gwarancji.</w:t>
      </w:r>
    </w:p>
    <w:p w14:paraId="15F82BBE" w14:textId="77777777" w:rsidR="0085655F" w:rsidRPr="005D7C75" w:rsidRDefault="00CB7E42" w:rsidP="005D7C75">
      <w:pPr>
        <w:pStyle w:val="Akapitzlist"/>
        <w:numPr>
          <w:ilvl w:val="0"/>
          <w:numId w:val="15"/>
        </w:numPr>
        <w:spacing w:after="80"/>
        <w:jc w:val="both"/>
        <w:rPr>
          <w:rFonts w:ascii="Aptos" w:hAnsi="Aptos"/>
          <w:sz w:val="20"/>
          <w:szCs w:val="20"/>
        </w:rPr>
      </w:pPr>
      <w:r w:rsidRPr="005D7C75">
        <w:rPr>
          <w:szCs w:val="20"/>
        </w:rPr>
        <w:t>Wszelkie koszty związane z realizacją uprawnień z rękojmi, w tym koszty demontażu, dostarczenia, robocizny i ponownego uruchomienia, ponosi w całości Wykonawca.</w:t>
      </w:r>
    </w:p>
    <w:p w14:paraId="6CB2DB28" w14:textId="77777777" w:rsidR="0085655F" w:rsidRPr="005D7C75" w:rsidRDefault="00CB7E42" w:rsidP="004954CC">
      <w:pPr>
        <w:spacing w:before="200" w:after="100"/>
        <w:jc w:val="center"/>
        <w:rPr>
          <w:rFonts w:ascii="Aptos" w:hAnsi="Aptos"/>
          <w:sz w:val="20"/>
          <w:szCs w:val="20"/>
        </w:rPr>
      </w:pPr>
      <w:r w:rsidRPr="005D7C75">
        <w:rPr>
          <w:b/>
          <w:bCs/>
          <w:szCs w:val="20"/>
        </w:rPr>
        <w:t>§ 9. Kary umowne</w:t>
      </w:r>
    </w:p>
    <w:p w14:paraId="248E8425" w14:textId="77777777" w:rsidR="0085655F" w:rsidRPr="005D7C75" w:rsidRDefault="00CB7E42" w:rsidP="005D7C75">
      <w:pPr>
        <w:pStyle w:val="Akapitzlist"/>
        <w:numPr>
          <w:ilvl w:val="0"/>
          <w:numId w:val="16"/>
        </w:numPr>
        <w:spacing w:after="80"/>
        <w:jc w:val="both"/>
        <w:rPr>
          <w:rFonts w:ascii="Aptos" w:hAnsi="Aptos"/>
          <w:sz w:val="20"/>
          <w:szCs w:val="20"/>
        </w:rPr>
      </w:pPr>
      <w:r w:rsidRPr="005D7C75">
        <w:rPr>
          <w:szCs w:val="20"/>
        </w:rPr>
        <w:t>Wykonawca zapłaci Zamawiającemu karę umowną:</w:t>
      </w:r>
    </w:p>
    <w:p w14:paraId="0A70479A"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 xml:space="preserve">za </w:t>
      </w:r>
      <w:r w:rsidR="00C84412" w:rsidRPr="005D7C75">
        <w:rPr>
          <w:szCs w:val="20"/>
        </w:rPr>
        <w:t>zwłokę</w:t>
      </w:r>
      <w:r w:rsidRPr="005D7C75">
        <w:rPr>
          <w:szCs w:val="20"/>
        </w:rPr>
        <w:t xml:space="preserve"> w realizacji Przedmiotu Umowy (w tym dostawy, instalacji, konfiguracji lub szkolenia) – w wysokości 0,2% całkowitego wynagrodzenia brutto za każdy rozpoczęty dzień </w:t>
      </w:r>
      <w:r w:rsidR="00C84412" w:rsidRPr="005D7C75">
        <w:rPr>
          <w:szCs w:val="20"/>
        </w:rPr>
        <w:t>zwłoki</w:t>
      </w:r>
      <w:r w:rsidRPr="005D7C75">
        <w:rPr>
          <w:szCs w:val="20"/>
        </w:rPr>
        <w:t>;</w:t>
      </w:r>
    </w:p>
    <w:p w14:paraId="10778F5A"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 xml:space="preserve">za </w:t>
      </w:r>
      <w:r w:rsidR="00C84412" w:rsidRPr="005D7C75">
        <w:rPr>
          <w:szCs w:val="20"/>
        </w:rPr>
        <w:t>zwłokę</w:t>
      </w:r>
      <w:r w:rsidRPr="005D7C75">
        <w:rPr>
          <w:szCs w:val="20"/>
        </w:rPr>
        <w:t xml:space="preserve"> w usunięciu wad stwierdzonych przy odbiorze – w wysokości 0,15% całkowitego wynagrodzenia brutto za każdy dzień </w:t>
      </w:r>
      <w:r w:rsidR="00C84412" w:rsidRPr="005D7C75">
        <w:rPr>
          <w:szCs w:val="20"/>
        </w:rPr>
        <w:t>zwłoki</w:t>
      </w:r>
      <w:r w:rsidRPr="005D7C75">
        <w:rPr>
          <w:szCs w:val="20"/>
        </w:rPr>
        <w:t>, licząc od dnia wyznaczonego na usunięcie wad;</w:t>
      </w:r>
    </w:p>
    <w:p w14:paraId="55C33035"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 xml:space="preserve">za </w:t>
      </w:r>
      <w:r w:rsidR="00C84412" w:rsidRPr="005D7C75">
        <w:rPr>
          <w:szCs w:val="20"/>
        </w:rPr>
        <w:t>zwłokę</w:t>
      </w:r>
      <w:r w:rsidRPr="005D7C75">
        <w:rPr>
          <w:szCs w:val="20"/>
        </w:rPr>
        <w:t xml:space="preserve"> w usunięciu wad w okresie gwarancji lub rękojmi – w wysokości 0,1% całkowitego wynagrodzenia brutto za każdy dzień </w:t>
      </w:r>
      <w:r w:rsidR="00C84412" w:rsidRPr="005D7C75">
        <w:rPr>
          <w:szCs w:val="20"/>
        </w:rPr>
        <w:t>zwłoki</w:t>
      </w:r>
      <w:r w:rsidRPr="005D7C75">
        <w:rPr>
          <w:szCs w:val="20"/>
        </w:rPr>
        <w:t>;</w:t>
      </w:r>
    </w:p>
    <w:p w14:paraId="3C1D4A27"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za zwłokę w podjęciu działań naprawczych (niedotrzymanie czasu reakcji NBD) – 500,00 zł za każdą rozpoczętą godzinę zwłoki względem terminów NBD wynikających z OPZ;</w:t>
      </w:r>
    </w:p>
    <w:p w14:paraId="4AB29F65"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lastRenderedPageBreak/>
        <w:t>za naruszenie – w wariancie fizycznym – rygoru dostarczenia sprzętu OT w oryginalnych, fabrycznie zamkniętych opakowaniach – 1% całkowitego wynagrodzenia brutto za każdy stwierdzony przypadek;</w:t>
      </w:r>
    </w:p>
    <w:p w14:paraId="4199CEBE"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za zwłokę w dostarczeniu dokumentacji powykonawczej – 200,00 zł za każdy rozpoczęty dzień zwłoki;</w:t>
      </w:r>
    </w:p>
    <w:p w14:paraId="449D1BD3"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za naruszenie obowiązku powiadomienia o incydencie, o którym mowa w § 13 ust. 4, z przyczyn leżących po stronie Wykonawcy – 1 000,00 zł za każdą rozpoczętą godzinę zwłoki, nie więcej niż 10 000,00 zł z tytułu jednego incydentu;</w:t>
      </w:r>
    </w:p>
    <w:p w14:paraId="5A414E75"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za naruszenie zasad poufności lub nieautoryzowany dostęp do sieci OT – 50 000,00 zł za każde zdarzenie;</w:t>
      </w:r>
    </w:p>
    <w:p w14:paraId="166BD26C" w14:textId="77777777" w:rsidR="0085655F" w:rsidRPr="005D7C75" w:rsidRDefault="00CB7E42" w:rsidP="005D7C75">
      <w:pPr>
        <w:pStyle w:val="Akapitzlist"/>
        <w:numPr>
          <w:ilvl w:val="0"/>
          <w:numId w:val="17"/>
        </w:numPr>
        <w:spacing w:after="80"/>
        <w:jc w:val="both"/>
        <w:rPr>
          <w:rFonts w:ascii="Aptos" w:hAnsi="Aptos"/>
          <w:sz w:val="20"/>
          <w:szCs w:val="20"/>
        </w:rPr>
      </w:pPr>
      <w:r w:rsidRPr="005D7C75">
        <w:rPr>
          <w:szCs w:val="20"/>
        </w:rPr>
        <w:t>z tytułu odstąpienia od Umowy z przyczyn leżących po stronie Wykonawcy – 20% całkowitego wynagrodzenia brutto.</w:t>
      </w:r>
    </w:p>
    <w:p w14:paraId="41742CA3" w14:textId="77777777" w:rsidR="0085655F" w:rsidRPr="005D7C75" w:rsidRDefault="00CB7E42" w:rsidP="005D7C75">
      <w:pPr>
        <w:pStyle w:val="Akapitzlist"/>
        <w:numPr>
          <w:ilvl w:val="0"/>
          <w:numId w:val="16"/>
        </w:numPr>
        <w:spacing w:after="80"/>
        <w:jc w:val="both"/>
        <w:rPr>
          <w:rFonts w:ascii="Aptos" w:hAnsi="Aptos"/>
          <w:sz w:val="20"/>
          <w:szCs w:val="20"/>
        </w:rPr>
      </w:pPr>
      <w:r w:rsidRPr="005D7C75">
        <w:rPr>
          <w:szCs w:val="20"/>
        </w:rPr>
        <w:t>Łączna maksymalna wysokość kar umownych, których Strony mogą dochodzić, wynosi 30% całkowitego wynagrodzenia brutto. Pułap ten obejmuje wszystkie kary umowne zastrzeżone w Umowie, w tym kary z ust. 1 lit. g) i lit. h), karę z § 7 ust. 6 oraz karę z § 13 ust. 3. Kary umowne zastrzeżone za to samo zdarzenie nie podlegają kumulacji; w razie zbiegu podstaw naliczenia Zamawiający nalicza wyłącznie karę wyższą.</w:t>
      </w:r>
    </w:p>
    <w:p w14:paraId="20E133EC" w14:textId="77777777" w:rsidR="0085655F" w:rsidRPr="005D7C75" w:rsidRDefault="00CB7E42" w:rsidP="005D7C75">
      <w:pPr>
        <w:pStyle w:val="Akapitzlist"/>
        <w:numPr>
          <w:ilvl w:val="0"/>
          <w:numId w:val="16"/>
        </w:numPr>
        <w:spacing w:after="80"/>
        <w:jc w:val="both"/>
        <w:rPr>
          <w:rFonts w:ascii="Aptos" w:hAnsi="Aptos"/>
          <w:sz w:val="20"/>
          <w:szCs w:val="20"/>
        </w:rPr>
      </w:pPr>
      <w:r w:rsidRPr="005D7C75">
        <w:rPr>
          <w:szCs w:val="20"/>
        </w:rPr>
        <w:t>Zamawiający ma prawo dochodzić odszkodowania uzupełniającego na zasadach ogólnych Kodeksu cywilnego, jeżeli szkoda przewyższy wysokość zastrzeżonych kar umownych.</w:t>
      </w:r>
    </w:p>
    <w:p w14:paraId="7A919BE1" w14:textId="77777777" w:rsidR="0085655F" w:rsidRPr="005D7C75" w:rsidRDefault="00CB7E42" w:rsidP="005D7C75">
      <w:pPr>
        <w:pStyle w:val="Akapitzlist"/>
        <w:numPr>
          <w:ilvl w:val="0"/>
          <w:numId w:val="16"/>
        </w:numPr>
        <w:spacing w:after="80"/>
        <w:jc w:val="both"/>
        <w:rPr>
          <w:rFonts w:ascii="Aptos" w:hAnsi="Aptos"/>
          <w:sz w:val="20"/>
          <w:szCs w:val="20"/>
        </w:rPr>
      </w:pPr>
      <w:r w:rsidRPr="005D7C75">
        <w:rPr>
          <w:szCs w:val="20"/>
        </w:rPr>
        <w:t>Zamawiający jest uprawniony do potrącenia zasadnie naliczonych kar umownych z wynagrodzenia Wykonawcy, na co Wykonawca wyraża zgodę. Oświadczenie o potrąceniu jest składane na piśmie z uzasadnieniem.</w:t>
      </w:r>
    </w:p>
    <w:p w14:paraId="3F15FAF4" w14:textId="77777777" w:rsidR="0085655F" w:rsidRPr="005D7C75" w:rsidRDefault="00CB7E42" w:rsidP="005D7C75">
      <w:pPr>
        <w:pStyle w:val="Akapitzlist"/>
        <w:numPr>
          <w:ilvl w:val="0"/>
          <w:numId w:val="16"/>
        </w:numPr>
        <w:spacing w:after="80"/>
        <w:jc w:val="both"/>
        <w:rPr>
          <w:rFonts w:ascii="Aptos" w:hAnsi="Aptos"/>
          <w:sz w:val="20"/>
          <w:szCs w:val="20"/>
        </w:rPr>
      </w:pPr>
      <w:r w:rsidRPr="005D7C75">
        <w:rPr>
          <w:szCs w:val="20"/>
        </w:rPr>
        <w:t>Zapłata kary umownej nie zwalnia Wykonawcy z obowiązku wykonania Przedmiotu Umowy.</w:t>
      </w:r>
    </w:p>
    <w:p w14:paraId="494931FD" w14:textId="77777777" w:rsidR="0085655F" w:rsidRPr="005D7C75" w:rsidRDefault="00CB7E42" w:rsidP="004954CC">
      <w:pPr>
        <w:spacing w:before="200" w:after="100"/>
        <w:jc w:val="center"/>
        <w:rPr>
          <w:rFonts w:ascii="Aptos" w:hAnsi="Aptos"/>
          <w:sz w:val="20"/>
          <w:szCs w:val="20"/>
        </w:rPr>
      </w:pPr>
      <w:r w:rsidRPr="005D7C75">
        <w:rPr>
          <w:b/>
          <w:bCs/>
          <w:szCs w:val="20"/>
        </w:rPr>
        <w:t>§ 10. Obowiązki Wykonawcy</w:t>
      </w:r>
    </w:p>
    <w:p w14:paraId="180F9E77"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Cs w:val="20"/>
        </w:rPr>
        <w:t>Wykonawca zobowiązuje się do realizacji Przedmiotu Umowy z zachowaniem najwyższej staranności, zgodnie z OPZ, zasadami sztuki technicznej, normami IEC 62443 oraz przepisami powszechnie obowiązującego prawa.</w:t>
      </w:r>
    </w:p>
    <w:p w14:paraId="2A3EEFC2"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Cs w:val="20"/>
        </w:rPr>
        <w:t>Wykonawca zobowiązuje się do:</w:t>
      </w:r>
    </w:p>
    <w:p w14:paraId="4B80A59D"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dostarczenia i uruchomienia stacji przesiadkowej OT w siedzibie Zamawiającego albo w jego środowisku wirtualizacyjnym;</w:t>
      </w:r>
    </w:p>
    <w:p w14:paraId="215E6475"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wykonania prac bez powodowania nieuzgodnionych przerw w pracy sieci OT i obiektów technologicznych;</w:t>
      </w:r>
    </w:p>
    <w:p w14:paraId="3D40AFF9"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wykonania hardeningu posiadanego systemu OT/IIoT oraz systemów IT/SCADA w oparciu o CIS Benchmarks, rekomendacje NIST SP 800-82 dla środowisk OT/ICS oraz dokumentację producentów;</w:t>
      </w:r>
    </w:p>
    <w:p w14:paraId="75ABCAA1"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uruchomienia i utrzymania usługi prywatnego APN oraz świadczenia usługi Utrzymania przez 36 miesięcy na warunkach określonych w OPZ i w § 7;</w:t>
      </w:r>
    </w:p>
    <w:p w14:paraId="5A898743"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przeprowadzenia szkolenia personelu Zamawiającego w wymiarze co najmniej 2 dni oraz sporządzenia raportu z audytu bezpieczeństwa;</w:t>
      </w:r>
    </w:p>
    <w:p w14:paraId="6916EA15"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przekazania Zamawiającemu wszelkich haseł i danych dostępowych do urządzeń i systemów;</w:t>
      </w:r>
    </w:p>
    <w:p w14:paraId="2F1F122E" w14:textId="77777777" w:rsidR="0085655F" w:rsidRPr="005D7C75" w:rsidRDefault="00CB7E42" w:rsidP="005D7C75">
      <w:pPr>
        <w:pStyle w:val="Akapitzlist"/>
        <w:numPr>
          <w:ilvl w:val="0"/>
          <w:numId w:val="19"/>
        </w:numPr>
        <w:spacing w:after="80"/>
        <w:jc w:val="both"/>
        <w:rPr>
          <w:rFonts w:ascii="Aptos" w:hAnsi="Aptos"/>
          <w:sz w:val="20"/>
          <w:szCs w:val="20"/>
        </w:rPr>
      </w:pPr>
      <w:r w:rsidRPr="005D7C75">
        <w:rPr>
          <w:szCs w:val="20"/>
        </w:rPr>
        <w:t>sporządzenia i przekazania dokumentacji powykonawczej opisującej konfigurację urządzeń, schematy sieci OT i instrukcje obsługi – w terminie 14 dni od zakończenia wdrożenia danej Grupy.</w:t>
      </w:r>
    </w:p>
    <w:p w14:paraId="56092D6D"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 w:val="20"/>
          <w:szCs w:val="20"/>
        </w:rPr>
        <w:lastRenderedPageBreak/>
        <w:t>Wykonawca nie może samodzielnie powiadamiać organów zewnętrznych (CSIRT, organy ścigania, media) o incydentach w infrastrukturze OT Zamawiającego bez uprzedniej pisemnej zgody Zamawiającego, chyba że obowiązek taki wynika wprost z przepisów prawa.</w:t>
      </w:r>
    </w:p>
    <w:p w14:paraId="392089B6"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 w:val="20"/>
          <w:szCs w:val="20"/>
        </w:rPr>
        <w:t>Wykonawca zobowiązuje się do dopuszczenia do realizacji prac w sieci OT wyłącznie osób przeszkolonych w zakresie bezpieczeństwa systemów automatyki przemysłowej i zobowiązanych do zachowania poufności.</w:t>
      </w:r>
    </w:p>
    <w:p w14:paraId="304FE029"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 w:val="20"/>
          <w:szCs w:val="20"/>
        </w:rPr>
        <w:t>Każdorazowy dostęp zdalny Wykonawcy do infrastruktury OT wymaga uprzedniej zgody pracownika merytorycznego Zamawiającego i odbywa się wyłącznie przez bezpieczne, szyfrowane połączenie (VPN) z silnym uwierzytelnianiem (MFA).</w:t>
      </w:r>
    </w:p>
    <w:p w14:paraId="035764F5"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 w:val="20"/>
          <w:szCs w:val="20"/>
        </w:rPr>
        <w:t>W celu umożliwienia Zamawiającemu realizacji obowiązku, o którym mowa w art. 8f ustawy z dnia 5 lipca 2018 r. o krajowym systemie cyberbezpieczeństwa (t.j. Dz.U. z 2026 r. poz. 20, ze zm., dalej: „ustawa o KSC”), Wykonawca najpóźniej na 3 dni robocze przed skierowaniem danej osoby do prac w infrastrukturze IT lub OT Zamawiającego przedkłada aktualną informację o tej osobie z Krajowego Rejestru Karnego stwierdzającą niekaralność za przestępstwa przeciwko ochronie informacji albo ważne poświadczenie bezpieczeństwa upoważniające do dostępu do informacji niejawnych o klauzuli „poufne” lub wyższej. Informacja z KRK w dacie przedłożenia nie może być starsza niż 6 miesięcy.</w:t>
      </w:r>
    </w:p>
    <w:p w14:paraId="4AC8B93C"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 w:val="20"/>
          <w:szCs w:val="20"/>
        </w:rPr>
        <w:t>Zamawiający ma prawo odmówić dopuszczenia do prac osoby, wobec której nie przedłożono dokumentu, o którym mowa w ust. 6, lub z którego treści wynika skazanie za przestępstwa przeciwko ochronie informacji. Niedopuszczenie takiej osoby nie stanowi opóźnienia po stronie Zamawiającego i nie przedłuża terminu realizacji Umowy.</w:t>
      </w:r>
    </w:p>
    <w:p w14:paraId="11770F69"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Cs w:val="20"/>
        </w:rPr>
        <w:t>Wykonawca realizuje prace z zachowaniem następujących warunków obligatoryjnych: bez wymiany sprzętu automatyki przemysłowej (PLC, sterowniki, moduły telemetryczne, sensory); bez modyfikacji programów sterujących PLC, programów SCADA oraz konfiguracji urządzeń automatyki, poza rekonfiguracją parametrów transmisji danych i ustawień związanych z bezpieczeństwem; bez przestojów urządzeń technicznych i obiektów; z dostępem do systemów monitoringu wyłącznie przez VPN do systemu centralnego w infrastrukturze Zamawiającego.</w:t>
      </w:r>
    </w:p>
    <w:p w14:paraId="1F96F61B" w14:textId="77777777" w:rsidR="0085655F" w:rsidRPr="005D7C75" w:rsidRDefault="00CB7E42" w:rsidP="005D7C75">
      <w:pPr>
        <w:pStyle w:val="Akapitzlist"/>
        <w:numPr>
          <w:ilvl w:val="0"/>
          <w:numId w:val="18"/>
        </w:numPr>
        <w:spacing w:after="80"/>
        <w:jc w:val="both"/>
        <w:rPr>
          <w:rFonts w:ascii="Aptos" w:hAnsi="Aptos"/>
          <w:sz w:val="20"/>
          <w:szCs w:val="20"/>
        </w:rPr>
      </w:pPr>
      <w:r w:rsidRPr="005D7C75">
        <w:rPr>
          <w:szCs w:val="20"/>
        </w:rPr>
        <w:t>Transmisja danych odbywa się wyłącznie przez prywatny APN albo dedykowane, szyfrowane tunele VPN. Zamawiający nie dopuszcza transmisji danych niezabezpieczonych ani udostępniania usług przez publiczną sieć Internet.</w:t>
      </w:r>
    </w:p>
    <w:p w14:paraId="7D6C1DCE" w14:textId="77777777" w:rsidR="0085655F" w:rsidRPr="005D7C75" w:rsidRDefault="00CB7E42" w:rsidP="004954CC">
      <w:pPr>
        <w:spacing w:before="200" w:after="100"/>
        <w:jc w:val="center"/>
        <w:rPr>
          <w:rFonts w:ascii="Aptos" w:hAnsi="Aptos"/>
          <w:sz w:val="20"/>
          <w:szCs w:val="20"/>
        </w:rPr>
      </w:pPr>
      <w:r w:rsidRPr="005D7C75">
        <w:rPr>
          <w:b/>
          <w:bCs/>
          <w:szCs w:val="20"/>
        </w:rPr>
        <w:t>§ 11. Zobowiązania związane z finansowaniem KPO</w:t>
      </w:r>
    </w:p>
    <w:p w14:paraId="37C06A49" w14:textId="77777777" w:rsidR="0085655F" w:rsidRPr="005D7C75" w:rsidRDefault="00CB7E42" w:rsidP="005D7C75">
      <w:pPr>
        <w:pStyle w:val="Akapitzlist"/>
        <w:numPr>
          <w:ilvl w:val="0"/>
          <w:numId w:val="20"/>
        </w:numPr>
        <w:spacing w:after="80"/>
        <w:jc w:val="both"/>
        <w:rPr>
          <w:rFonts w:ascii="Aptos" w:hAnsi="Aptos"/>
          <w:sz w:val="20"/>
          <w:szCs w:val="20"/>
        </w:rPr>
      </w:pPr>
      <w:r w:rsidRPr="005D7C75">
        <w:rPr>
          <w:szCs w:val="20"/>
        </w:rPr>
        <w:t>Wykonawca oświadcza, że zapoznał się z faktem finansowania zamówienia ze środków KPO i zobowiązuje się do przestrzegania wszelkich wymogów z tym związanych, w tym do:</w:t>
      </w:r>
    </w:p>
    <w:p w14:paraId="6BBA557F" w14:textId="77777777" w:rsidR="0085655F" w:rsidRPr="005D7C75" w:rsidRDefault="00CB7E42" w:rsidP="005D7C75">
      <w:pPr>
        <w:pStyle w:val="Akapitzlist"/>
        <w:numPr>
          <w:ilvl w:val="0"/>
          <w:numId w:val="21"/>
        </w:numPr>
        <w:spacing w:after="80"/>
        <w:jc w:val="both"/>
        <w:rPr>
          <w:rFonts w:ascii="Aptos" w:hAnsi="Aptos"/>
          <w:sz w:val="20"/>
          <w:szCs w:val="20"/>
        </w:rPr>
      </w:pPr>
      <w:r w:rsidRPr="005D7C75">
        <w:rPr>
          <w:szCs w:val="20"/>
        </w:rPr>
        <w:t>zapewnienia zgodności Przedmiotu Umowy z zasadą DNSH (Do No Significant Harm) oraz zasadami kwalifikowalności wydatków;</w:t>
      </w:r>
    </w:p>
    <w:p w14:paraId="666EE750" w14:textId="77777777" w:rsidR="0085655F" w:rsidRPr="005D7C75" w:rsidRDefault="00CB7E42" w:rsidP="005D7C75">
      <w:pPr>
        <w:pStyle w:val="Akapitzlist"/>
        <w:numPr>
          <w:ilvl w:val="0"/>
          <w:numId w:val="21"/>
        </w:numPr>
        <w:spacing w:after="80"/>
        <w:jc w:val="both"/>
        <w:rPr>
          <w:rFonts w:ascii="Aptos" w:hAnsi="Aptos"/>
          <w:sz w:val="20"/>
          <w:szCs w:val="20"/>
        </w:rPr>
      </w:pPr>
      <w:r w:rsidRPr="005D7C75">
        <w:rPr>
          <w:szCs w:val="20"/>
        </w:rPr>
        <w:t>potwierdzenia, że Wykonawca, jego podwykonawcy i dostawcy nie są objęci sankcjami w związku z agresją Rosji na Ukrainę (ustawa z dnia 13 kwietnia 2022 r.);</w:t>
      </w:r>
    </w:p>
    <w:p w14:paraId="47ACE3C5" w14:textId="77777777" w:rsidR="0085655F" w:rsidRPr="005D7C75" w:rsidRDefault="00CB7E42" w:rsidP="005D7C75">
      <w:pPr>
        <w:pStyle w:val="Akapitzlist"/>
        <w:numPr>
          <w:ilvl w:val="0"/>
          <w:numId w:val="21"/>
        </w:numPr>
        <w:spacing w:after="80"/>
        <w:jc w:val="both"/>
        <w:rPr>
          <w:rFonts w:ascii="Aptos" w:hAnsi="Aptos"/>
          <w:sz w:val="20"/>
          <w:szCs w:val="20"/>
        </w:rPr>
      </w:pPr>
      <w:r w:rsidRPr="005D7C75">
        <w:rPr>
          <w:szCs w:val="20"/>
        </w:rPr>
        <w:t>umożliwienia uprawnionym instytucjom (CPPC, NASK-PIB, Komisja Europejska, OLAF, Trybunał Obrachunkowy, NIK) wglądu w dokumenty i przeprowadzenia kontroli przez cały wymagany okres archiwizacji;</w:t>
      </w:r>
    </w:p>
    <w:p w14:paraId="4EAAD222" w14:textId="77777777" w:rsidR="0085655F" w:rsidRPr="005D7C75" w:rsidRDefault="00CB7E42" w:rsidP="005D7C75">
      <w:pPr>
        <w:pStyle w:val="Akapitzlist"/>
        <w:numPr>
          <w:ilvl w:val="0"/>
          <w:numId w:val="21"/>
        </w:numPr>
        <w:spacing w:after="80"/>
        <w:jc w:val="both"/>
        <w:rPr>
          <w:rFonts w:ascii="Aptos" w:hAnsi="Aptos"/>
          <w:sz w:val="20"/>
          <w:szCs w:val="20"/>
        </w:rPr>
      </w:pPr>
      <w:r w:rsidRPr="005D7C75">
        <w:rPr>
          <w:szCs w:val="20"/>
        </w:rPr>
        <w:t>zapewnienia kompatybilności dostarczonych rozwiązań z mechanizmami zgłaszania i obsługi incydentów w systemie teleinformatycznym, o którym mowa w art. 46 ustawy o KSC – potwierdzonej protokolarnie w terminie 30 dni od Odbioru Częściowego Grupy 1, nie później niż 30 listopada 2026 r.</w:t>
      </w:r>
    </w:p>
    <w:p w14:paraId="0A4C4CD4" w14:textId="77777777" w:rsidR="0085655F" w:rsidRPr="005D7C75" w:rsidRDefault="00CB7E42" w:rsidP="005D7C75">
      <w:pPr>
        <w:pStyle w:val="Akapitzlist"/>
        <w:numPr>
          <w:ilvl w:val="0"/>
          <w:numId w:val="20"/>
        </w:numPr>
        <w:spacing w:after="80"/>
        <w:jc w:val="both"/>
        <w:rPr>
          <w:rFonts w:ascii="Aptos" w:hAnsi="Aptos"/>
          <w:sz w:val="20"/>
          <w:szCs w:val="20"/>
        </w:rPr>
      </w:pPr>
      <w:r w:rsidRPr="005D7C75">
        <w:rPr>
          <w:szCs w:val="20"/>
        </w:rPr>
        <w:t>Wykonawca zobowiązuje się do współpracy z Zamawiającym w zakresie dostarczania informacji niezbędnych do raportowania postępów realizacji Przedsięwzięcia do CPPC i NASK-PIB.</w:t>
      </w:r>
    </w:p>
    <w:p w14:paraId="2C2C18C4" w14:textId="77777777" w:rsidR="0085655F" w:rsidRPr="005D7C75" w:rsidRDefault="00CB7E42" w:rsidP="005D7C75">
      <w:pPr>
        <w:pStyle w:val="Akapitzlist"/>
        <w:numPr>
          <w:ilvl w:val="0"/>
          <w:numId w:val="20"/>
        </w:numPr>
        <w:spacing w:after="80"/>
        <w:jc w:val="both"/>
        <w:rPr>
          <w:rFonts w:ascii="Aptos" w:hAnsi="Aptos"/>
          <w:sz w:val="20"/>
          <w:szCs w:val="20"/>
        </w:rPr>
      </w:pPr>
      <w:r w:rsidRPr="005D7C75">
        <w:rPr>
          <w:szCs w:val="20"/>
        </w:rPr>
        <w:lastRenderedPageBreak/>
        <w:t>Dokumentacja związana z realizacją Umowy przechowywana jest przez Wykonawcę przez okres co najmniej 5 lat od daty płatności końcowej w projekcie. Bieg okresu jest wstrzymywany w przypadku wszczęcia postępowania prawnego.</w:t>
      </w:r>
    </w:p>
    <w:p w14:paraId="32BED013" w14:textId="77777777" w:rsidR="0085655F" w:rsidRPr="005D7C75" w:rsidRDefault="00CB7E42" w:rsidP="005D7C75">
      <w:pPr>
        <w:pStyle w:val="Akapitzlist"/>
        <w:numPr>
          <w:ilvl w:val="0"/>
          <w:numId w:val="20"/>
        </w:numPr>
        <w:spacing w:after="80"/>
        <w:jc w:val="both"/>
        <w:rPr>
          <w:rFonts w:ascii="Aptos" w:hAnsi="Aptos"/>
          <w:sz w:val="20"/>
          <w:szCs w:val="20"/>
        </w:rPr>
      </w:pPr>
      <w:r w:rsidRPr="005D7C75">
        <w:rPr>
          <w:szCs w:val="20"/>
        </w:rPr>
        <w:t>Wykonawca zobowiązuje się do przekazania Zamawiającemu, nie później niż w dniu podpisania Protokołu Odbioru Końcowego, pisemnego zestawienia danych wskaźnikowych obejmującego: modele i numery seryjne całego dostarczonego sprzętu OT, numery aktywacyjne i daty ważności wszystkich licencji i subskrypcji, zakres konfiguracji oraz potwierdzenie aktywacji poszczególnych modułów bezpieczeństwa. Brak zestawienia stanowi podstawę do wstrzymania odbioru.</w:t>
      </w:r>
    </w:p>
    <w:p w14:paraId="5D413D92" w14:textId="77777777" w:rsidR="0085655F" w:rsidRPr="005D7C75" w:rsidRDefault="00CB7E42" w:rsidP="005D7C75">
      <w:pPr>
        <w:pStyle w:val="Akapitzlist"/>
        <w:numPr>
          <w:ilvl w:val="0"/>
          <w:numId w:val="20"/>
        </w:numPr>
        <w:spacing w:after="80"/>
        <w:jc w:val="both"/>
        <w:rPr>
          <w:rFonts w:ascii="Aptos" w:hAnsi="Aptos"/>
          <w:sz w:val="20"/>
          <w:szCs w:val="20"/>
        </w:rPr>
      </w:pPr>
      <w:r w:rsidRPr="005D7C75">
        <w:rPr>
          <w:szCs w:val="20"/>
        </w:rPr>
        <w:t>Wykonawca przyjmuje do wiadomości, że jednostki finansujące (CPPC/NASK) mogą wykorzystywać systemy informatyczne, w tym systemy Arachne i SKANER, do weryfikacji realizacji projektu.</w:t>
      </w:r>
    </w:p>
    <w:p w14:paraId="2AE3ED9F" w14:textId="77777777" w:rsidR="0085655F" w:rsidRPr="005D7C75" w:rsidRDefault="00CB7E42" w:rsidP="004954CC">
      <w:pPr>
        <w:spacing w:before="200" w:after="100"/>
        <w:jc w:val="center"/>
        <w:rPr>
          <w:rFonts w:ascii="Aptos" w:hAnsi="Aptos"/>
          <w:sz w:val="20"/>
          <w:szCs w:val="20"/>
        </w:rPr>
      </w:pPr>
      <w:r w:rsidRPr="005D7C75">
        <w:rPr>
          <w:b/>
          <w:bCs/>
          <w:szCs w:val="20"/>
        </w:rPr>
        <w:t>§ 12. Waloryzacja wynagrodzenia</w:t>
      </w:r>
    </w:p>
    <w:p w14:paraId="051FAF9A"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Umowa jest zawarta na okres dłuższy niż 12 miesięcy (usługa Utrzymania świadczona przez 36 miesięcy od dnia podpisania Protokołu Odbioru Końcowego). Strony wprowadzają zasady zmiany wysokości wynagrodzenia wymagane przez art. 439 ust. 1 i 2 oraz art. 436 pkt 4 ustawy Pzp, określone w ust. 2–8 poniżej.</w:t>
      </w:r>
    </w:p>
    <w:p w14:paraId="2BA05B52"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Waloryzacja dotyczy wyłącznie części wynagrodzenia przypadającej na usługę Utrzymania (Grupa 3), niewykonanej na dzień złożenia wniosku o zmianę wynagrodzenia.</w:t>
      </w:r>
    </w:p>
    <w:p w14:paraId="41DC315B"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Podstawą waloryzacji jest wskaźnik cen towarów i usług konsumpcyjnych ogłaszany w komunikacie Prezesa Głównego Urzędu Statystycznego (wskaźnik roczny). Strony są uprawnione do żądania zmiany wynagrodzenia, jeżeli narastająca zmiana tego wskaźnika, liczona od początkowego terminu ustalenia zmiany wynagrodzenia, przekroczy 5 punktów procentowych.</w:t>
      </w:r>
    </w:p>
    <w:p w14:paraId="375E3E5C"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Początkowym terminem ustalenia zmiany wynagrodzenia jest dzień zawarcia Umowy, a jeżeli Umowa została zawarta po upływie 180 dni od dnia upływu terminu składania ofert – dzień otwarcia ofert (art. 439 ust. 3 ustawy Pzp). Pierwszy wniosek o zmianę wynagrodzenia może zostać złożony nie wcześniej niż po upływie 12 miesięcy od tego terminu, a kolejne – nie częściej niż raz na 12 miesięcy.</w:t>
      </w:r>
    </w:p>
    <w:p w14:paraId="358B2225"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Zmiana wynagrodzenia następuje o wartość odpowiadającą iloczynowi wartości niewykonanej części usługi Utrzymania oraz zmiany wskaźnika, o którym mowa w ust. 3, ponad progiem 5 punktów procentowych. Strona wnioskująca przedstawia kalkulację wraz z dokumentami wykazującymi wpływ zmiany na koszt wykonania zamówienia. Zmiana obejmuje zarówno wzrost, jak i obniżenie cen lub kosztów (art. 439 ust. 4 ustawy Pzp).</w:t>
      </w:r>
    </w:p>
    <w:p w14:paraId="35A9AD4C"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Maksymalna łączna wartość zmiany wynagrodzenia dopuszczona przez Zamawiającego w efekcie zastosowania ust. 2–5 wynosi 5% wynagrodzenia brutto określonego w § 4 ust. 1.</w:t>
      </w:r>
    </w:p>
    <w:p w14:paraId="496A1DDE"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t>Zamawiający dopuszcza zmianę wysokości wynagrodzenia również w przypadku zmiany: stawki podatku od towarów i usług oraz podatku akcyzowego; wysokości minimalnego wynagrodzenia za pracę albo wysokości minimalnej stawki godzinowej, ustalonych na podstawie ustawy z dnia 10 października 2002 r. o minimalnym wynagrodzeniu za pracę; zasad podlegania ubezpieczeniom społecznym lub ubezpieczeniu zdrowotnemu lub wysokości stawki składki na te ubezpieczenia; zasad gromadzenia i wysokości wpłat do pracowniczych planów kapitałowych – jeżeli zmiany te będą miały wpływ na koszt wykonania zamówienia przez Wykonawcę (art. 436 pkt 4 lit. b ustawy Pzp). Wykonawca składa wniosek wraz z kalkulacją wykazującą wpływ zmiany na koszt wykonania zamówienia; zmiana obowiązuje od dnia wejścia w życie zmienionych przepisów, nie wcześniej jednak niż od dnia złożenia kompletnego wniosku.</w:t>
      </w:r>
    </w:p>
    <w:p w14:paraId="07089EA6" w14:textId="77777777" w:rsidR="0085655F" w:rsidRPr="005D7C75" w:rsidRDefault="00CB7E42" w:rsidP="005D7C75">
      <w:pPr>
        <w:pStyle w:val="Akapitzlist"/>
        <w:numPr>
          <w:ilvl w:val="0"/>
          <w:numId w:val="22"/>
        </w:numPr>
        <w:spacing w:after="80"/>
        <w:jc w:val="both"/>
        <w:rPr>
          <w:rFonts w:ascii="Aptos" w:hAnsi="Aptos"/>
          <w:sz w:val="20"/>
          <w:szCs w:val="20"/>
        </w:rPr>
      </w:pPr>
      <w:r w:rsidRPr="005D7C75">
        <w:rPr>
          <w:szCs w:val="20"/>
        </w:rPr>
        <w:lastRenderedPageBreak/>
        <w:t>Wykonawca, którego wynagrodzenie zostało zmienione zgodnie z ust. 2–6, zobowiązany jest do zmiany wynagrodzenia przysługującego podwykonawcy, z którym zawarł umowę o podwykonawstwo, jeżeli spełnione są przesłanki określone w art. 439 ust. 5 ustawy Pzp. Za brak zapłaty lub nieterminową zapłatę wynagrodzenia należnego podwykonawcy z tytułu zmiany wysokości wynagrodzenia, o której mowa w art. 439 ust. 5 ustawy Pzp, Wykonawca zapłaci Zamawiającemu karę umowną w wysokości 0,1% wynagrodzenia brutto za każdy rozpoczęty dzień zwłoki, nie więcej niż 2% wynagrodzenia brutto; kara ta jest objęta łącznym pułapem, o którym mowa w § 9 ust. 2 (art. 436 pkt 4 lit. a ustawy Pzp).</w:t>
      </w:r>
    </w:p>
    <w:p w14:paraId="70BB0757" w14:textId="77777777" w:rsidR="0085655F" w:rsidRPr="005D7C75" w:rsidRDefault="00CB7E42" w:rsidP="004954CC">
      <w:pPr>
        <w:spacing w:before="200" w:after="100"/>
        <w:jc w:val="center"/>
        <w:rPr>
          <w:rFonts w:ascii="Aptos" w:hAnsi="Aptos"/>
          <w:sz w:val="20"/>
          <w:szCs w:val="20"/>
        </w:rPr>
      </w:pPr>
      <w:r w:rsidRPr="005D7C75">
        <w:rPr>
          <w:b/>
          <w:bCs/>
          <w:szCs w:val="20"/>
        </w:rPr>
        <w:t>§ 13. Ocena ryzyka łańcucha dostaw i współpraca incydentowa (art. 8 ust. 1 pkt 2 lit. e i art. 11 ustawy o KSC)</w:t>
      </w:r>
    </w:p>
    <w:p w14:paraId="521587EB" w14:textId="77777777" w:rsidR="0085655F" w:rsidRPr="005D7C75" w:rsidRDefault="00CB7E42" w:rsidP="005D7C75">
      <w:pPr>
        <w:pStyle w:val="Akapitzlist"/>
        <w:numPr>
          <w:ilvl w:val="0"/>
          <w:numId w:val="23"/>
        </w:numPr>
        <w:spacing w:after="80"/>
        <w:jc w:val="both"/>
        <w:rPr>
          <w:rFonts w:ascii="Aptos" w:hAnsi="Aptos"/>
          <w:sz w:val="20"/>
          <w:szCs w:val="20"/>
        </w:rPr>
      </w:pPr>
      <w:r w:rsidRPr="005D7C75">
        <w:rPr>
          <w:sz w:val="20"/>
          <w:szCs w:val="20"/>
        </w:rPr>
        <w:t>Wykonawca oświadcza, że na dzień zawarcia Umowy ani producenci dostarczanych rozwiązań, ani same rozwiązania nie są objęci: a) decyzją o uznaniu za dostawcę wysokiego ryzyka, o której mowa w art. 67b ust. 15 ustawy o KSC, ogłoszoną w Dzienniku Urzędowym Rzeczypospolitej Polskiej „Monitor Polski” i opublikowaną w Biuletynie Informacji Publicznej ministra właściwego do spraw informatyzacji (art. 67b ust. 17 ustawy o KSC); b) rekomendacją, o której mowa w art. 33 ust. 4 ustawy o KSC; c) sankcjami Unii Europejskiej ani sankcjami ustanowionymi ustawą z dnia 13 kwietnia 2022 r. o szczególnych rozwiązaniach w zakresie przeciwdziałania wspieraniu agresji na Ukrainę oraz służących ochronie bezpieczeństwa narodowego.</w:t>
      </w:r>
    </w:p>
    <w:p w14:paraId="1F0C3131" w14:textId="77777777" w:rsidR="0085655F" w:rsidRPr="005D7C75" w:rsidRDefault="00CB7E42" w:rsidP="005D7C75">
      <w:pPr>
        <w:pStyle w:val="Akapitzlist"/>
        <w:numPr>
          <w:ilvl w:val="0"/>
          <w:numId w:val="23"/>
        </w:numPr>
        <w:spacing w:after="80"/>
        <w:jc w:val="both"/>
        <w:rPr>
          <w:rFonts w:ascii="Aptos" w:hAnsi="Aptos"/>
          <w:sz w:val="20"/>
          <w:szCs w:val="20"/>
        </w:rPr>
      </w:pPr>
      <w:r w:rsidRPr="005D7C75">
        <w:rPr>
          <w:sz w:val="20"/>
          <w:szCs w:val="20"/>
        </w:rPr>
        <w:t>W przypadku ogłoszenia po dniu zawarcia Umowy decyzji lub rekomendacji, o których mowa w ust. 1 lit. a) lub b), obejmującej producenta lub rozwiązanie objęte przedmiotem Umowy, Wykonawca powiadamia Zamawiającego pisemnie w terminie 3 dni roboczych od dnia jej ogłoszenia. Strony postępują wówczas zgodnie z § 15 ust. 6.</w:t>
      </w:r>
    </w:p>
    <w:p w14:paraId="31C7F114" w14:textId="77777777" w:rsidR="0085655F" w:rsidRPr="005D7C75" w:rsidRDefault="00CB7E42" w:rsidP="005D7C75">
      <w:pPr>
        <w:pStyle w:val="Akapitzlist"/>
        <w:numPr>
          <w:ilvl w:val="0"/>
          <w:numId w:val="23"/>
        </w:numPr>
        <w:spacing w:after="80"/>
        <w:jc w:val="both"/>
        <w:rPr>
          <w:rFonts w:ascii="Aptos" w:hAnsi="Aptos"/>
          <w:sz w:val="20"/>
          <w:szCs w:val="20"/>
        </w:rPr>
      </w:pPr>
      <w:r w:rsidRPr="005D7C75">
        <w:rPr>
          <w:szCs w:val="20"/>
        </w:rPr>
        <w:t>Złożenie przez Wykonawcę oświadczenia niezgodnego z prawdą w zakresie ust. 1 stanowi rażące naruszenie Umowy i uprawnia Zamawiającego do odstąpienia ze skutkiem natychmiastowym – w terminie 30 dni od dnia powzięcia wiedzy o tej okoliczności – oraz do żądania kary umownej w wysokości 10% wynagrodzenia brutto, w ramach łącznego pułapu z § 9 ust. 2. Kara ta nie podlega kumulacji z karą z § 9 ust. 1 lit. i), jeżeli odstąpienie następuje z powodu tego samego zdarzenia.</w:t>
      </w:r>
    </w:p>
    <w:p w14:paraId="5E7862A8" w14:textId="77777777" w:rsidR="0085655F" w:rsidRPr="005D7C75" w:rsidRDefault="00CB7E42" w:rsidP="005D7C75">
      <w:pPr>
        <w:pStyle w:val="Akapitzlist"/>
        <w:numPr>
          <w:ilvl w:val="0"/>
          <w:numId w:val="23"/>
        </w:numPr>
        <w:spacing w:after="80"/>
        <w:jc w:val="both"/>
        <w:rPr>
          <w:rFonts w:ascii="Aptos" w:hAnsi="Aptos"/>
          <w:sz w:val="20"/>
          <w:szCs w:val="20"/>
        </w:rPr>
      </w:pPr>
      <w:r w:rsidRPr="005D7C75">
        <w:rPr>
          <w:sz w:val="20"/>
          <w:szCs w:val="20"/>
        </w:rPr>
        <w:t>W przypadku wykrycia lub uzasadnionego podejrzenia incydentu bezpieczeństwa w dostarczonym Sprzęcie lub Oprogramowaniu OT Wykonawca powiadamia Zamawiającego pisemnie niezwłocznie, nie później niż w ciągu 4 godzin od wykrycia, w dni robocze w godzinach 8:00–16:00; jeżeli wykrycie nastąpiło poza tymi godzinami, termin biegnie od godziny rozpoczęcia najbliższego dnia roboczego. Powiadomienie zawiera: opis zdarzenia, dotknięte komponenty OT, wstępną ocenę wpływu na procesy technologiczne oraz proponowane działania zaradcze.</w:t>
      </w:r>
    </w:p>
    <w:p w14:paraId="4B6DB16E" w14:textId="77777777" w:rsidR="0085655F" w:rsidRPr="005D7C75" w:rsidRDefault="00CB7E42" w:rsidP="005D7C75">
      <w:pPr>
        <w:pStyle w:val="Akapitzlist"/>
        <w:numPr>
          <w:ilvl w:val="0"/>
          <w:numId w:val="23"/>
        </w:numPr>
        <w:spacing w:after="80"/>
        <w:jc w:val="both"/>
        <w:rPr>
          <w:rFonts w:ascii="Aptos" w:hAnsi="Aptos"/>
          <w:sz w:val="20"/>
          <w:szCs w:val="20"/>
        </w:rPr>
      </w:pPr>
      <w:r w:rsidRPr="005D7C75">
        <w:rPr>
          <w:szCs w:val="20"/>
        </w:rPr>
        <w:t>Wykonawca zobowiązuje się do udzielenia Zamawiającemu wsparcia technicznego umożliwiającego realizację obowiązków raportowych z art. 11 ustawy o KSC (t.j. Dz.U. z 2026 r. poz. 20, ze zm.), w szczególności: wczesnego ostrzeżenia do właściwego CSIRT w terminie 24 godzin, zgłoszenia incydentu w terminie 72 godzin, raportu końcowego w terminie 30 dni od wykrycia.</w:t>
      </w:r>
    </w:p>
    <w:p w14:paraId="4A3CA01A" w14:textId="77777777" w:rsidR="0085655F" w:rsidRPr="005D7C75" w:rsidRDefault="00CB7E42" w:rsidP="005D7C75">
      <w:pPr>
        <w:pStyle w:val="Akapitzlist"/>
        <w:numPr>
          <w:ilvl w:val="0"/>
          <w:numId w:val="23"/>
        </w:numPr>
        <w:spacing w:after="80"/>
        <w:jc w:val="both"/>
        <w:rPr>
          <w:rFonts w:ascii="Aptos" w:hAnsi="Aptos"/>
          <w:sz w:val="20"/>
          <w:szCs w:val="20"/>
        </w:rPr>
      </w:pPr>
      <w:r w:rsidRPr="005D7C75">
        <w:rPr>
          <w:sz w:val="20"/>
          <w:szCs w:val="20"/>
        </w:rPr>
        <w:t>Wykonawca przekazuje Zamawiającemu wypełniony Kwestionariusz Oceny Ryzyka Dostawcy (Załącznik nr 4) nie później niż w terminie 14 dni od dnia zawarcia Umowy. Oświadczenia zawarte w Kwestionariuszu składane są według stanu prawnego oraz stanu publikatorów wskazanych w ust. 1 na dzień zawarcia Umowy. Najpóźniej w dniu podpisania Protokołu Odbioru Końcowego Wykonawca potwierdza, że nie są mu znane – na podstawie tych publikatorów – zmiany tego stanu.</w:t>
      </w:r>
    </w:p>
    <w:p w14:paraId="12D6E8CE" w14:textId="77777777" w:rsidR="0085655F" w:rsidRPr="005D7C75" w:rsidRDefault="00CB7E42" w:rsidP="004954CC">
      <w:pPr>
        <w:spacing w:before="200" w:after="100"/>
        <w:jc w:val="center"/>
        <w:rPr>
          <w:rFonts w:ascii="Aptos" w:hAnsi="Aptos"/>
          <w:sz w:val="20"/>
          <w:szCs w:val="20"/>
        </w:rPr>
      </w:pPr>
      <w:r w:rsidRPr="005D7C75">
        <w:rPr>
          <w:b/>
          <w:bCs/>
          <w:szCs w:val="20"/>
        </w:rPr>
        <w:t>§ 14. Obowiązki informacyjne i promocyjne KPO</w:t>
      </w:r>
    </w:p>
    <w:p w14:paraId="59ADD4C4" w14:textId="77777777" w:rsidR="0085655F" w:rsidRPr="005D7C75" w:rsidRDefault="00CB7E42" w:rsidP="005D7C75">
      <w:pPr>
        <w:pStyle w:val="Akapitzlist"/>
        <w:numPr>
          <w:ilvl w:val="0"/>
          <w:numId w:val="24"/>
        </w:numPr>
        <w:spacing w:after="80"/>
        <w:jc w:val="both"/>
        <w:rPr>
          <w:rFonts w:ascii="Aptos" w:hAnsi="Aptos"/>
          <w:sz w:val="20"/>
          <w:szCs w:val="20"/>
        </w:rPr>
      </w:pPr>
      <w:r w:rsidRPr="005D7C75">
        <w:rPr>
          <w:sz w:val="20"/>
          <w:szCs w:val="20"/>
        </w:rPr>
        <w:t>Wykonawca przestrzega wytycznych zawartych w aktualnej "Strategii Promocji i Informacji KPO" oraz "Księdze Wizualizacji Logo KPO".</w:t>
      </w:r>
    </w:p>
    <w:p w14:paraId="7CC84A4D" w14:textId="77777777" w:rsidR="006A7571" w:rsidRPr="005D7C75" w:rsidRDefault="00CB7E42" w:rsidP="005D7C75">
      <w:pPr>
        <w:pStyle w:val="Akapitzlist"/>
        <w:numPr>
          <w:ilvl w:val="0"/>
          <w:numId w:val="24"/>
        </w:numPr>
        <w:spacing w:after="80"/>
        <w:jc w:val="both"/>
        <w:rPr>
          <w:rFonts w:ascii="Aptos" w:hAnsi="Aptos"/>
          <w:sz w:val="20"/>
          <w:szCs w:val="20"/>
        </w:rPr>
      </w:pPr>
      <w:r w:rsidRPr="005D7C75">
        <w:rPr>
          <w:sz w:val="20"/>
          <w:szCs w:val="20"/>
        </w:rPr>
        <w:t>Wykonawca zobowiązany jest do oznaczenia wszelkiej dokumentacji wytworzonej w ramach Umowy (dokumentacja powykonawcza, raporty z testów i weryfikacji konfiguracji, instrukcje konfiguracji stacji przesiadkowej OT, protokoły odbioru, materiały szkoleniowe) zestawieniem znaków:</w:t>
      </w:r>
    </w:p>
    <w:p w14:paraId="2AD769C7" w14:textId="77777777" w:rsidR="006A7571" w:rsidRPr="005D7C75" w:rsidRDefault="00CB7E42" w:rsidP="005D7C75">
      <w:pPr>
        <w:pStyle w:val="Akapitzlist"/>
        <w:numPr>
          <w:ilvl w:val="1"/>
          <w:numId w:val="24"/>
        </w:numPr>
        <w:spacing w:after="80"/>
        <w:jc w:val="both"/>
        <w:rPr>
          <w:rFonts w:ascii="Aptos" w:hAnsi="Aptos"/>
          <w:sz w:val="20"/>
          <w:szCs w:val="20"/>
        </w:rPr>
      </w:pPr>
      <w:r w:rsidRPr="005D7C75">
        <w:rPr>
          <w:szCs w:val="20"/>
        </w:rPr>
        <w:lastRenderedPageBreak/>
        <w:t xml:space="preserve">Godło RP; </w:t>
      </w:r>
    </w:p>
    <w:p w14:paraId="2501D03C" w14:textId="77777777" w:rsidR="006A7571" w:rsidRPr="005D7C75" w:rsidRDefault="00CB7E42" w:rsidP="005D7C75">
      <w:pPr>
        <w:pStyle w:val="Akapitzlist"/>
        <w:numPr>
          <w:ilvl w:val="1"/>
          <w:numId w:val="24"/>
        </w:numPr>
        <w:spacing w:after="80"/>
        <w:jc w:val="both"/>
        <w:rPr>
          <w:rFonts w:ascii="Aptos" w:hAnsi="Aptos"/>
          <w:sz w:val="20"/>
          <w:szCs w:val="20"/>
        </w:rPr>
      </w:pPr>
      <w:r w:rsidRPr="005D7C75">
        <w:rPr>
          <w:szCs w:val="20"/>
        </w:rPr>
        <w:t xml:space="preserve">Flaga UE z napisem "Sfinansowane przez Unię Europejską – NextGenerationEU"; </w:t>
      </w:r>
    </w:p>
    <w:p w14:paraId="519E5893" w14:textId="77777777" w:rsidR="0085655F" w:rsidRPr="005D7C75" w:rsidRDefault="00CB7E42" w:rsidP="005D7C75">
      <w:pPr>
        <w:pStyle w:val="Akapitzlist"/>
        <w:numPr>
          <w:ilvl w:val="1"/>
          <w:numId w:val="24"/>
        </w:numPr>
        <w:spacing w:after="80"/>
        <w:jc w:val="both"/>
        <w:rPr>
          <w:rFonts w:ascii="Aptos" w:hAnsi="Aptos"/>
          <w:sz w:val="20"/>
          <w:szCs w:val="20"/>
        </w:rPr>
      </w:pPr>
      <w:r w:rsidRPr="005D7C75">
        <w:rPr>
          <w:szCs w:val="20"/>
        </w:rPr>
        <w:t>Logo KPO.</w:t>
      </w:r>
    </w:p>
    <w:p w14:paraId="42B8E3E2" w14:textId="77777777" w:rsidR="0085655F" w:rsidRPr="005D7C75" w:rsidRDefault="00CB7E42" w:rsidP="005D7C75">
      <w:pPr>
        <w:pStyle w:val="Akapitzlist"/>
        <w:numPr>
          <w:ilvl w:val="0"/>
          <w:numId w:val="24"/>
        </w:numPr>
        <w:spacing w:after="80"/>
        <w:jc w:val="both"/>
        <w:rPr>
          <w:rFonts w:ascii="Aptos" w:hAnsi="Aptos"/>
          <w:sz w:val="20"/>
          <w:szCs w:val="20"/>
        </w:rPr>
      </w:pPr>
      <w:r w:rsidRPr="005D7C75">
        <w:rPr>
          <w:szCs w:val="20"/>
        </w:rPr>
        <w:t>Wykonawca trwale i widocznie oznaczy dostarczone urządzenia naklejkami informującymi o finansowaniu z KPO. Naklejki dla urządzeń w trudnych warunkach (przepompownie, obiekty zewnętrzne) muszą być odporne na wilgoć i ścieranie.</w:t>
      </w:r>
    </w:p>
    <w:p w14:paraId="4A0B1ED5" w14:textId="77777777" w:rsidR="0085655F" w:rsidRPr="005D7C75" w:rsidRDefault="00CB7E42" w:rsidP="005D7C75">
      <w:pPr>
        <w:pStyle w:val="Akapitzlist"/>
        <w:numPr>
          <w:ilvl w:val="0"/>
          <w:numId w:val="24"/>
        </w:numPr>
        <w:spacing w:after="80"/>
        <w:jc w:val="both"/>
        <w:rPr>
          <w:rFonts w:ascii="Aptos" w:hAnsi="Aptos"/>
          <w:sz w:val="20"/>
          <w:szCs w:val="20"/>
        </w:rPr>
      </w:pPr>
      <w:r w:rsidRPr="005D7C75">
        <w:rPr>
          <w:szCs w:val="20"/>
        </w:rPr>
        <w:t>Brak prawidłowego oznaczenia w dniu zgłoszenia gotowości do odbioru jest nienależytym wykonaniem Umowy i uprawnia Zamawiającego do wstrzymania odbioru i płatności.</w:t>
      </w:r>
    </w:p>
    <w:p w14:paraId="27AAA108" w14:textId="77777777" w:rsidR="0085655F" w:rsidRPr="005D7C75" w:rsidRDefault="00CB7E42" w:rsidP="005D7C75">
      <w:pPr>
        <w:pStyle w:val="Akapitzlist"/>
        <w:numPr>
          <w:ilvl w:val="0"/>
          <w:numId w:val="24"/>
        </w:numPr>
        <w:spacing w:after="80"/>
        <w:jc w:val="both"/>
        <w:rPr>
          <w:rFonts w:ascii="Aptos" w:hAnsi="Aptos"/>
          <w:sz w:val="20"/>
          <w:szCs w:val="20"/>
        </w:rPr>
      </w:pPr>
      <w:r w:rsidRPr="005D7C75">
        <w:rPr>
          <w:szCs w:val="20"/>
        </w:rPr>
        <w:t>Wykonawca współdziała z Zamawiającym w przygotowaniu dokumentacji fotograficznej potwierdzającej prawidłowe oznaczenie sprzętu, niezbędnej do wniosku o płatność końcową do CPPC.</w:t>
      </w:r>
    </w:p>
    <w:p w14:paraId="57F0669A" w14:textId="77777777" w:rsidR="0085655F" w:rsidRPr="005D7C75" w:rsidRDefault="00CB7E42" w:rsidP="004954CC">
      <w:pPr>
        <w:spacing w:before="200" w:after="100"/>
        <w:jc w:val="center"/>
        <w:rPr>
          <w:rFonts w:ascii="Aptos" w:hAnsi="Aptos"/>
          <w:sz w:val="20"/>
          <w:szCs w:val="20"/>
        </w:rPr>
      </w:pPr>
      <w:r w:rsidRPr="005D7C75">
        <w:rPr>
          <w:b/>
          <w:bCs/>
          <w:szCs w:val="20"/>
        </w:rPr>
        <w:t>§ 15. Zmiany Umowy</w:t>
      </w:r>
    </w:p>
    <w:p w14:paraId="3C9D12B7"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Wszelkie zmiany i uzupełnienia niniejszej Umowy wymagają formy pisemnej w drodze aneksu pod rygorem nieważności i mogą być dokonywane wyłącznie w przypadkach określonych w niniejszym paragrafie.</w:t>
      </w:r>
    </w:p>
    <w:p w14:paraId="70E3B81D"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Zamawiający dopuszcza zmiany Umowy wynikające z przesłanek ustawowych, w tym:</w:t>
      </w:r>
    </w:p>
    <w:p w14:paraId="6B1B353B" w14:textId="77777777" w:rsidR="0085655F" w:rsidRPr="005D7C75" w:rsidRDefault="00CB7E42" w:rsidP="005D7C75">
      <w:pPr>
        <w:pStyle w:val="Akapitzlist"/>
        <w:numPr>
          <w:ilvl w:val="0"/>
          <w:numId w:val="26"/>
        </w:numPr>
        <w:spacing w:after="80"/>
        <w:jc w:val="both"/>
        <w:rPr>
          <w:rFonts w:ascii="Aptos" w:hAnsi="Aptos"/>
          <w:sz w:val="20"/>
          <w:szCs w:val="20"/>
        </w:rPr>
      </w:pPr>
      <w:r w:rsidRPr="005D7C75">
        <w:rPr>
          <w:szCs w:val="20"/>
        </w:rPr>
        <w:t>zmiany nieistotne w rozumieniu art. 454 ust. 2 ustawy Pzp, niezmieniające ogólnego charakteru Umowy;</w:t>
      </w:r>
    </w:p>
    <w:p w14:paraId="0DD60CA7" w14:textId="77777777" w:rsidR="0085655F" w:rsidRPr="005D7C75" w:rsidRDefault="00CB7E42" w:rsidP="005D7C75">
      <w:pPr>
        <w:pStyle w:val="Akapitzlist"/>
        <w:numPr>
          <w:ilvl w:val="0"/>
          <w:numId w:val="26"/>
        </w:numPr>
        <w:spacing w:after="80"/>
        <w:jc w:val="both"/>
        <w:rPr>
          <w:rFonts w:ascii="Aptos" w:hAnsi="Aptos"/>
          <w:sz w:val="20"/>
          <w:szCs w:val="20"/>
        </w:rPr>
      </w:pPr>
      <w:r w:rsidRPr="005D7C75">
        <w:rPr>
          <w:sz w:val="20"/>
          <w:szCs w:val="20"/>
        </w:rPr>
        <w:t>zmiany przewidziane w dokumentach zamówienia w zakresie i na warunkach określonych w SWZ oraz w niniejszej Umowie (art. 455 ust. 1 pkt 1 ustawy Pzp);</w:t>
      </w:r>
    </w:p>
    <w:p w14:paraId="67B00BA7" w14:textId="77777777" w:rsidR="0085655F" w:rsidRPr="005D7C75" w:rsidRDefault="00CB7E42" w:rsidP="005D7C75">
      <w:pPr>
        <w:pStyle w:val="Akapitzlist"/>
        <w:numPr>
          <w:ilvl w:val="0"/>
          <w:numId w:val="26"/>
        </w:numPr>
        <w:spacing w:after="80"/>
        <w:jc w:val="both"/>
        <w:rPr>
          <w:rFonts w:ascii="Aptos" w:hAnsi="Aptos"/>
          <w:sz w:val="20"/>
          <w:szCs w:val="20"/>
        </w:rPr>
      </w:pPr>
      <w:r w:rsidRPr="005D7C75">
        <w:rPr>
          <w:sz w:val="20"/>
          <w:szCs w:val="20"/>
        </w:rPr>
        <w:t>dodatkowe dostawy lub usługi niezbędne do realizacji zamówienia podstawowego, których Zamawiający nie mógł przewidzieć – na zasadach i w granicach art. 455 ust. 1 pkt 3 ustawy Pzp;</w:t>
      </w:r>
    </w:p>
    <w:p w14:paraId="67BBED37" w14:textId="77777777" w:rsidR="0085655F" w:rsidRPr="005D7C75" w:rsidRDefault="00CB7E42" w:rsidP="005D7C75">
      <w:pPr>
        <w:pStyle w:val="Akapitzlist"/>
        <w:numPr>
          <w:ilvl w:val="0"/>
          <w:numId w:val="26"/>
        </w:numPr>
        <w:spacing w:after="80"/>
        <w:jc w:val="both"/>
        <w:rPr>
          <w:rFonts w:ascii="Aptos" w:hAnsi="Aptos"/>
          <w:sz w:val="20"/>
          <w:szCs w:val="20"/>
        </w:rPr>
      </w:pPr>
      <w:r w:rsidRPr="005D7C75">
        <w:rPr>
          <w:szCs w:val="20"/>
        </w:rPr>
        <w:t>zmiana zakresu lub sposobu wykonania Umowy wynikająca z okoliczności, których Zamawiający, działając z należytą starannością, nie mógł przewidzieć – na zasadach i w granicach art. 455 ust. 1 pkt 4 ustawy Pzp;</w:t>
      </w:r>
    </w:p>
    <w:p w14:paraId="2F88583C" w14:textId="77777777" w:rsidR="0085655F" w:rsidRPr="005D7C75" w:rsidRDefault="00CB7E42" w:rsidP="005D7C75">
      <w:pPr>
        <w:pStyle w:val="Akapitzlist"/>
        <w:numPr>
          <w:ilvl w:val="0"/>
          <w:numId w:val="26"/>
        </w:numPr>
        <w:spacing w:after="80"/>
        <w:jc w:val="both"/>
        <w:rPr>
          <w:rFonts w:ascii="Aptos" w:hAnsi="Aptos"/>
          <w:sz w:val="20"/>
          <w:szCs w:val="20"/>
        </w:rPr>
      </w:pPr>
      <w:r w:rsidRPr="005D7C75">
        <w:rPr>
          <w:szCs w:val="20"/>
        </w:rPr>
        <w:t>zmiana wartości Umowy nieprzekraczająca 10% wartości pierwotnej Umowy – na zasadach art. 455 ust. 2 ustawy Pzp.</w:t>
      </w:r>
    </w:p>
    <w:p w14:paraId="1CADB5F0"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Zamawiający dopuszcza przedłużenie terminu realizacji Umowy (§ 3 ust. 1), jednak nie więcej niż o 30 dni, w następujących przypadkach:</w:t>
      </w:r>
    </w:p>
    <w:p w14:paraId="4F297E3F" w14:textId="77777777" w:rsidR="0085655F" w:rsidRPr="005D7C75" w:rsidRDefault="00CB7E42" w:rsidP="005D7C75">
      <w:pPr>
        <w:pStyle w:val="Akapitzlist"/>
        <w:numPr>
          <w:ilvl w:val="0"/>
          <w:numId w:val="27"/>
        </w:numPr>
        <w:spacing w:after="80"/>
        <w:jc w:val="both"/>
        <w:rPr>
          <w:rFonts w:ascii="Aptos" w:hAnsi="Aptos"/>
          <w:sz w:val="20"/>
          <w:szCs w:val="20"/>
        </w:rPr>
      </w:pPr>
      <w:r w:rsidRPr="005D7C75">
        <w:rPr>
          <w:szCs w:val="20"/>
        </w:rPr>
        <w:t>Niedostępność systemów centralnych administracji publicznej niezbędnych do realizacji Umowy (np. ePUAP, KSeF), potwierdzona oficjalnym komunikatem właściwego organu, o ile uniemożliwia lub istotnie utrudnia realizację etapu – o czas trwania niedostępności;</w:t>
      </w:r>
    </w:p>
    <w:p w14:paraId="05DD0A5C" w14:textId="77777777" w:rsidR="0085655F" w:rsidRPr="005D7C75" w:rsidRDefault="00CB7E42" w:rsidP="005D7C75">
      <w:pPr>
        <w:pStyle w:val="Akapitzlist"/>
        <w:numPr>
          <w:ilvl w:val="0"/>
          <w:numId w:val="27"/>
        </w:numPr>
        <w:spacing w:after="80"/>
        <w:jc w:val="both"/>
        <w:rPr>
          <w:rFonts w:ascii="Aptos" w:hAnsi="Aptos"/>
          <w:sz w:val="20"/>
          <w:szCs w:val="20"/>
        </w:rPr>
      </w:pPr>
      <w:r w:rsidRPr="005D7C75">
        <w:rPr>
          <w:sz w:val="20"/>
          <w:szCs w:val="20"/>
        </w:rPr>
        <w:t>Zakłócenia łańcuchów dostaw sprzętu OT, potwierdzone pisemnie przez co najmniej dwóch niezależnych producentów lub dystrybutorów (globalny niedobór komponentów, ograniczenia eksportowe, klęska żywiołowa, sankcje) – o czas niezbędny do pozyskania sprzętu, nie dłużej niż 30 dni;</w:t>
      </w:r>
    </w:p>
    <w:p w14:paraId="0BE32C3D" w14:textId="77777777" w:rsidR="0085655F" w:rsidRPr="005D7C75" w:rsidRDefault="00CB7E42" w:rsidP="005D7C75">
      <w:pPr>
        <w:pStyle w:val="Akapitzlist"/>
        <w:numPr>
          <w:ilvl w:val="0"/>
          <w:numId w:val="27"/>
        </w:numPr>
        <w:spacing w:after="80"/>
        <w:jc w:val="both"/>
        <w:rPr>
          <w:rFonts w:ascii="Aptos" w:hAnsi="Aptos"/>
          <w:sz w:val="20"/>
          <w:szCs w:val="20"/>
        </w:rPr>
      </w:pPr>
      <w:r w:rsidRPr="005D7C75">
        <w:rPr>
          <w:sz w:val="20"/>
          <w:szCs w:val="20"/>
        </w:rPr>
        <w:t>Siła wyższa, o której mowa w § 17 – o czas trwania jej skutków;</w:t>
      </w:r>
    </w:p>
    <w:p w14:paraId="2524D835" w14:textId="77777777" w:rsidR="0085655F" w:rsidRPr="005D7C75" w:rsidRDefault="00CB7E42" w:rsidP="005D7C75">
      <w:pPr>
        <w:pStyle w:val="Akapitzlist"/>
        <w:numPr>
          <w:ilvl w:val="0"/>
          <w:numId w:val="27"/>
        </w:numPr>
        <w:spacing w:after="80"/>
        <w:jc w:val="both"/>
        <w:rPr>
          <w:rFonts w:ascii="Aptos" w:hAnsi="Aptos"/>
          <w:sz w:val="20"/>
          <w:szCs w:val="20"/>
        </w:rPr>
      </w:pPr>
      <w:r w:rsidRPr="005D7C75">
        <w:rPr>
          <w:szCs w:val="20"/>
        </w:rPr>
        <w:t>Przyczyny leżące po stronie Zamawiającego (opóźnienie w udostępnieniu lokalizacji, dostępów lub decyzji niezbędnych do realizacji przez Wykonawcę) – o czas trwania opóźnienia po stronie Zamawiającego;</w:t>
      </w:r>
    </w:p>
    <w:p w14:paraId="11873E00" w14:textId="77777777" w:rsidR="0085655F" w:rsidRPr="005D7C75" w:rsidRDefault="00CB7E42" w:rsidP="005D7C75">
      <w:pPr>
        <w:pStyle w:val="Akapitzlist"/>
        <w:numPr>
          <w:ilvl w:val="0"/>
          <w:numId w:val="27"/>
        </w:numPr>
        <w:spacing w:after="80"/>
        <w:jc w:val="both"/>
        <w:rPr>
          <w:rFonts w:ascii="Aptos" w:hAnsi="Aptos"/>
          <w:sz w:val="20"/>
          <w:szCs w:val="20"/>
        </w:rPr>
      </w:pPr>
      <w:r w:rsidRPr="005D7C75">
        <w:rPr>
          <w:szCs w:val="20"/>
        </w:rPr>
        <w:t>Wejście w życie po dacie zawarcia Umowy przepisów prawa zmieniających wymagania techniczne lub standardy bezpieczeństwa OT, wymagające dodatkowych prac – po wskazaniu konkretnego aktu prawnego i jego wpływu.</w:t>
      </w:r>
    </w:p>
    <w:p w14:paraId="0C624A30"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Zamawiający dopuszcza zmianę parametrów technicznych zaoferowanego Sprzętu OT wyłącznie in plus (na parametry nie gorsze niż zaoferowane), w następujących przypadkach:</w:t>
      </w:r>
    </w:p>
    <w:p w14:paraId="31C4D227" w14:textId="77777777" w:rsidR="0085655F" w:rsidRPr="005D7C75" w:rsidRDefault="00CB7E42" w:rsidP="005D7C75">
      <w:pPr>
        <w:pStyle w:val="Akapitzlist"/>
        <w:numPr>
          <w:ilvl w:val="0"/>
          <w:numId w:val="28"/>
        </w:numPr>
        <w:spacing w:after="80"/>
        <w:jc w:val="both"/>
        <w:rPr>
          <w:rFonts w:ascii="Aptos" w:hAnsi="Aptos"/>
          <w:sz w:val="20"/>
          <w:szCs w:val="20"/>
        </w:rPr>
      </w:pPr>
      <w:r w:rsidRPr="005D7C75">
        <w:rPr>
          <w:szCs w:val="20"/>
        </w:rPr>
        <w:lastRenderedPageBreak/>
        <w:t>Zastąpienie zaoferowanego komponentu sprzętowego stacji przesiadkowej OT komponentem o wyższych parametrach bez zmiany wynagrodzenia;</w:t>
      </w:r>
    </w:p>
    <w:p w14:paraId="66BEFD47" w14:textId="77777777" w:rsidR="0085655F" w:rsidRPr="005D7C75" w:rsidRDefault="00CB7E42" w:rsidP="005D7C75">
      <w:pPr>
        <w:pStyle w:val="Akapitzlist"/>
        <w:numPr>
          <w:ilvl w:val="0"/>
          <w:numId w:val="28"/>
        </w:numPr>
        <w:spacing w:after="80"/>
        <w:jc w:val="both"/>
        <w:rPr>
          <w:rFonts w:ascii="Aptos" w:hAnsi="Aptos"/>
          <w:sz w:val="20"/>
          <w:szCs w:val="20"/>
        </w:rPr>
      </w:pPr>
      <w:r w:rsidRPr="005D7C75">
        <w:rPr>
          <w:szCs w:val="20"/>
        </w:rPr>
        <w:t>Niedostępność rynkowa zaoferowanego modelu (wycofanie z produkcji potwierdzone przez producenta) – dostawa modelu zastępczego spełniającego co najmniej parametry OPZ i parametry zaoferowane w Ofercie, po pisemnej zgodzie Zamawiającego;</w:t>
      </w:r>
    </w:p>
    <w:p w14:paraId="48078833" w14:textId="77777777" w:rsidR="0085655F" w:rsidRPr="005D7C75" w:rsidRDefault="00CB7E42" w:rsidP="005D7C75">
      <w:pPr>
        <w:pStyle w:val="Akapitzlist"/>
        <w:numPr>
          <w:ilvl w:val="0"/>
          <w:numId w:val="28"/>
        </w:numPr>
        <w:spacing w:after="80"/>
        <w:jc w:val="both"/>
        <w:rPr>
          <w:rFonts w:ascii="Aptos" w:hAnsi="Aptos"/>
          <w:sz w:val="20"/>
          <w:szCs w:val="20"/>
        </w:rPr>
      </w:pPr>
      <w:r w:rsidRPr="005D7C75">
        <w:rPr>
          <w:szCs w:val="20"/>
        </w:rPr>
        <w:t>Dostarczenie nowszej wersji oprogramowania systemowego lub oprogramowania układowego niż zaoferowana, jeżeli jest w pełni kompatybilna i nie generuje dodatkowych kosztów;</w:t>
      </w:r>
    </w:p>
    <w:p w14:paraId="6400EC95" w14:textId="77777777" w:rsidR="0085655F" w:rsidRPr="005D7C75" w:rsidRDefault="00CB7E42" w:rsidP="005D7C75">
      <w:pPr>
        <w:pStyle w:val="Akapitzlist"/>
        <w:numPr>
          <w:ilvl w:val="0"/>
          <w:numId w:val="28"/>
        </w:numPr>
        <w:spacing w:after="80"/>
        <w:jc w:val="both"/>
        <w:rPr>
          <w:rFonts w:ascii="Aptos" w:hAnsi="Aptos"/>
          <w:sz w:val="20"/>
          <w:szCs w:val="20"/>
        </w:rPr>
      </w:pPr>
      <w:r w:rsidRPr="005D7C75">
        <w:rPr>
          <w:szCs w:val="20"/>
        </w:rPr>
        <w:t>Zmiana komponentów wynikająca z rekomendacji CERT Polska, ENISA lub właściwego organu ds. cyberbezpieczeństwa dotyczących bezpieczeństwa OT, wydanych po zawarciu Umowy.</w:t>
      </w:r>
    </w:p>
    <w:p w14:paraId="12810B17"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Inne dopuszczalne zmiany bez konieczności aneksu:</w:t>
      </w:r>
    </w:p>
    <w:p w14:paraId="7B93279A" w14:textId="77777777" w:rsidR="0085655F" w:rsidRPr="005D7C75" w:rsidRDefault="00CB7E42" w:rsidP="005D7C75">
      <w:pPr>
        <w:pStyle w:val="Akapitzlist"/>
        <w:numPr>
          <w:ilvl w:val="0"/>
          <w:numId w:val="29"/>
        </w:numPr>
        <w:spacing w:after="80"/>
        <w:jc w:val="both"/>
        <w:rPr>
          <w:rFonts w:ascii="Aptos" w:hAnsi="Aptos"/>
          <w:sz w:val="20"/>
          <w:szCs w:val="20"/>
        </w:rPr>
      </w:pPr>
      <w:r w:rsidRPr="005D7C75">
        <w:rPr>
          <w:szCs w:val="20"/>
        </w:rPr>
        <w:t>Zmiana wynagrodzenia brutto wskutek ustawowej zmiany stawki VAT – z chwilą wejścia w życie nowej stawki, z pisemnym poinformowaniem drugiej Strony;</w:t>
      </w:r>
    </w:p>
    <w:p w14:paraId="57632C44" w14:textId="77777777" w:rsidR="0085655F" w:rsidRPr="005D7C75" w:rsidRDefault="00CB7E42" w:rsidP="005D7C75">
      <w:pPr>
        <w:pStyle w:val="Akapitzlist"/>
        <w:numPr>
          <w:ilvl w:val="0"/>
          <w:numId w:val="29"/>
        </w:numPr>
        <w:spacing w:after="80"/>
        <w:jc w:val="both"/>
        <w:rPr>
          <w:rFonts w:ascii="Aptos" w:hAnsi="Aptos"/>
          <w:sz w:val="20"/>
          <w:szCs w:val="20"/>
        </w:rPr>
      </w:pPr>
      <w:r w:rsidRPr="005D7C75">
        <w:rPr>
          <w:szCs w:val="20"/>
        </w:rPr>
        <w:t>Zmiana danych formalnych Stron (nazwa, adres, NIP, rachunek bankowy, dane kontaktowe) – w trybie pisemnego powiadomienia;</w:t>
      </w:r>
    </w:p>
    <w:p w14:paraId="12A60725" w14:textId="77777777" w:rsidR="0085655F" w:rsidRPr="005D7C75" w:rsidRDefault="00CB7E42" w:rsidP="005D7C75">
      <w:pPr>
        <w:pStyle w:val="Akapitzlist"/>
        <w:numPr>
          <w:ilvl w:val="0"/>
          <w:numId w:val="29"/>
        </w:numPr>
        <w:spacing w:after="80"/>
        <w:jc w:val="both"/>
        <w:rPr>
          <w:rFonts w:ascii="Aptos" w:hAnsi="Aptos"/>
          <w:sz w:val="20"/>
          <w:szCs w:val="20"/>
        </w:rPr>
      </w:pPr>
      <w:r w:rsidRPr="005D7C75">
        <w:rPr>
          <w:szCs w:val="20"/>
        </w:rPr>
        <w:t>Zmiana koordynatorów/przedstawicieli niebędących osobami kluczowymi – w trybie pisemnego powiadomienia.</w:t>
      </w:r>
    </w:p>
    <w:p w14:paraId="066CD323"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W przypadku ogłoszenia po dniu zawarcia Umowy decyzji, o której mowa w art. 67b ust. 15 ustawy o KSC, albo rekomendacji, o której mowa w art. 33 ust. 4 tej ustawy, obejmującej producenta lub rozwiązanie objęte przedmiotem Umowy, Strony w terminie 30 dni od dnia ogłoszenia uzgodnią zmianę Umowy polegającą na zastąpieniu objętego nią Sprzętu lub Oprogramowania rozwiązaniem równoważnym, spełniającym co najmniej wymagania OPZ oraz parametry zaoferowane w Ofercie, bez zmiany wynagrodzenia. W razie braku uzgodnienia w tym terminie każda ze Stron może odstąpić od Umowy w części objętej decyzją lub rekomendacją, bez naliczania kar umownych, z rozliczeniem świadczeń faktycznie zrealizowanych i odebranych.</w:t>
      </w:r>
    </w:p>
    <w:p w14:paraId="17EC9E23" w14:textId="77777777" w:rsidR="0085655F" w:rsidRPr="005D7C75" w:rsidRDefault="00CB7E42" w:rsidP="005D7C75">
      <w:pPr>
        <w:pStyle w:val="Akapitzlist"/>
        <w:numPr>
          <w:ilvl w:val="0"/>
          <w:numId w:val="25"/>
        </w:numPr>
        <w:spacing w:after="80"/>
        <w:jc w:val="both"/>
        <w:rPr>
          <w:rFonts w:ascii="Aptos" w:hAnsi="Aptos"/>
          <w:sz w:val="20"/>
          <w:szCs w:val="20"/>
        </w:rPr>
      </w:pPr>
      <w:r w:rsidRPr="005D7C75">
        <w:rPr>
          <w:szCs w:val="20"/>
        </w:rPr>
        <w:t>Procedura zmiany Umowy:</w:t>
      </w:r>
    </w:p>
    <w:p w14:paraId="6B7B75EF" w14:textId="77777777" w:rsidR="0085655F" w:rsidRPr="005D7C75" w:rsidRDefault="00CB7E42" w:rsidP="005D7C75">
      <w:pPr>
        <w:pStyle w:val="Akapitzlist"/>
        <w:numPr>
          <w:ilvl w:val="0"/>
          <w:numId w:val="30"/>
        </w:numPr>
        <w:spacing w:after="80"/>
        <w:jc w:val="both"/>
        <w:rPr>
          <w:rFonts w:ascii="Aptos" w:hAnsi="Aptos"/>
          <w:sz w:val="20"/>
          <w:szCs w:val="20"/>
        </w:rPr>
      </w:pPr>
      <w:r w:rsidRPr="005D7C75">
        <w:rPr>
          <w:szCs w:val="20"/>
        </w:rPr>
        <w:t>Strona wnioskująca składa pisemny wniosek zawierający: opis przesłanki, dokumentację potwierdzającą jej wystąpienie, proponowany zakres zmiany.</w:t>
      </w:r>
    </w:p>
    <w:p w14:paraId="7A684E21" w14:textId="77777777" w:rsidR="0085655F" w:rsidRPr="005D7C75" w:rsidRDefault="00CB7E42" w:rsidP="005D7C75">
      <w:pPr>
        <w:pStyle w:val="Akapitzlist"/>
        <w:numPr>
          <w:ilvl w:val="0"/>
          <w:numId w:val="30"/>
        </w:numPr>
        <w:spacing w:after="80"/>
        <w:jc w:val="both"/>
        <w:rPr>
          <w:rFonts w:ascii="Aptos" w:hAnsi="Aptos"/>
          <w:sz w:val="20"/>
          <w:szCs w:val="20"/>
        </w:rPr>
      </w:pPr>
      <w:r w:rsidRPr="005D7C75">
        <w:rPr>
          <w:szCs w:val="20"/>
        </w:rPr>
        <w:t>Zamawiający rozpatruje wniosek w terminie 14 dni roboczych.</w:t>
      </w:r>
    </w:p>
    <w:p w14:paraId="0E8A2F05" w14:textId="77777777" w:rsidR="0085655F" w:rsidRPr="005D7C75" w:rsidRDefault="00CB7E42" w:rsidP="005D7C75">
      <w:pPr>
        <w:pStyle w:val="Akapitzlist"/>
        <w:numPr>
          <w:ilvl w:val="0"/>
          <w:numId w:val="30"/>
        </w:numPr>
        <w:spacing w:after="80"/>
        <w:jc w:val="both"/>
        <w:rPr>
          <w:rFonts w:ascii="Aptos" w:hAnsi="Aptos"/>
          <w:sz w:val="20"/>
          <w:szCs w:val="20"/>
        </w:rPr>
      </w:pPr>
      <w:r w:rsidRPr="005D7C75">
        <w:rPr>
          <w:szCs w:val="20"/>
        </w:rPr>
        <w:t>Zmiana wymaga formy pisemnego aneksu, z wyjątkiem zmian z ust. 5 powyżej.</w:t>
      </w:r>
    </w:p>
    <w:p w14:paraId="663A7D00" w14:textId="77777777" w:rsidR="0085655F" w:rsidRPr="005D7C75" w:rsidRDefault="00CB7E42" w:rsidP="005D7C75">
      <w:pPr>
        <w:pStyle w:val="Akapitzlist"/>
        <w:numPr>
          <w:ilvl w:val="0"/>
          <w:numId w:val="30"/>
        </w:numPr>
        <w:spacing w:after="80"/>
        <w:jc w:val="both"/>
        <w:rPr>
          <w:rFonts w:ascii="Aptos" w:hAnsi="Aptos"/>
          <w:sz w:val="20"/>
          <w:szCs w:val="20"/>
        </w:rPr>
      </w:pPr>
      <w:r w:rsidRPr="005D7C75">
        <w:rPr>
          <w:szCs w:val="20"/>
        </w:rPr>
        <w:t>Brak odpowiedzi Zamawiającego nie stanowi milczącej zgody.</w:t>
      </w:r>
    </w:p>
    <w:p w14:paraId="6CDA4CF4" w14:textId="77777777" w:rsidR="0085655F" w:rsidRPr="005D7C75" w:rsidRDefault="00CB7E42" w:rsidP="005D7C75">
      <w:pPr>
        <w:pStyle w:val="Akapitzlist"/>
        <w:numPr>
          <w:ilvl w:val="0"/>
          <w:numId w:val="30"/>
        </w:numPr>
        <w:spacing w:after="80"/>
        <w:jc w:val="both"/>
        <w:rPr>
          <w:rFonts w:ascii="Aptos" w:hAnsi="Aptos"/>
          <w:sz w:val="20"/>
          <w:szCs w:val="20"/>
        </w:rPr>
      </w:pPr>
      <w:r w:rsidRPr="005D7C75">
        <w:rPr>
          <w:szCs w:val="20"/>
        </w:rPr>
        <w:t>Ciężar dowodu wystąpienia przesłanki spoczywa na Stronie wnioskującej.</w:t>
      </w:r>
    </w:p>
    <w:p w14:paraId="0DC71252" w14:textId="77777777" w:rsidR="0085655F" w:rsidRPr="005D7C75" w:rsidRDefault="00CB7E42" w:rsidP="005D7C75">
      <w:pPr>
        <w:pStyle w:val="Akapitzlist"/>
        <w:numPr>
          <w:ilvl w:val="0"/>
          <w:numId w:val="30"/>
        </w:numPr>
        <w:spacing w:after="80"/>
        <w:jc w:val="both"/>
        <w:rPr>
          <w:rFonts w:ascii="Aptos" w:hAnsi="Aptos"/>
          <w:sz w:val="20"/>
          <w:szCs w:val="20"/>
        </w:rPr>
      </w:pPr>
      <w:r w:rsidRPr="005D7C75">
        <w:rPr>
          <w:szCs w:val="20"/>
        </w:rPr>
        <w:t>Zmiany wykraczające poza niniejszy katalog są niedopuszczalne, nawet jeżeli obie Strony wyrażają na nie zgodę – z zastrzeżeniem zmian dopuszczalnych na podstawie art. 455 ustawy Pzp oraz zmian wynagrodzenia dokonywanych na podstawie § 12 Umowy.</w:t>
      </w:r>
    </w:p>
    <w:p w14:paraId="29169A00" w14:textId="77777777" w:rsidR="0085655F" w:rsidRPr="005D7C75" w:rsidRDefault="00CB7E42" w:rsidP="004954CC">
      <w:pPr>
        <w:spacing w:before="200" w:after="100"/>
        <w:jc w:val="center"/>
        <w:rPr>
          <w:rFonts w:ascii="Aptos" w:hAnsi="Aptos"/>
          <w:sz w:val="20"/>
          <w:szCs w:val="20"/>
        </w:rPr>
      </w:pPr>
      <w:r w:rsidRPr="005D7C75">
        <w:rPr>
          <w:b/>
          <w:bCs/>
          <w:szCs w:val="20"/>
        </w:rPr>
        <w:t>§ 16. Kontrola i audyt</w:t>
      </w:r>
    </w:p>
    <w:p w14:paraId="631EAD0B" w14:textId="77777777" w:rsidR="0085655F" w:rsidRPr="005D7C75" w:rsidRDefault="00CB7E42" w:rsidP="005D7C75">
      <w:pPr>
        <w:pStyle w:val="Akapitzlist"/>
        <w:numPr>
          <w:ilvl w:val="0"/>
          <w:numId w:val="37"/>
        </w:numPr>
        <w:spacing w:after="80"/>
        <w:jc w:val="both"/>
        <w:rPr>
          <w:rFonts w:ascii="Aptos" w:hAnsi="Aptos"/>
          <w:sz w:val="20"/>
          <w:szCs w:val="20"/>
        </w:rPr>
      </w:pPr>
      <w:r w:rsidRPr="005D7C75">
        <w:rPr>
          <w:szCs w:val="20"/>
        </w:rPr>
        <w:t>Wykonawca jest zobowiązany poddać się kontrolom i audytom przeprowadzanym przez Zamawiającego lub instytucje uprawnione: CPPC, NASK-PIB, Ministerstwo Cyfryzacji, NIK, Komisję Europejską, Europejski Trybunał Obrachunkowy, OLAF – przez cały okres realizacji i przez wymagany okres archiwizacji dokumentacji.</w:t>
      </w:r>
    </w:p>
    <w:p w14:paraId="2AE15DEF" w14:textId="77777777" w:rsidR="0085655F" w:rsidRPr="005D7C75" w:rsidRDefault="00CB7E42" w:rsidP="005D7C75">
      <w:pPr>
        <w:pStyle w:val="Akapitzlist"/>
        <w:numPr>
          <w:ilvl w:val="0"/>
          <w:numId w:val="37"/>
        </w:numPr>
        <w:spacing w:after="80"/>
        <w:jc w:val="both"/>
        <w:rPr>
          <w:rFonts w:ascii="Aptos" w:hAnsi="Aptos"/>
          <w:sz w:val="20"/>
          <w:szCs w:val="20"/>
        </w:rPr>
      </w:pPr>
      <w:r w:rsidRPr="005D7C75">
        <w:rPr>
          <w:szCs w:val="20"/>
        </w:rPr>
        <w:t xml:space="preserve">Wykonawca udostępni uprawnionym podmiotom wszelką dokumentację związaną z realizacją Umowy, w tym dokumenty umożliwiające potwierdzenie prawidłowości </w:t>
      </w:r>
      <w:r w:rsidRPr="005D7C75">
        <w:rPr>
          <w:szCs w:val="20"/>
        </w:rPr>
        <w:lastRenderedPageBreak/>
        <w:t>wydatków i kwalifikowalności kosztów. Kontrole mogą być przeprowadzane w siedzibie Wykonawcy, w miejscach realizacji oraz zdalnie.</w:t>
      </w:r>
    </w:p>
    <w:p w14:paraId="22DD529F" w14:textId="77777777" w:rsidR="0085655F" w:rsidRPr="005D7C75" w:rsidRDefault="00CB7E42" w:rsidP="005D7C75">
      <w:pPr>
        <w:pStyle w:val="Akapitzlist"/>
        <w:numPr>
          <w:ilvl w:val="0"/>
          <w:numId w:val="37"/>
        </w:numPr>
        <w:spacing w:after="80"/>
        <w:jc w:val="both"/>
        <w:rPr>
          <w:rFonts w:ascii="Aptos" w:hAnsi="Aptos"/>
          <w:sz w:val="20"/>
          <w:szCs w:val="20"/>
        </w:rPr>
      </w:pPr>
      <w:r w:rsidRPr="005D7C75">
        <w:rPr>
          <w:szCs w:val="20"/>
        </w:rPr>
        <w:t>Niezrealizowanie obowiązków, o których mowa w ust. 2, traktuje się jako nienależyte wykonanie Umowy i uprawnia Zamawiającego do wstrzymania odbioru lub płatności do czasu ich wykonania, a w razie bezskutecznego upływu dodatkowego terminu wyznaczonego na piśmie – do odstąpienia od Umowy na zasadach określonych w § 19. Katalog kar umownych zawiera wyłącznie § 9 ust. 1 Umowy.</w:t>
      </w:r>
    </w:p>
    <w:p w14:paraId="1FB76B77" w14:textId="77777777" w:rsidR="0085655F" w:rsidRPr="005D7C75" w:rsidRDefault="00CB7E42" w:rsidP="005D7C75">
      <w:pPr>
        <w:pStyle w:val="Akapitzlist"/>
        <w:numPr>
          <w:ilvl w:val="0"/>
          <w:numId w:val="37"/>
        </w:numPr>
        <w:spacing w:after="80"/>
        <w:jc w:val="both"/>
        <w:rPr>
          <w:rFonts w:ascii="Aptos" w:hAnsi="Aptos"/>
          <w:sz w:val="20"/>
          <w:szCs w:val="20"/>
        </w:rPr>
      </w:pPr>
      <w:r w:rsidRPr="005D7C75">
        <w:rPr>
          <w:szCs w:val="20"/>
        </w:rPr>
        <w:t>Wykonawca udziela Zamawiającemu wsparcia merytorycznego w przypadku kontroli realizacji Przedsięwzięcia, w terminie 3 dni roboczych od zgłoszenia. Obowiązek ten obowiązuje przez cały okres archiwizacji.</w:t>
      </w:r>
    </w:p>
    <w:p w14:paraId="5AA27591" w14:textId="77777777" w:rsidR="0085655F" w:rsidRPr="005D7C75" w:rsidRDefault="00CB7E42" w:rsidP="005D7C75">
      <w:pPr>
        <w:pStyle w:val="Akapitzlist"/>
        <w:numPr>
          <w:ilvl w:val="0"/>
          <w:numId w:val="37"/>
        </w:numPr>
        <w:spacing w:after="80"/>
        <w:jc w:val="both"/>
        <w:rPr>
          <w:rFonts w:ascii="Aptos" w:hAnsi="Aptos"/>
          <w:sz w:val="20"/>
          <w:szCs w:val="20"/>
        </w:rPr>
      </w:pPr>
      <w:r w:rsidRPr="005D7C75">
        <w:rPr>
          <w:szCs w:val="20"/>
        </w:rPr>
        <w:t>W przypadku kontroli prowadzonej przez Zamawiającego, informacja pokontrolna jest przekazywana Wykonawcy w formie pisemnej w terminie 21 dni od zakończenia kontroli. Wykonawca ma prawo wniesienia zastrzeżeń w terminie 7 dni.</w:t>
      </w:r>
    </w:p>
    <w:p w14:paraId="25852481" w14:textId="77777777" w:rsidR="0085655F" w:rsidRPr="005D7C75" w:rsidRDefault="00CB7E42" w:rsidP="004954CC">
      <w:pPr>
        <w:spacing w:before="200" w:after="100"/>
        <w:jc w:val="center"/>
        <w:rPr>
          <w:rFonts w:ascii="Aptos" w:hAnsi="Aptos"/>
          <w:sz w:val="20"/>
          <w:szCs w:val="20"/>
        </w:rPr>
      </w:pPr>
      <w:r w:rsidRPr="005D7C75">
        <w:rPr>
          <w:b/>
          <w:bCs/>
          <w:szCs w:val="20"/>
        </w:rPr>
        <w:t>§ 16a. Podwykonawstwo</w:t>
      </w:r>
    </w:p>
    <w:p w14:paraId="7FD620C2" w14:textId="77777777" w:rsidR="0085655F" w:rsidRPr="005D7C75" w:rsidRDefault="00CB7E42" w:rsidP="005D7C75">
      <w:pPr>
        <w:spacing w:after="120"/>
        <w:jc w:val="both"/>
        <w:rPr>
          <w:rFonts w:ascii="Aptos" w:hAnsi="Aptos"/>
          <w:sz w:val="20"/>
          <w:szCs w:val="20"/>
        </w:rPr>
      </w:pPr>
      <w:r w:rsidRPr="005D7C75">
        <w:rPr>
          <w:szCs w:val="20"/>
        </w:rPr>
        <w:t>1. Wykonawca może powierzyć wykonanie części zamówienia podwykonawcom (art. 462 ust. 1 ustawy Pzp). Wykonawca odpowiada za działania i zaniechania podwykonawców jak za działania i zaniechania własne.</w:t>
      </w:r>
    </w:p>
    <w:p w14:paraId="54B39FA5" w14:textId="77777777" w:rsidR="0085655F" w:rsidRPr="005D7C75" w:rsidRDefault="00CB7E42" w:rsidP="005D7C75">
      <w:pPr>
        <w:spacing w:after="120"/>
        <w:jc w:val="both"/>
        <w:rPr>
          <w:rFonts w:ascii="Aptos" w:hAnsi="Aptos"/>
          <w:sz w:val="20"/>
          <w:szCs w:val="20"/>
        </w:rPr>
      </w:pPr>
      <w:r w:rsidRPr="005D7C75">
        <w:rPr>
          <w:szCs w:val="20"/>
        </w:rPr>
        <w:t>2. Przed przystąpieniem podwykonawcy do prac Wykonawca podaje Zamawiającemu jego nazwę, dane kontaktowe i przedstawicieli oraz zakres powierzanych prac, nie później niż 5 dni roboczych przed rozpoczęciem prac. Wykonawca zawiadamia Zamawiającego o każdej zmianie tych informacji w trakcie realizacji Umowy.</w:t>
      </w:r>
    </w:p>
    <w:p w14:paraId="0A006FCF" w14:textId="77777777" w:rsidR="0085655F" w:rsidRPr="005D7C75" w:rsidRDefault="00CB7E42" w:rsidP="005D7C75">
      <w:pPr>
        <w:spacing w:after="120"/>
        <w:jc w:val="both"/>
        <w:rPr>
          <w:rFonts w:ascii="Aptos" w:hAnsi="Aptos"/>
          <w:sz w:val="20"/>
          <w:szCs w:val="20"/>
        </w:rPr>
      </w:pPr>
      <w:r w:rsidRPr="005D7C75">
        <w:rPr>
          <w:szCs w:val="20"/>
        </w:rPr>
        <w:t>3. Zamawiający może w terminie 3 dni roboczych wnieść uzasadniony sprzeciw wobec powierzenia prac podwykonawcy, który nie spełnia wymogów Umowy lub OPZ, w szczególności wymogów bezpieczeństwa, o których mowa w § 10 ust. 6–7 i § 13.</w:t>
      </w:r>
    </w:p>
    <w:p w14:paraId="4DCE1D22" w14:textId="77777777" w:rsidR="0085655F" w:rsidRPr="005D7C75" w:rsidRDefault="00CB7E42" w:rsidP="005D7C75">
      <w:pPr>
        <w:spacing w:after="120"/>
        <w:jc w:val="both"/>
        <w:rPr>
          <w:rFonts w:ascii="Aptos" w:hAnsi="Aptos"/>
          <w:sz w:val="20"/>
          <w:szCs w:val="20"/>
        </w:rPr>
      </w:pPr>
      <w:r w:rsidRPr="005D7C75">
        <w:rPr>
          <w:szCs w:val="20"/>
        </w:rPr>
        <w:t>4. Na żądanie Zamawiającego Wykonawca przedkłada umowy z podwykonawcami lub ich istotne postanowienia w zakresie niezbędnym do oceny prawidłowości realizacji Umowy.</w:t>
      </w:r>
    </w:p>
    <w:p w14:paraId="77407F62" w14:textId="77777777" w:rsidR="0085655F" w:rsidRPr="005D7C75" w:rsidRDefault="00CB7E42" w:rsidP="004954CC">
      <w:pPr>
        <w:spacing w:before="200" w:after="100"/>
        <w:jc w:val="center"/>
        <w:rPr>
          <w:rFonts w:ascii="Aptos" w:hAnsi="Aptos"/>
          <w:sz w:val="20"/>
          <w:szCs w:val="20"/>
        </w:rPr>
      </w:pPr>
      <w:r w:rsidRPr="005D7C75">
        <w:rPr>
          <w:b/>
          <w:bCs/>
          <w:szCs w:val="20"/>
        </w:rPr>
        <w:t>§ 17. Siła wyższa</w:t>
      </w:r>
    </w:p>
    <w:p w14:paraId="0063D13C" w14:textId="77777777" w:rsidR="0085655F" w:rsidRPr="005D7C75" w:rsidRDefault="00CB7E42" w:rsidP="005D7C75">
      <w:pPr>
        <w:pStyle w:val="Akapitzlist"/>
        <w:numPr>
          <w:ilvl w:val="0"/>
          <w:numId w:val="31"/>
        </w:numPr>
        <w:spacing w:after="80"/>
        <w:jc w:val="both"/>
        <w:rPr>
          <w:rFonts w:ascii="Aptos" w:hAnsi="Aptos"/>
          <w:sz w:val="20"/>
          <w:szCs w:val="20"/>
        </w:rPr>
      </w:pPr>
      <w:r w:rsidRPr="005D7C75">
        <w:rPr>
          <w:szCs w:val="20"/>
        </w:rPr>
        <w:t>Żadna ze Stron nie jest odpowiedzialna za niewykonanie lub nienależyte wykonanie zobowiązań wynikłe bezpośrednio z zaistnienia Siły Wyższej, z zastrzeżeniem ust. 2.</w:t>
      </w:r>
    </w:p>
    <w:p w14:paraId="105E9D60" w14:textId="77777777" w:rsidR="0085655F" w:rsidRPr="005D7C75" w:rsidRDefault="00CB7E42" w:rsidP="005D7C75">
      <w:pPr>
        <w:pStyle w:val="Akapitzlist"/>
        <w:numPr>
          <w:ilvl w:val="0"/>
          <w:numId w:val="31"/>
        </w:numPr>
        <w:spacing w:after="80"/>
        <w:jc w:val="both"/>
        <w:rPr>
          <w:rFonts w:ascii="Aptos" w:hAnsi="Aptos"/>
          <w:sz w:val="20"/>
          <w:szCs w:val="20"/>
        </w:rPr>
      </w:pPr>
      <w:r w:rsidRPr="005D7C75">
        <w:rPr>
          <w:szCs w:val="20"/>
        </w:rPr>
        <w:t>Wykonawca nie może powoływać się na Siłę Wyższą jako przesłankę zwalniającą z odpowiedzialności za opóźnienie, jeżeli o okolicznościach mogących wpłynąć na realizację Umowy (w szczególności o zakłóceniach łańcuchów dostaw, znanych ryzykach geopolitycznych) Wykonawca wiedział lub – przy zachowaniu najwyższej staranności zawodowej – mógł i powinien był wiedzieć w dacie zawierania Umowy.</w:t>
      </w:r>
    </w:p>
    <w:p w14:paraId="18C836A8" w14:textId="77777777" w:rsidR="0085655F" w:rsidRPr="005D7C75" w:rsidRDefault="00CB7E42" w:rsidP="005D7C75">
      <w:pPr>
        <w:pStyle w:val="Akapitzlist"/>
        <w:numPr>
          <w:ilvl w:val="0"/>
          <w:numId w:val="31"/>
        </w:numPr>
        <w:spacing w:after="80"/>
        <w:jc w:val="both"/>
        <w:rPr>
          <w:rFonts w:ascii="Aptos" w:hAnsi="Aptos"/>
          <w:sz w:val="20"/>
          <w:szCs w:val="20"/>
        </w:rPr>
      </w:pPr>
      <w:r w:rsidRPr="005D7C75">
        <w:rPr>
          <w:szCs w:val="20"/>
        </w:rPr>
        <w:t>Strona dotknięta Siłą Wyższą powiadamia drugą Stronę pisemnie w terminie 14 dni od dnia jej zaistnienia, wskazując opis i prawdopodobne skutki dla realizacji Umowy. Brak zawiadomienia w tym terminie powoduje utratę prawa powoływania się na Siłę Wyższą.</w:t>
      </w:r>
    </w:p>
    <w:p w14:paraId="53E59783" w14:textId="77777777" w:rsidR="0085655F" w:rsidRPr="005D7C75" w:rsidRDefault="00CB7E42" w:rsidP="005D7C75">
      <w:pPr>
        <w:pStyle w:val="Akapitzlist"/>
        <w:numPr>
          <w:ilvl w:val="0"/>
          <w:numId w:val="31"/>
        </w:numPr>
        <w:spacing w:after="80"/>
        <w:jc w:val="both"/>
        <w:rPr>
          <w:rFonts w:ascii="Aptos" w:hAnsi="Aptos"/>
          <w:sz w:val="20"/>
          <w:szCs w:val="20"/>
        </w:rPr>
      </w:pPr>
      <w:r w:rsidRPr="005D7C75">
        <w:rPr>
          <w:szCs w:val="20"/>
        </w:rPr>
        <w:t>O ustaniu Siły Wyższej Strona powiadamia drugą Stronę w terminie 14 dni od jej ustania.</w:t>
      </w:r>
    </w:p>
    <w:p w14:paraId="29F26FBD" w14:textId="77777777" w:rsidR="0085655F" w:rsidRPr="005D7C75" w:rsidRDefault="00CB7E42" w:rsidP="004954CC">
      <w:pPr>
        <w:spacing w:before="200" w:after="100"/>
        <w:jc w:val="center"/>
        <w:rPr>
          <w:rFonts w:ascii="Aptos" w:hAnsi="Aptos"/>
          <w:sz w:val="20"/>
          <w:szCs w:val="20"/>
        </w:rPr>
      </w:pPr>
      <w:r w:rsidRPr="005D7C75">
        <w:rPr>
          <w:b/>
          <w:bCs/>
          <w:szCs w:val="20"/>
        </w:rPr>
        <w:t>§ 18. Ochrona danych osobowych i poufność</w:t>
      </w:r>
    </w:p>
    <w:p w14:paraId="54B567F9" w14:textId="77777777" w:rsidR="0085655F" w:rsidRPr="005D7C75" w:rsidRDefault="00CB7E42" w:rsidP="005D7C75">
      <w:pPr>
        <w:pStyle w:val="Akapitzlist"/>
        <w:numPr>
          <w:ilvl w:val="0"/>
          <w:numId w:val="32"/>
        </w:numPr>
        <w:spacing w:after="80"/>
        <w:jc w:val="both"/>
        <w:rPr>
          <w:rFonts w:ascii="Aptos" w:hAnsi="Aptos"/>
          <w:sz w:val="20"/>
          <w:szCs w:val="20"/>
        </w:rPr>
      </w:pPr>
      <w:r w:rsidRPr="005D7C75">
        <w:rPr>
          <w:szCs w:val="20"/>
        </w:rPr>
        <w:t>Strony oświadczają, że są niezależnymi administratorami danych osobowych osób reprezentujących Strony oraz osób wskazanych do kontaktu i realizacji Umowy. Dane te będą przetwarzane wyłącznie w celu zawarcia i realizacji Umowy, na podstawie art. 6 ust. 1 lit. b) oraz f) RODO.</w:t>
      </w:r>
    </w:p>
    <w:p w14:paraId="4E628BC8" w14:textId="77777777" w:rsidR="0085655F" w:rsidRPr="005D7C75" w:rsidRDefault="00CB7E42" w:rsidP="005D7C75">
      <w:pPr>
        <w:pStyle w:val="Akapitzlist"/>
        <w:numPr>
          <w:ilvl w:val="0"/>
          <w:numId w:val="32"/>
        </w:numPr>
        <w:spacing w:after="80"/>
        <w:jc w:val="both"/>
        <w:rPr>
          <w:rFonts w:ascii="Aptos" w:hAnsi="Aptos"/>
          <w:sz w:val="20"/>
          <w:szCs w:val="20"/>
        </w:rPr>
      </w:pPr>
      <w:r w:rsidRPr="005D7C75">
        <w:rPr>
          <w:szCs w:val="20"/>
        </w:rPr>
        <w:t xml:space="preserve">W związku z realizacją projektu współfinansowanego ze środków KPO, administratorem danych osobowych przetwarzanych w ramach projektu jest CPPC. Zamawiający pełni rolę podmiotu przetwarzającego, a Wykonawca – dalszego podmiotu przetwarzającego. </w:t>
      </w:r>
      <w:r w:rsidRPr="005D7C75">
        <w:rPr>
          <w:szCs w:val="20"/>
        </w:rPr>
        <w:lastRenderedPageBreak/>
        <w:t>Wykonawca zobowiązuje się do przekazania treści klauzuli informacyjnej stanowiącej Załącznik nr 3 do Umowy wszystkim osobom fizycznym, których dane zostaną przekazane Zamawiającemu.</w:t>
      </w:r>
    </w:p>
    <w:p w14:paraId="359946B5" w14:textId="77777777" w:rsidR="0085655F" w:rsidRPr="005D7C75" w:rsidRDefault="00CB7E42" w:rsidP="005D7C75">
      <w:pPr>
        <w:pStyle w:val="Akapitzlist"/>
        <w:numPr>
          <w:ilvl w:val="0"/>
          <w:numId w:val="32"/>
        </w:numPr>
        <w:spacing w:after="80"/>
        <w:jc w:val="both"/>
        <w:rPr>
          <w:rFonts w:ascii="Aptos" w:hAnsi="Aptos"/>
          <w:sz w:val="20"/>
          <w:szCs w:val="20"/>
        </w:rPr>
      </w:pPr>
      <w:r w:rsidRPr="005D7C75">
        <w:rPr>
          <w:szCs w:val="20"/>
        </w:rPr>
        <w:t>Strony zgodnie oświadczają, że realizacja niniejszej Umowy (dostawa i konfiguracja stacji przesiadkowej OT oraz hardening systemów wskazanych w OPZ) co do zasady nie skutkuje powierzeniem przetwarzania danych osobowych odbiorców usług Zamawiającego. Sieć OT służy do monitorowania procesów technologicznych i co do zasady nie zawiera danych osobowych klientów.</w:t>
      </w:r>
    </w:p>
    <w:p w14:paraId="543A596E" w14:textId="77777777" w:rsidR="0085655F" w:rsidRPr="005D7C75" w:rsidRDefault="00CB7E42" w:rsidP="005D7C75">
      <w:pPr>
        <w:pStyle w:val="Akapitzlist"/>
        <w:numPr>
          <w:ilvl w:val="0"/>
          <w:numId w:val="32"/>
        </w:numPr>
        <w:spacing w:after="80"/>
        <w:jc w:val="both"/>
        <w:rPr>
          <w:rFonts w:ascii="Aptos" w:hAnsi="Aptos"/>
          <w:sz w:val="20"/>
          <w:szCs w:val="20"/>
        </w:rPr>
      </w:pPr>
      <w:r w:rsidRPr="005D7C75">
        <w:rPr>
          <w:szCs w:val="20"/>
        </w:rPr>
        <w:t>W przypadku gdyby prace wdrożeniowe lub czynności hardeningu wymagały incydentalnego wglądu w dane osobowe: Wykonawca zachowuje te dane w bezwzględnej poufności. Strony zobowiązują się do niezwłocznego zawarcia odrębnej Umowy Powierzenia Przetwarzania Danych Osobowych zgodnej z art. 28 RODO, o ile dostęp wykroczy poza charakter incydentalny.</w:t>
      </w:r>
    </w:p>
    <w:p w14:paraId="5D85BC55" w14:textId="77777777" w:rsidR="0085655F" w:rsidRPr="005D7C75" w:rsidRDefault="00CB7E42" w:rsidP="005D7C75">
      <w:pPr>
        <w:pStyle w:val="Akapitzlist"/>
        <w:numPr>
          <w:ilvl w:val="0"/>
          <w:numId w:val="32"/>
        </w:numPr>
        <w:spacing w:after="80"/>
        <w:jc w:val="both"/>
        <w:rPr>
          <w:rFonts w:ascii="Aptos" w:hAnsi="Aptos"/>
          <w:sz w:val="20"/>
          <w:szCs w:val="20"/>
        </w:rPr>
      </w:pPr>
      <w:r w:rsidRPr="005D7C75">
        <w:rPr>
          <w:szCs w:val="20"/>
        </w:rPr>
        <w:t>Wykonawca zachowuje w ścisłej tajemnicy wszelkie informacje techniczne i organizacyjne dotyczące Zamawiającego uzyskane w toku realizacji Umowy, w szczególności: adresację IP urządzeń OT, topologię sieci SCADA, konfigurację reguł bezpieczeństwa, hasła dostępowe, informacje o wykrytych podatnościach. Obowiązek poufności jest nieograniczony w czasie.</w:t>
      </w:r>
    </w:p>
    <w:p w14:paraId="6E96EDE1" w14:textId="77777777" w:rsidR="0085655F" w:rsidRPr="005D7C75" w:rsidRDefault="00CB7E42" w:rsidP="005D7C75">
      <w:pPr>
        <w:pStyle w:val="Akapitzlist"/>
        <w:numPr>
          <w:ilvl w:val="0"/>
          <w:numId w:val="32"/>
        </w:numPr>
        <w:spacing w:after="80"/>
        <w:jc w:val="both"/>
        <w:rPr>
          <w:rFonts w:ascii="Aptos" w:hAnsi="Aptos"/>
          <w:sz w:val="20"/>
          <w:szCs w:val="20"/>
        </w:rPr>
      </w:pPr>
      <w:r w:rsidRPr="005D7C75">
        <w:rPr>
          <w:szCs w:val="20"/>
        </w:rPr>
        <w:t>Wykonawca ponosi pełną odpowiedzialność odszkodowawczą za szkody wynikłe z naruszenia zasad poufności lub nieuprawnionego dostępu do sieci OT.</w:t>
      </w:r>
    </w:p>
    <w:p w14:paraId="2F30CB3F" w14:textId="77777777" w:rsidR="0085655F" w:rsidRPr="005D7C75" w:rsidRDefault="00CB7E42" w:rsidP="004954CC">
      <w:pPr>
        <w:spacing w:before="200" w:after="100"/>
        <w:jc w:val="center"/>
        <w:rPr>
          <w:rFonts w:ascii="Aptos" w:hAnsi="Aptos"/>
          <w:sz w:val="20"/>
          <w:szCs w:val="20"/>
        </w:rPr>
      </w:pPr>
      <w:r w:rsidRPr="005D7C75">
        <w:rPr>
          <w:b/>
          <w:bCs/>
          <w:szCs w:val="20"/>
        </w:rPr>
        <w:t>§ 19. Prawo odstąpienia od Umowy</w:t>
      </w:r>
    </w:p>
    <w:p w14:paraId="7DF2091F" w14:textId="77777777" w:rsidR="0085655F" w:rsidRPr="005D7C75" w:rsidRDefault="00CB7E42" w:rsidP="005D7C75">
      <w:pPr>
        <w:pStyle w:val="Akapitzlist"/>
        <w:numPr>
          <w:ilvl w:val="0"/>
          <w:numId w:val="33"/>
        </w:numPr>
        <w:spacing w:after="80"/>
        <w:jc w:val="both"/>
        <w:rPr>
          <w:rFonts w:ascii="Aptos" w:hAnsi="Aptos"/>
          <w:sz w:val="20"/>
          <w:szCs w:val="20"/>
        </w:rPr>
      </w:pPr>
      <w:r w:rsidRPr="005D7C75">
        <w:rPr>
          <w:szCs w:val="20"/>
        </w:rPr>
        <w:t>Zamawiający zastrzega sobie prawo do odstąpienia od Umowy w terminie 30 dni od dnia powzięcia wiedzy o zaistnieniu okoliczności uzasadniających odstąpienie. Prawo to przysługuje w każdym przypadku, gdy działanie lub zaniechanie Wykonawcy stwarza ryzyko utraty, zwrotu lub uszczuplenia dofinansowania z KPO.</w:t>
      </w:r>
    </w:p>
    <w:p w14:paraId="4954F747" w14:textId="77777777" w:rsidR="0085655F" w:rsidRPr="005D7C75" w:rsidRDefault="00CB7E42" w:rsidP="005D7C75">
      <w:pPr>
        <w:pStyle w:val="Akapitzlist"/>
        <w:numPr>
          <w:ilvl w:val="0"/>
          <w:numId w:val="33"/>
        </w:numPr>
        <w:spacing w:after="80"/>
        <w:jc w:val="both"/>
        <w:rPr>
          <w:rFonts w:ascii="Aptos" w:hAnsi="Aptos"/>
          <w:sz w:val="20"/>
          <w:szCs w:val="20"/>
        </w:rPr>
      </w:pPr>
      <w:r w:rsidRPr="005D7C75">
        <w:rPr>
          <w:szCs w:val="20"/>
        </w:rPr>
        <w:t>Zamawiający ma prawo odstąpić od Umowy, w szczególności gdy:</w:t>
      </w:r>
    </w:p>
    <w:p w14:paraId="5B9F32F0" w14:textId="77777777" w:rsidR="0085655F" w:rsidRPr="005D7C75" w:rsidRDefault="00CB7E42" w:rsidP="005D7C75">
      <w:pPr>
        <w:pStyle w:val="Akapitzlist"/>
        <w:numPr>
          <w:ilvl w:val="0"/>
          <w:numId w:val="34"/>
        </w:numPr>
        <w:spacing w:after="80"/>
        <w:jc w:val="both"/>
        <w:rPr>
          <w:rFonts w:ascii="Aptos" w:hAnsi="Aptos"/>
          <w:sz w:val="20"/>
          <w:szCs w:val="20"/>
        </w:rPr>
      </w:pPr>
      <w:r w:rsidRPr="005D7C75">
        <w:rPr>
          <w:szCs w:val="20"/>
        </w:rPr>
        <w:t>zwłoka Wykonawcy w realizacji całości lub części Przedmiotu Umowy przekracza 21 dni, po uprzednim pisemnym wezwaniu i wyznaczeniu dodatkowego terminu nie dłuższego niż 7 dni; odstąpienie jest w pełni skuteczne, jeżeli opóźnienie skutkuje lub stwarza ryzyko utraty dofinansowania;</w:t>
      </w:r>
    </w:p>
    <w:p w14:paraId="0571FA5B" w14:textId="77777777" w:rsidR="0085655F" w:rsidRPr="005D7C75" w:rsidRDefault="00CB7E42" w:rsidP="005D7C75">
      <w:pPr>
        <w:pStyle w:val="Akapitzlist"/>
        <w:numPr>
          <w:ilvl w:val="0"/>
          <w:numId w:val="34"/>
        </w:numPr>
        <w:spacing w:after="80"/>
        <w:jc w:val="both"/>
        <w:rPr>
          <w:rFonts w:ascii="Aptos" w:hAnsi="Aptos"/>
          <w:sz w:val="20"/>
          <w:szCs w:val="20"/>
        </w:rPr>
      </w:pPr>
      <w:r w:rsidRPr="005D7C75">
        <w:rPr>
          <w:szCs w:val="20"/>
        </w:rPr>
        <w:t>Wykonawca wykonuje Przedmiot Umowy wadliwie lub niezgodnie z OPZ, co rzutuje na ryzyko utraty dofinansowania (po jednokrotnym pisemnym wezwaniu);</w:t>
      </w:r>
    </w:p>
    <w:p w14:paraId="009E2E62" w14:textId="77777777" w:rsidR="0085655F" w:rsidRPr="005D7C75" w:rsidRDefault="00CB7E42" w:rsidP="005D7C75">
      <w:pPr>
        <w:pStyle w:val="Akapitzlist"/>
        <w:numPr>
          <w:ilvl w:val="0"/>
          <w:numId w:val="34"/>
        </w:numPr>
        <w:spacing w:after="80"/>
        <w:jc w:val="both"/>
        <w:rPr>
          <w:rFonts w:ascii="Aptos" w:hAnsi="Aptos"/>
          <w:sz w:val="20"/>
          <w:szCs w:val="20"/>
        </w:rPr>
      </w:pPr>
      <w:r w:rsidRPr="005D7C75">
        <w:rPr>
          <w:szCs w:val="20"/>
        </w:rPr>
        <w:t>złożono wniosek o ogłoszenie upadłości Wykonawcy lub otwarto postępowanie restrukturyzacyjne (bez konieczności uprzedniego wezwania);</w:t>
      </w:r>
    </w:p>
    <w:p w14:paraId="4F66175A" w14:textId="77777777" w:rsidR="0085655F" w:rsidRPr="005D7C75" w:rsidRDefault="00CB7E42" w:rsidP="005D7C75">
      <w:pPr>
        <w:pStyle w:val="Akapitzlist"/>
        <w:numPr>
          <w:ilvl w:val="0"/>
          <w:numId w:val="34"/>
        </w:numPr>
        <w:spacing w:after="80"/>
        <w:jc w:val="both"/>
        <w:rPr>
          <w:rFonts w:ascii="Aptos" w:hAnsi="Aptos"/>
          <w:sz w:val="20"/>
          <w:szCs w:val="20"/>
        </w:rPr>
      </w:pPr>
      <w:r w:rsidRPr="005D7C75">
        <w:rPr>
          <w:szCs w:val="20"/>
        </w:rPr>
        <w:t>wobec producenta lub rozwiązania objętego przedmiotem Umowy ogłoszono decyzję, o której mowa w art. 67b ust. 15 ustawy o KSC, albo rekomendację, o której mowa w art. 33 ust. 4 tej ustawy, a Strony nie uzgodniły zmiany Umowy w trybie § 15 ust. 6, albo Wykonawca naruszył zasady dotyczące sankcji;</w:t>
      </w:r>
    </w:p>
    <w:p w14:paraId="1A9AC8EA" w14:textId="77777777" w:rsidR="0085655F" w:rsidRPr="005D7C75" w:rsidRDefault="00CB7E42" w:rsidP="005D7C75">
      <w:pPr>
        <w:pStyle w:val="Akapitzlist"/>
        <w:numPr>
          <w:ilvl w:val="0"/>
          <w:numId w:val="34"/>
        </w:numPr>
        <w:spacing w:after="80"/>
        <w:jc w:val="both"/>
        <w:rPr>
          <w:rFonts w:ascii="Aptos" w:hAnsi="Aptos"/>
          <w:sz w:val="20"/>
          <w:szCs w:val="20"/>
        </w:rPr>
      </w:pPr>
      <w:r w:rsidRPr="005D7C75">
        <w:rPr>
          <w:szCs w:val="20"/>
        </w:rPr>
        <w:t>Zamawiający nie uzyska lub utraci źródło finansowania wskazane w Preambule.</w:t>
      </w:r>
    </w:p>
    <w:p w14:paraId="3F1A898E" w14:textId="77777777" w:rsidR="0085655F" w:rsidRPr="005D7C75" w:rsidRDefault="00CB7E42" w:rsidP="005D7C75">
      <w:pPr>
        <w:pStyle w:val="Akapitzlist"/>
        <w:numPr>
          <w:ilvl w:val="0"/>
          <w:numId w:val="33"/>
        </w:numPr>
        <w:spacing w:after="80"/>
        <w:jc w:val="both"/>
        <w:rPr>
          <w:rFonts w:ascii="Aptos" w:hAnsi="Aptos"/>
          <w:sz w:val="20"/>
          <w:szCs w:val="20"/>
        </w:rPr>
      </w:pPr>
      <w:r w:rsidRPr="005D7C75">
        <w:rPr>
          <w:szCs w:val="20"/>
        </w:rPr>
        <w:t>Odstąpienie od Umowy następuje pisemnie z podaniem przyczyny.</w:t>
      </w:r>
    </w:p>
    <w:p w14:paraId="781BF08A" w14:textId="77777777" w:rsidR="0085655F" w:rsidRPr="005D7C75" w:rsidRDefault="00CB7E42" w:rsidP="005D7C75">
      <w:pPr>
        <w:pStyle w:val="Akapitzlist"/>
        <w:numPr>
          <w:ilvl w:val="0"/>
          <w:numId w:val="33"/>
        </w:numPr>
        <w:spacing w:after="80"/>
        <w:jc w:val="both"/>
        <w:rPr>
          <w:rFonts w:ascii="Aptos" w:hAnsi="Aptos"/>
          <w:sz w:val="20"/>
          <w:szCs w:val="20"/>
        </w:rPr>
      </w:pPr>
      <w:r w:rsidRPr="005D7C75">
        <w:rPr>
          <w:szCs w:val="20"/>
        </w:rPr>
        <w:t>W przypadku odstąpienia z przyczyn leżących po stronie Wykonawcy, Zamawiający zachowuje prawo do kary umownej, o której mowa w § 9 ust. 1 lit. i).</w:t>
      </w:r>
    </w:p>
    <w:p w14:paraId="62E7C3CF" w14:textId="77777777" w:rsidR="0085655F" w:rsidRPr="005D7C75" w:rsidRDefault="00CB7E42" w:rsidP="005D7C75">
      <w:pPr>
        <w:pStyle w:val="Akapitzlist"/>
        <w:numPr>
          <w:ilvl w:val="0"/>
          <w:numId w:val="33"/>
        </w:numPr>
        <w:spacing w:after="80"/>
        <w:jc w:val="both"/>
        <w:rPr>
          <w:rFonts w:ascii="Aptos" w:hAnsi="Aptos"/>
          <w:sz w:val="20"/>
          <w:szCs w:val="20"/>
        </w:rPr>
      </w:pPr>
      <w:r w:rsidRPr="005D7C75">
        <w:rPr>
          <w:szCs w:val="20"/>
        </w:rPr>
        <w:t>Wykonawca może odstąpić od Umowy wyłącznie w przypadku zwłoki Zamawiającego w zapłacie wynagrodzenia przekraczającej 30 dni, po uprzednim pisemnym wezwaniu z wyznaczeniem terminu dodatkowego nie krótszego niż 14 dni.</w:t>
      </w:r>
    </w:p>
    <w:p w14:paraId="704FC8C5" w14:textId="77777777" w:rsidR="0085655F" w:rsidRPr="005D7C75" w:rsidRDefault="00CB7E42" w:rsidP="004954CC">
      <w:pPr>
        <w:spacing w:before="200" w:after="100"/>
        <w:jc w:val="center"/>
        <w:rPr>
          <w:rFonts w:ascii="Aptos" w:hAnsi="Aptos"/>
          <w:sz w:val="20"/>
          <w:szCs w:val="20"/>
        </w:rPr>
      </w:pPr>
      <w:r w:rsidRPr="005D7C75">
        <w:rPr>
          <w:b/>
          <w:bCs/>
          <w:szCs w:val="20"/>
        </w:rPr>
        <w:t>§ 20. Postanowienia końcowe</w:t>
      </w:r>
    </w:p>
    <w:p w14:paraId="3FD60EF9" w14:textId="77777777" w:rsidR="0085655F" w:rsidRPr="005D7C75" w:rsidRDefault="00CB7E42" w:rsidP="005D7C75">
      <w:pPr>
        <w:pStyle w:val="Akapitzlist"/>
        <w:numPr>
          <w:ilvl w:val="0"/>
          <w:numId w:val="35"/>
        </w:numPr>
        <w:spacing w:after="80"/>
        <w:jc w:val="both"/>
        <w:rPr>
          <w:rFonts w:ascii="Aptos" w:hAnsi="Aptos"/>
          <w:sz w:val="20"/>
          <w:szCs w:val="20"/>
        </w:rPr>
      </w:pPr>
      <w:r w:rsidRPr="005D7C75">
        <w:rPr>
          <w:szCs w:val="20"/>
        </w:rPr>
        <w:lastRenderedPageBreak/>
        <w:t>W sprawach nieuregulowanych niniejszą Umową mają zastosowanie przepisy Kodeksu cywilnego, a w zakresie dostarczanego oprogramowania – przepisy ustawy z dnia 4 lutego 1994 r. o prawie autorskim i prawach pokrewnych (t.j. Dz.U. z 2025 r. poz. 24 ze zm.).</w:t>
      </w:r>
    </w:p>
    <w:p w14:paraId="12094565" w14:textId="77777777" w:rsidR="0085655F" w:rsidRPr="005D7C75" w:rsidRDefault="00CB7E42" w:rsidP="005D7C75">
      <w:pPr>
        <w:pStyle w:val="Akapitzlist"/>
        <w:numPr>
          <w:ilvl w:val="0"/>
          <w:numId w:val="35"/>
        </w:numPr>
        <w:spacing w:after="80"/>
        <w:jc w:val="both"/>
        <w:rPr>
          <w:rFonts w:ascii="Aptos" w:hAnsi="Aptos"/>
          <w:sz w:val="20"/>
          <w:szCs w:val="20"/>
        </w:rPr>
      </w:pPr>
      <w:r w:rsidRPr="005D7C75">
        <w:rPr>
          <w:szCs w:val="20"/>
        </w:rPr>
        <w:t>Ewentualne spory wynikłe na tle realizacji Umowy Strony będą starały się rozwiązać polubownie. W przypadku bezskuteczności działań ugodowych, spór zostanie poddany pod rozstrzygnięcie sądu powszechnego właściwego dla siedziby Zamawiającego</w:t>
      </w:r>
      <w:r w:rsidR="00EB51F8" w:rsidRPr="005D7C75">
        <w:rPr>
          <w:szCs w:val="20"/>
        </w:rPr>
        <w:t>.</w:t>
      </w:r>
    </w:p>
    <w:p w14:paraId="08B7EC7E" w14:textId="77777777" w:rsidR="0085655F" w:rsidRPr="005D7C75" w:rsidRDefault="00CB7E42" w:rsidP="005D7C75">
      <w:pPr>
        <w:pStyle w:val="Akapitzlist"/>
        <w:numPr>
          <w:ilvl w:val="0"/>
          <w:numId w:val="35"/>
        </w:numPr>
        <w:spacing w:after="80"/>
        <w:jc w:val="both"/>
        <w:rPr>
          <w:rFonts w:ascii="Aptos" w:hAnsi="Aptos"/>
          <w:sz w:val="20"/>
          <w:szCs w:val="20"/>
        </w:rPr>
      </w:pPr>
      <w:r w:rsidRPr="005D7C75">
        <w:rPr>
          <w:szCs w:val="20"/>
        </w:rPr>
        <w:t>Osoby do kontaktu w sprawach bieżącej realizacji, nadzoru nad wdrożeniem OT i zgłoszeń serwisowych:</w:t>
      </w:r>
    </w:p>
    <w:p w14:paraId="12F8451D"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Ze strony Zamawiającego: ………………………………, tel. ………………………, e-mail: ………………………</w:t>
      </w:r>
    </w:p>
    <w:p w14:paraId="59802ADF"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Ze strony Wykonawcy: ………………………………, tel. ………………………, e-mail: ………………………</w:t>
      </w:r>
    </w:p>
    <w:p w14:paraId="24F995D7" w14:textId="77777777" w:rsidR="0085655F" w:rsidRPr="005D7C75" w:rsidRDefault="00CB7E42" w:rsidP="005D7C75">
      <w:pPr>
        <w:pStyle w:val="Akapitzlist"/>
        <w:numPr>
          <w:ilvl w:val="0"/>
          <w:numId w:val="35"/>
        </w:numPr>
        <w:spacing w:after="80"/>
        <w:jc w:val="both"/>
        <w:rPr>
          <w:rFonts w:ascii="Aptos" w:hAnsi="Aptos"/>
          <w:sz w:val="20"/>
          <w:szCs w:val="20"/>
        </w:rPr>
      </w:pPr>
      <w:r w:rsidRPr="005D7C75">
        <w:rPr>
          <w:szCs w:val="20"/>
        </w:rPr>
        <w:t>Wykonawca nie może przenieść wierzytelności wynikających z niniejszej Umowy na osobę trzecią bez uprzedniej pisemnej zgody Zamawiającego pod rygorem nieważności.</w:t>
      </w:r>
    </w:p>
    <w:p w14:paraId="15F61101" w14:textId="77777777" w:rsidR="0085655F" w:rsidRPr="005D7C75" w:rsidRDefault="00CB7E42" w:rsidP="005D7C75">
      <w:pPr>
        <w:pStyle w:val="Akapitzlist"/>
        <w:numPr>
          <w:ilvl w:val="0"/>
          <w:numId w:val="35"/>
        </w:numPr>
        <w:spacing w:after="80"/>
        <w:jc w:val="both"/>
        <w:rPr>
          <w:rFonts w:ascii="Aptos" w:hAnsi="Aptos"/>
          <w:sz w:val="20"/>
          <w:szCs w:val="20"/>
        </w:rPr>
      </w:pPr>
      <w:r w:rsidRPr="005D7C75">
        <w:rPr>
          <w:szCs w:val="20"/>
        </w:rPr>
        <w:t>Umowę sporządzono w dwóch jednobrzmiących egzemplarzach, po jednym dla każdej ze Stron (lub w formie elektronicznej opatrzonej kwalifikowanymi podpisami elektronicznymi).</w:t>
      </w:r>
    </w:p>
    <w:p w14:paraId="1BF71A2C" w14:textId="77777777" w:rsidR="0085655F" w:rsidRPr="005D7C75" w:rsidRDefault="00CB7E42" w:rsidP="005D7C75">
      <w:pPr>
        <w:pStyle w:val="Akapitzlist"/>
        <w:numPr>
          <w:ilvl w:val="0"/>
          <w:numId w:val="35"/>
        </w:numPr>
        <w:spacing w:after="80"/>
        <w:jc w:val="both"/>
        <w:rPr>
          <w:rFonts w:ascii="Aptos" w:hAnsi="Aptos"/>
          <w:sz w:val="20"/>
          <w:szCs w:val="20"/>
        </w:rPr>
      </w:pPr>
      <w:r w:rsidRPr="005D7C75">
        <w:rPr>
          <w:szCs w:val="20"/>
        </w:rPr>
        <w:t>Integralną część niniejszej Umowy stanowią:</w:t>
      </w:r>
    </w:p>
    <w:p w14:paraId="71B3D669"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Załącznik nr 1 – Opis Przedmiotu Zamówienia (OPZ) – Część 2;</w:t>
      </w:r>
    </w:p>
    <w:p w14:paraId="1B355E7A"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Załącznik nr 2 – Oferta Wykonawcy;</w:t>
      </w:r>
    </w:p>
    <w:p w14:paraId="69762A30"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Załącznik nr 3 – Klauzula informacyjna RODO;</w:t>
      </w:r>
    </w:p>
    <w:p w14:paraId="753D524B"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Załącznik nr 4 – Kwestionariusz Oceny Ryzyka Dostawcy.</w:t>
      </w:r>
    </w:p>
    <w:p w14:paraId="4C8B05CD" w14:textId="77777777" w:rsidR="0085655F" w:rsidRDefault="0085655F" w:rsidP="005D7C75">
      <w:pPr>
        <w:spacing w:after="300"/>
        <w:jc w:val="both"/>
        <w:rPr>
          <w:rFonts w:ascii="Aptos" w:hAnsi="Aptos"/>
          <w:sz w:val="20"/>
          <w:szCs w:val="20"/>
        </w:rPr>
      </w:pPr>
    </w:p>
    <w:p w14:paraId="0C6A5B5F" w14:textId="77777777" w:rsidR="004954CC" w:rsidRPr="005D7C75" w:rsidRDefault="004954CC" w:rsidP="005D7C75">
      <w:pPr>
        <w:spacing w:after="300"/>
        <w:jc w:val="both"/>
        <w:rPr>
          <w:rFonts w:ascii="Aptos" w:hAnsi="Aptos"/>
          <w:sz w:val="20"/>
          <w:szCs w:val="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13"/>
        <w:gridCol w:w="400"/>
        <w:gridCol w:w="4313"/>
      </w:tblGrid>
      <w:tr w:rsidR="0085655F" w:rsidRPr="005D7C75" w14:paraId="648B65E5" w14:textId="77777777">
        <w:tc>
          <w:tcPr>
            <w:tcW w:w="4313" w:type="dxa"/>
            <w:tcBorders>
              <w:top w:val="none" w:sz="0" w:space="0" w:color="FFFFFF"/>
              <w:left w:val="none" w:sz="0" w:space="0" w:color="FFFFFF"/>
              <w:bottom w:val="none" w:sz="0" w:space="0" w:color="FFFFFF"/>
              <w:right w:val="none" w:sz="0" w:space="0" w:color="FFFFFF"/>
            </w:tcBorders>
          </w:tcPr>
          <w:p w14:paraId="67401371" w14:textId="77777777" w:rsidR="0085655F" w:rsidRPr="004954CC" w:rsidRDefault="00CB7E42" w:rsidP="004954CC">
            <w:pPr>
              <w:jc w:val="center"/>
              <w:rPr>
                <w:rFonts w:ascii="Aptos" w:hAnsi="Aptos"/>
                <w:b/>
                <w:bCs/>
                <w:sz w:val="20"/>
                <w:szCs w:val="20"/>
              </w:rPr>
            </w:pPr>
            <w:r w:rsidRPr="004954CC">
              <w:rPr>
                <w:b/>
                <w:bCs/>
                <w:szCs w:val="20"/>
              </w:rPr>
              <w:t>ZAMAWIAJĄCY</w:t>
            </w:r>
          </w:p>
        </w:tc>
        <w:tc>
          <w:tcPr>
            <w:tcW w:w="400" w:type="dxa"/>
            <w:tcBorders>
              <w:top w:val="none" w:sz="0" w:space="0" w:color="FFFFFF"/>
              <w:left w:val="none" w:sz="0" w:space="0" w:color="FFFFFF"/>
              <w:bottom w:val="none" w:sz="0" w:space="0" w:color="FFFFFF"/>
              <w:right w:val="none" w:sz="0" w:space="0" w:color="FFFFFF"/>
            </w:tcBorders>
          </w:tcPr>
          <w:p w14:paraId="2036BE47" w14:textId="77777777" w:rsidR="0085655F" w:rsidRPr="004954CC" w:rsidRDefault="0085655F" w:rsidP="004954CC">
            <w:pPr>
              <w:spacing w:after="120"/>
              <w:jc w:val="center"/>
              <w:rPr>
                <w:rFonts w:ascii="Aptos" w:hAnsi="Aptos"/>
                <w:b/>
                <w:bC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6F2E76AB" w14:textId="77777777" w:rsidR="0085655F" w:rsidRPr="004954CC" w:rsidRDefault="00CB7E42" w:rsidP="004954CC">
            <w:pPr>
              <w:jc w:val="center"/>
              <w:rPr>
                <w:rFonts w:ascii="Aptos" w:hAnsi="Aptos"/>
                <w:b/>
                <w:bCs/>
                <w:sz w:val="20"/>
                <w:szCs w:val="20"/>
              </w:rPr>
            </w:pPr>
            <w:r w:rsidRPr="004954CC">
              <w:rPr>
                <w:b/>
                <w:bCs/>
                <w:szCs w:val="20"/>
              </w:rPr>
              <w:t>WYKONAWCA</w:t>
            </w:r>
          </w:p>
        </w:tc>
      </w:tr>
      <w:tr w:rsidR="0085655F" w:rsidRPr="005D7C75" w14:paraId="252E5EE8" w14:textId="77777777">
        <w:tc>
          <w:tcPr>
            <w:tcW w:w="4313" w:type="dxa"/>
            <w:tcBorders>
              <w:top w:val="none" w:sz="0" w:space="0" w:color="FFFFFF"/>
              <w:left w:val="none" w:sz="0" w:space="0" w:color="FFFFFF"/>
              <w:bottom w:val="none" w:sz="0" w:space="0" w:color="FFFFFF"/>
              <w:right w:val="none" w:sz="0" w:space="0" w:color="FFFFFF"/>
            </w:tcBorders>
          </w:tcPr>
          <w:p w14:paraId="52D0F20F" w14:textId="77777777" w:rsidR="0085655F" w:rsidRPr="005D7C75" w:rsidRDefault="00CB7E42" w:rsidP="004954CC">
            <w:pPr>
              <w:jc w:val="center"/>
              <w:rPr>
                <w:rFonts w:ascii="Aptos" w:hAnsi="Aptos"/>
                <w:sz w:val="20"/>
                <w:szCs w:val="20"/>
              </w:rPr>
            </w:pPr>
            <w:r w:rsidRPr="005D7C75">
              <w:rPr>
                <w:szCs w:val="20"/>
              </w:rPr>
              <w:t>…………………………………………………</w:t>
            </w:r>
          </w:p>
          <w:p w14:paraId="34E30A8F" w14:textId="77777777" w:rsidR="0085655F" w:rsidRPr="005D7C75" w:rsidRDefault="00CB7E42" w:rsidP="004954CC">
            <w:pPr>
              <w:jc w:val="center"/>
              <w:rPr>
                <w:rFonts w:ascii="Aptos" w:hAnsi="Aptos"/>
                <w:sz w:val="20"/>
                <w:szCs w:val="20"/>
              </w:rPr>
            </w:pPr>
            <w:r w:rsidRPr="005D7C75">
              <w:rPr>
                <w:i/>
                <w:iCs/>
                <w:szCs w:val="20"/>
              </w:rPr>
              <w:t>(pieczęć i podpis)</w:t>
            </w:r>
          </w:p>
        </w:tc>
        <w:tc>
          <w:tcPr>
            <w:tcW w:w="400" w:type="dxa"/>
            <w:tcBorders>
              <w:top w:val="none" w:sz="0" w:space="0" w:color="FFFFFF"/>
              <w:left w:val="none" w:sz="0" w:space="0" w:color="FFFFFF"/>
              <w:bottom w:val="none" w:sz="0" w:space="0" w:color="FFFFFF"/>
              <w:right w:val="none" w:sz="0" w:space="0" w:color="FFFFFF"/>
            </w:tcBorders>
          </w:tcPr>
          <w:p w14:paraId="0518D304" w14:textId="77777777" w:rsidR="0085655F" w:rsidRPr="005D7C75" w:rsidRDefault="0085655F" w:rsidP="004954CC">
            <w:pPr>
              <w:spacing w:after="120"/>
              <w:jc w:val="center"/>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2463E35F" w14:textId="77777777" w:rsidR="0085655F" w:rsidRPr="005D7C75" w:rsidRDefault="00CB7E42" w:rsidP="004954CC">
            <w:pPr>
              <w:jc w:val="center"/>
              <w:rPr>
                <w:rFonts w:ascii="Aptos" w:hAnsi="Aptos"/>
                <w:sz w:val="20"/>
                <w:szCs w:val="20"/>
              </w:rPr>
            </w:pPr>
            <w:r w:rsidRPr="005D7C75">
              <w:rPr>
                <w:szCs w:val="20"/>
              </w:rPr>
              <w:t>…………………………………………………</w:t>
            </w:r>
          </w:p>
          <w:p w14:paraId="27167FB7" w14:textId="77777777" w:rsidR="0085655F" w:rsidRPr="005D7C75" w:rsidRDefault="00CB7E42" w:rsidP="004954CC">
            <w:pPr>
              <w:jc w:val="center"/>
              <w:rPr>
                <w:rFonts w:ascii="Aptos" w:hAnsi="Aptos"/>
                <w:sz w:val="20"/>
                <w:szCs w:val="20"/>
              </w:rPr>
            </w:pPr>
            <w:r w:rsidRPr="005D7C75">
              <w:rPr>
                <w:i/>
                <w:iCs/>
                <w:szCs w:val="20"/>
              </w:rPr>
              <w:t>(pieczęć i podpis)</w:t>
            </w:r>
          </w:p>
        </w:tc>
      </w:tr>
      <w:tr w:rsidR="004954CC" w:rsidRPr="005D7C75" w14:paraId="11891819" w14:textId="77777777">
        <w:tc>
          <w:tcPr>
            <w:tcW w:w="4313" w:type="dxa"/>
            <w:tcBorders>
              <w:top w:val="none" w:sz="0" w:space="0" w:color="FFFFFF"/>
              <w:left w:val="none" w:sz="0" w:space="0" w:color="FFFFFF"/>
              <w:bottom w:val="none" w:sz="0" w:space="0" w:color="FFFFFF"/>
              <w:right w:val="none" w:sz="0" w:space="0" w:color="FFFFFF"/>
            </w:tcBorders>
          </w:tcPr>
          <w:p w14:paraId="7EFBB26F" w14:textId="77777777" w:rsidR="004954CC" w:rsidRPr="005D7C75" w:rsidRDefault="004954CC" w:rsidP="005D7C75">
            <w:pPr>
              <w:jc w:val="both"/>
              <w:rPr>
                <w:rFonts w:ascii="Aptos" w:hAnsi="Aptos"/>
                <w:sz w:val="20"/>
                <w:szCs w:val="20"/>
              </w:rPr>
            </w:pPr>
          </w:p>
        </w:tc>
        <w:tc>
          <w:tcPr>
            <w:tcW w:w="400" w:type="dxa"/>
            <w:tcBorders>
              <w:top w:val="none" w:sz="0" w:space="0" w:color="FFFFFF"/>
              <w:left w:val="none" w:sz="0" w:space="0" w:color="FFFFFF"/>
              <w:bottom w:val="none" w:sz="0" w:space="0" w:color="FFFFFF"/>
              <w:right w:val="none" w:sz="0" w:space="0" w:color="FFFFFF"/>
            </w:tcBorders>
          </w:tcPr>
          <w:p w14:paraId="18F94975" w14:textId="77777777" w:rsidR="004954CC" w:rsidRPr="005D7C75" w:rsidRDefault="004954CC" w:rsidP="005D7C75">
            <w:pPr>
              <w:spacing w:after="12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2E83CE2B" w14:textId="77777777" w:rsidR="004954CC" w:rsidRPr="005D7C75" w:rsidRDefault="004954CC" w:rsidP="005D7C75">
            <w:pPr>
              <w:jc w:val="both"/>
              <w:rPr>
                <w:rFonts w:ascii="Aptos" w:hAnsi="Aptos"/>
                <w:sz w:val="20"/>
                <w:szCs w:val="20"/>
              </w:rPr>
            </w:pPr>
          </w:p>
        </w:tc>
      </w:tr>
    </w:tbl>
    <w:p w14:paraId="536E2DB4" w14:textId="77777777" w:rsidR="0085655F" w:rsidRPr="005D7C75" w:rsidRDefault="00CB7E42" w:rsidP="005D7C75">
      <w:pPr>
        <w:jc w:val="both"/>
        <w:rPr>
          <w:rFonts w:ascii="Aptos" w:hAnsi="Aptos"/>
          <w:sz w:val="20"/>
          <w:szCs w:val="20"/>
        </w:rPr>
      </w:pPr>
      <w:r w:rsidRPr="005D7C75">
        <w:rPr>
          <w:szCs w:val="20"/>
        </w:rPr>
        <w:br w:type="page"/>
      </w:r>
    </w:p>
    <w:p w14:paraId="44DC3C30" w14:textId="77777777" w:rsidR="0085655F" w:rsidRPr="005D7C75" w:rsidRDefault="00CB7E42" w:rsidP="005D7C75">
      <w:pPr>
        <w:spacing w:after="200"/>
        <w:jc w:val="both"/>
        <w:rPr>
          <w:rFonts w:ascii="Aptos" w:hAnsi="Aptos"/>
          <w:sz w:val="20"/>
          <w:szCs w:val="20"/>
        </w:rPr>
      </w:pPr>
      <w:r w:rsidRPr="005D7C75">
        <w:rPr>
          <w:b/>
          <w:bCs/>
          <w:i/>
          <w:iCs/>
          <w:szCs w:val="20"/>
        </w:rPr>
        <w:lastRenderedPageBreak/>
        <w:t xml:space="preserve">Załącznik nr 3 do Umowy </w:t>
      </w:r>
    </w:p>
    <w:p w14:paraId="4FFDE98F" w14:textId="77777777" w:rsidR="0085655F" w:rsidRPr="005D7C75" w:rsidRDefault="00CB7E42" w:rsidP="005D7C75">
      <w:pPr>
        <w:spacing w:after="80"/>
        <w:jc w:val="both"/>
        <w:rPr>
          <w:rFonts w:ascii="Aptos" w:hAnsi="Aptos"/>
          <w:sz w:val="20"/>
          <w:szCs w:val="20"/>
        </w:rPr>
      </w:pPr>
      <w:r w:rsidRPr="005D7C75">
        <w:rPr>
          <w:b/>
          <w:bCs/>
          <w:szCs w:val="20"/>
        </w:rPr>
        <w:t>KLAUZULA INFORMACYJNA</w:t>
      </w:r>
    </w:p>
    <w:p w14:paraId="5AF5F0E8" w14:textId="77777777" w:rsidR="0085655F" w:rsidRPr="005D7C75" w:rsidRDefault="00CB7E42" w:rsidP="005D7C75">
      <w:pPr>
        <w:spacing w:after="200"/>
        <w:jc w:val="both"/>
        <w:rPr>
          <w:rFonts w:ascii="Aptos" w:hAnsi="Aptos"/>
          <w:sz w:val="20"/>
          <w:szCs w:val="20"/>
        </w:rPr>
      </w:pPr>
      <w:r w:rsidRPr="005D7C75">
        <w:rPr>
          <w:szCs w:val="20"/>
        </w:rPr>
        <w:t>o przetwarzaniu danych osobowych przez Centrum Projektów Polska Cyfrowa (CPPC)</w:t>
      </w:r>
    </w:p>
    <w:p w14:paraId="2827EBF2" w14:textId="77777777" w:rsidR="0085655F" w:rsidRPr="005D7C75" w:rsidRDefault="00CB7E42" w:rsidP="005D7C75">
      <w:pPr>
        <w:spacing w:after="60"/>
        <w:jc w:val="both"/>
        <w:rPr>
          <w:rFonts w:ascii="Aptos" w:hAnsi="Aptos"/>
          <w:sz w:val="20"/>
          <w:szCs w:val="20"/>
        </w:rPr>
      </w:pPr>
      <w:r w:rsidRPr="005D7C75">
        <w:rPr>
          <w:b/>
          <w:bCs/>
          <w:szCs w:val="20"/>
        </w:rPr>
        <w:t>Administrator danych</w:t>
      </w:r>
    </w:p>
    <w:p w14:paraId="1E935977" w14:textId="77777777" w:rsidR="0085655F" w:rsidRPr="005D7C75" w:rsidRDefault="00CB7E42" w:rsidP="005D7C75">
      <w:pPr>
        <w:spacing w:after="120"/>
        <w:jc w:val="both"/>
        <w:rPr>
          <w:rFonts w:ascii="Aptos" w:hAnsi="Aptos"/>
          <w:sz w:val="20"/>
          <w:szCs w:val="20"/>
        </w:rPr>
      </w:pPr>
      <w:r w:rsidRPr="005D7C75">
        <w:rPr>
          <w:szCs w:val="20"/>
        </w:rPr>
        <w:t>Administratorem danych osobowych przetwarzanych w ramach niniejszego projektu jest Centrum Projektów Polska Cyfrowa (CPPC), ul. Spokojna 13A, 01-044 Warszawa. CPPC otrzymało dane osobowe od Grantobiorców realizujących projekty w ramach Inwestycji C3.1.1 KPO.</w:t>
      </w:r>
    </w:p>
    <w:p w14:paraId="15DBE6B3" w14:textId="77777777" w:rsidR="0085655F" w:rsidRPr="005D7C75" w:rsidRDefault="00CB7E42" w:rsidP="005D7C75">
      <w:pPr>
        <w:spacing w:after="60"/>
        <w:jc w:val="both"/>
        <w:rPr>
          <w:rFonts w:ascii="Aptos" w:hAnsi="Aptos"/>
          <w:sz w:val="20"/>
          <w:szCs w:val="20"/>
        </w:rPr>
      </w:pPr>
      <w:r w:rsidRPr="005D7C75">
        <w:rPr>
          <w:b/>
          <w:bCs/>
          <w:szCs w:val="20"/>
        </w:rPr>
        <w:t>Cel i podstawa prawna przetwarzania</w:t>
      </w:r>
    </w:p>
    <w:p w14:paraId="302E2AE8"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art. 6 ust. 1 lit. e RODO – przetwarzanie niezbędne do wykonania zadania realizowanego w interesie publicznym (realizacja Projektów grantowych w ramach Instrumentu na rzecz Odbudowy i Zwiększania Odporności KPO);</w:t>
      </w:r>
    </w:p>
    <w:p w14:paraId="7630E3DD"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art. 6 ust. 1 lit. c RODO – przetwarzanie niezbędne do wypełnienia obowiązku prawnego (ustawa z dnia 17 lutego 2005 r. o informatyzacji działalności podmiotów realizujących zadania publiczne; ustawa z dnia 14 lipca 1983 r. o narodowym zasobie archiwalnym i archiwach).</w:t>
      </w:r>
    </w:p>
    <w:p w14:paraId="4CA29078" w14:textId="77777777" w:rsidR="0085655F" w:rsidRPr="005D7C75" w:rsidRDefault="00CB7E42" w:rsidP="005D7C75">
      <w:pPr>
        <w:spacing w:after="120"/>
        <w:jc w:val="both"/>
        <w:rPr>
          <w:rFonts w:ascii="Aptos" w:hAnsi="Aptos"/>
          <w:sz w:val="20"/>
          <w:szCs w:val="20"/>
        </w:rPr>
      </w:pPr>
      <w:r w:rsidRPr="005D7C75">
        <w:rPr>
          <w:szCs w:val="20"/>
        </w:rPr>
        <w:t>Podanie danych jest dobrowolne, ale konieczne do realizacji powyższych celów. Odmowa podania danych uniemożliwia podjęcie stosownych działań.</w:t>
      </w:r>
    </w:p>
    <w:p w14:paraId="138D16C0" w14:textId="77777777" w:rsidR="0085655F" w:rsidRPr="005D7C75" w:rsidRDefault="00CB7E42" w:rsidP="005D7C75">
      <w:pPr>
        <w:spacing w:after="60"/>
        <w:jc w:val="both"/>
        <w:rPr>
          <w:rFonts w:ascii="Aptos" w:hAnsi="Aptos"/>
          <w:sz w:val="20"/>
          <w:szCs w:val="20"/>
        </w:rPr>
      </w:pPr>
      <w:r w:rsidRPr="005D7C75">
        <w:rPr>
          <w:b/>
          <w:bCs/>
          <w:szCs w:val="20"/>
        </w:rPr>
        <w:t>Okres przechowywania danych</w:t>
      </w:r>
    </w:p>
    <w:p w14:paraId="26AE7E59" w14:textId="77777777" w:rsidR="0085655F" w:rsidRPr="005D7C75" w:rsidRDefault="00CB7E42" w:rsidP="005D7C75">
      <w:pPr>
        <w:spacing w:after="120"/>
        <w:jc w:val="both"/>
        <w:rPr>
          <w:rFonts w:ascii="Aptos" w:hAnsi="Aptos"/>
          <w:sz w:val="20"/>
          <w:szCs w:val="20"/>
        </w:rPr>
      </w:pPr>
      <w:r w:rsidRPr="005D7C75">
        <w:rPr>
          <w:szCs w:val="20"/>
        </w:rPr>
        <w:t>Dane osobowe będą przechowywane w okresach wskazanych w: rozporządzeniu Parlamentu Europejskiego i Rady (UE, Euratom) 2024/2509 z dnia 23 września 2024 r.; ustawie z dnia 17 lutego 2005 r. o informatyzacji; ustawie z dnia 14 lipca 1983 r. o narodowym zasobie archiwalnym i archiwach (tj. przez okres określony w Jednolitym Rzeczowym Wykazie Akt obowiązującym u Administratora); przepisach dotyczących podatku od towarów i usług; art. 14zn ustawy z dnia 6 grudnia 2006 r. o zasadach prowadzenia polityki rozwoju.</w:t>
      </w:r>
    </w:p>
    <w:p w14:paraId="0F31D176" w14:textId="77777777" w:rsidR="0085655F" w:rsidRPr="005D7C75" w:rsidRDefault="00CB7E42" w:rsidP="005D7C75">
      <w:pPr>
        <w:spacing w:after="60"/>
        <w:jc w:val="both"/>
        <w:rPr>
          <w:rFonts w:ascii="Aptos" w:hAnsi="Aptos"/>
          <w:sz w:val="20"/>
          <w:szCs w:val="20"/>
        </w:rPr>
      </w:pPr>
      <w:r w:rsidRPr="005D7C75">
        <w:rPr>
          <w:b/>
          <w:bCs/>
          <w:szCs w:val="20"/>
        </w:rPr>
        <w:t>Odbiorcy danych</w:t>
      </w:r>
    </w:p>
    <w:p w14:paraId="053D4708" w14:textId="77777777" w:rsidR="0085655F" w:rsidRPr="005D7C75" w:rsidRDefault="00CB7E42" w:rsidP="005D7C75">
      <w:pPr>
        <w:spacing w:after="120"/>
        <w:jc w:val="both"/>
        <w:rPr>
          <w:rFonts w:ascii="Aptos" w:hAnsi="Aptos"/>
          <w:sz w:val="20"/>
          <w:szCs w:val="20"/>
        </w:rPr>
      </w:pPr>
      <w:r w:rsidRPr="005D7C75">
        <w:rPr>
          <w:szCs w:val="20"/>
        </w:rPr>
        <w:t>Dane osobowe mogą być przekazywane: podmiotom świadczącym usługi na rzecz CPPC związane z realizacją planu rozwojowego; Instytucji Koordynującej, Instytucji odpowiedzialnej za realizację inwestycji oraz Jednostce wspierającej; organom administracji publicznej i organom UE (na podstawie przepisów prawa); podmiotom obsługującym systemy teleinformatyczne CPPC.</w:t>
      </w:r>
    </w:p>
    <w:p w14:paraId="1ADAA300" w14:textId="77777777" w:rsidR="0085655F" w:rsidRPr="005D7C75" w:rsidRDefault="00CB7E42" w:rsidP="005D7C75">
      <w:pPr>
        <w:spacing w:after="60"/>
        <w:jc w:val="both"/>
        <w:rPr>
          <w:rFonts w:ascii="Aptos" w:hAnsi="Aptos"/>
          <w:sz w:val="20"/>
          <w:szCs w:val="20"/>
        </w:rPr>
      </w:pPr>
      <w:r w:rsidRPr="005D7C75">
        <w:rPr>
          <w:b/>
          <w:bCs/>
          <w:szCs w:val="20"/>
        </w:rPr>
        <w:t>Prawa osób, których dane dotyczą</w:t>
      </w:r>
    </w:p>
    <w:p w14:paraId="50ABE71A" w14:textId="77777777" w:rsidR="0085655F" w:rsidRPr="005D7C75" w:rsidRDefault="00CB7E42" w:rsidP="005D7C75">
      <w:pPr>
        <w:spacing w:after="120"/>
        <w:jc w:val="both"/>
        <w:rPr>
          <w:rFonts w:ascii="Aptos" w:hAnsi="Aptos"/>
          <w:sz w:val="20"/>
          <w:szCs w:val="20"/>
        </w:rPr>
      </w:pPr>
      <w:r w:rsidRPr="005D7C75">
        <w:rPr>
          <w:szCs w:val="20"/>
        </w:rPr>
        <w:t>Przysługują Państwu prawa: dostępu do danych (art. 15 RODO); sprostowania (art. 16); usunięcia – jeśli dotyczy (art. 17); ograniczenia przetwarzania (art. 18); uzyskania informacji o sprostowaniu lub usunięciu danych (art. 19); wniesienia sprzeciwu wobec przetwarzania (art. 21) – jeśli przetwarzanie odbywa się na podstawie art. 6 ust. 1 lit. e RODO; wniesienia skargi do Prezesa Urzędu Ochrony Danych Osobowych (art. 77 RODO).</w:t>
      </w:r>
    </w:p>
    <w:p w14:paraId="6DCDC1CF" w14:textId="77777777" w:rsidR="0085655F" w:rsidRPr="005D7C75" w:rsidRDefault="00CB7E42" w:rsidP="005D7C75">
      <w:pPr>
        <w:spacing w:after="60"/>
        <w:jc w:val="both"/>
        <w:rPr>
          <w:rFonts w:ascii="Aptos" w:hAnsi="Aptos"/>
          <w:sz w:val="20"/>
          <w:szCs w:val="20"/>
        </w:rPr>
      </w:pPr>
      <w:r w:rsidRPr="005D7C75">
        <w:rPr>
          <w:b/>
          <w:bCs/>
          <w:szCs w:val="20"/>
        </w:rPr>
        <w:t>Zautomatyzowane podejmowanie decyzji</w:t>
      </w:r>
    </w:p>
    <w:p w14:paraId="09911B96" w14:textId="77777777" w:rsidR="0085655F" w:rsidRPr="005D7C75" w:rsidRDefault="00CB7E42" w:rsidP="005D7C75">
      <w:pPr>
        <w:spacing w:after="120"/>
        <w:jc w:val="both"/>
        <w:rPr>
          <w:rFonts w:ascii="Aptos" w:hAnsi="Aptos"/>
          <w:sz w:val="20"/>
          <w:szCs w:val="20"/>
        </w:rPr>
      </w:pPr>
      <w:r w:rsidRPr="005D7C75">
        <w:rPr>
          <w:szCs w:val="20"/>
        </w:rPr>
        <w:t>Dane nie będą podlegały zautomatyzowanemu podejmowaniu decyzji, w tym profilowaniu.</w:t>
      </w:r>
    </w:p>
    <w:p w14:paraId="1EDC06DC" w14:textId="77777777" w:rsidR="0085655F" w:rsidRPr="005D7C75" w:rsidRDefault="00CB7E42" w:rsidP="005D7C75">
      <w:pPr>
        <w:spacing w:after="60"/>
        <w:jc w:val="both"/>
        <w:rPr>
          <w:rFonts w:ascii="Aptos" w:hAnsi="Aptos"/>
          <w:sz w:val="20"/>
          <w:szCs w:val="20"/>
        </w:rPr>
      </w:pPr>
      <w:r w:rsidRPr="005D7C75">
        <w:rPr>
          <w:b/>
          <w:bCs/>
          <w:szCs w:val="20"/>
        </w:rPr>
        <w:t>Przekazywanie danych do państw trzecich</w:t>
      </w:r>
    </w:p>
    <w:p w14:paraId="79FFF6B1" w14:textId="77777777" w:rsidR="0085655F" w:rsidRPr="005D7C75" w:rsidRDefault="00CB7E42" w:rsidP="005D7C75">
      <w:pPr>
        <w:spacing w:after="120"/>
        <w:jc w:val="both"/>
        <w:rPr>
          <w:rFonts w:ascii="Aptos" w:hAnsi="Aptos"/>
          <w:sz w:val="20"/>
          <w:szCs w:val="20"/>
        </w:rPr>
      </w:pPr>
      <w:r w:rsidRPr="005D7C75">
        <w:rPr>
          <w:szCs w:val="20"/>
        </w:rPr>
        <w:t>CPPC nie zamierza przekazywać danych osobowych do państwa trzeciego lub organizacji międzynarodowej innej niż Unia Europejska. W przypadku konieczności takiego przekazania zapewnione zostanie zachowanie warunków art. 45 lub 46 RODO.</w:t>
      </w:r>
    </w:p>
    <w:p w14:paraId="6BA7DD28" w14:textId="77777777" w:rsidR="0085655F" w:rsidRPr="005D7C75" w:rsidRDefault="00CB7E42" w:rsidP="005D7C75">
      <w:pPr>
        <w:spacing w:after="60"/>
        <w:jc w:val="both"/>
        <w:rPr>
          <w:rFonts w:ascii="Aptos" w:hAnsi="Aptos"/>
          <w:sz w:val="20"/>
          <w:szCs w:val="20"/>
        </w:rPr>
      </w:pPr>
      <w:r w:rsidRPr="005D7C75">
        <w:rPr>
          <w:b/>
          <w:bCs/>
          <w:szCs w:val="20"/>
        </w:rPr>
        <w:t>Kontakt z Inspektorem Ochrony Danych CPPC</w:t>
      </w:r>
    </w:p>
    <w:p w14:paraId="21DC4749"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pocztą tradycyjną: ul. Spokojna 13A, 01-044 Warszawa;</w:t>
      </w:r>
    </w:p>
    <w:p w14:paraId="1AA789D2"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elektronicznie: bezpieczenstwo@cppc.gov.pl;</w:t>
      </w:r>
    </w:p>
    <w:p w14:paraId="285F1003" w14:textId="77777777" w:rsidR="0085655F" w:rsidRPr="005D7C75" w:rsidRDefault="00CB7E42" w:rsidP="005D7C75">
      <w:pPr>
        <w:pStyle w:val="Akapitzlist"/>
        <w:numPr>
          <w:ilvl w:val="0"/>
          <w:numId w:val="2"/>
        </w:numPr>
        <w:spacing w:after="80"/>
        <w:jc w:val="both"/>
        <w:rPr>
          <w:rFonts w:ascii="Aptos" w:hAnsi="Aptos"/>
          <w:sz w:val="20"/>
          <w:szCs w:val="20"/>
        </w:rPr>
      </w:pPr>
      <w:r w:rsidRPr="005D7C75">
        <w:rPr>
          <w:szCs w:val="20"/>
        </w:rPr>
        <w:t>ePUAP: /2yki7sk30g/SkrytkaESP.</w:t>
      </w:r>
    </w:p>
    <w:p w14:paraId="61F60AF2" w14:textId="77777777" w:rsidR="0085655F" w:rsidRPr="005D7C75" w:rsidRDefault="00CB7E42" w:rsidP="005D7C75">
      <w:pPr>
        <w:jc w:val="both"/>
        <w:rPr>
          <w:rFonts w:ascii="Aptos" w:hAnsi="Aptos"/>
          <w:sz w:val="20"/>
          <w:szCs w:val="20"/>
        </w:rPr>
      </w:pPr>
      <w:r w:rsidRPr="005D7C75">
        <w:rPr>
          <w:szCs w:val="20"/>
        </w:rPr>
        <w:lastRenderedPageBreak/>
        <w:br w:type="page"/>
      </w:r>
    </w:p>
    <w:p w14:paraId="370EC72C" w14:textId="77777777" w:rsidR="0085655F" w:rsidRPr="005D7C75" w:rsidRDefault="00CB7E42" w:rsidP="005D7C75">
      <w:pPr>
        <w:spacing w:after="200"/>
        <w:jc w:val="both"/>
        <w:rPr>
          <w:rFonts w:ascii="Aptos" w:hAnsi="Aptos"/>
          <w:sz w:val="20"/>
          <w:szCs w:val="20"/>
        </w:rPr>
      </w:pPr>
      <w:r w:rsidRPr="005D7C75">
        <w:rPr>
          <w:b/>
          <w:bCs/>
          <w:i/>
          <w:iCs/>
          <w:szCs w:val="20"/>
        </w:rPr>
        <w:lastRenderedPageBreak/>
        <w:t xml:space="preserve">Załącznik nr 4 do Umowy </w:t>
      </w:r>
    </w:p>
    <w:p w14:paraId="4CFBB3FB" w14:textId="77777777" w:rsidR="0085655F" w:rsidRPr="005D7C75" w:rsidRDefault="00CB7E42" w:rsidP="005D7C75">
      <w:pPr>
        <w:spacing w:after="80"/>
        <w:jc w:val="both"/>
        <w:rPr>
          <w:rFonts w:ascii="Aptos" w:hAnsi="Aptos"/>
          <w:sz w:val="20"/>
          <w:szCs w:val="20"/>
        </w:rPr>
      </w:pPr>
      <w:r w:rsidRPr="005D7C75">
        <w:rPr>
          <w:b/>
          <w:bCs/>
          <w:szCs w:val="20"/>
        </w:rPr>
        <w:t>KWESTIONARIUSZ OCENY RYZYKA DOSTAWCY</w:t>
      </w:r>
    </w:p>
    <w:p w14:paraId="6F348B95" w14:textId="77777777" w:rsidR="0085655F" w:rsidRPr="005D7C75" w:rsidRDefault="00CB7E42" w:rsidP="005D7C75">
      <w:pPr>
        <w:spacing w:after="80"/>
        <w:jc w:val="both"/>
        <w:rPr>
          <w:rFonts w:ascii="Aptos" w:hAnsi="Aptos"/>
          <w:sz w:val="20"/>
          <w:szCs w:val="20"/>
        </w:rPr>
      </w:pPr>
      <w:r w:rsidRPr="005D7C75">
        <w:rPr>
          <w:szCs w:val="20"/>
        </w:rPr>
        <w:t>w łańcuchu dostaw systemów cyberbezpieczeństwa OT (Operational Technology)</w:t>
      </w:r>
    </w:p>
    <w:p w14:paraId="4DDBC671" w14:textId="77777777" w:rsidR="0085655F" w:rsidRPr="005D7C75" w:rsidRDefault="00CB7E42" w:rsidP="005D7C75">
      <w:pPr>
        <w:spacing w:after="200"/>
        <w:jc w:val="both"/>
        <w:rPr>
          <w:rFonts w:ascii="Aptos" w:hAnsi="Aptos"/>
          <w:sz w:val="20"/>
          <w:szCs w:val="20"/>
        </w:rPr>
      </w:pPr>
      <w:r w:rsidRPr="005D7C75">
        <w:rPr>
          <w:i/>
          <w:iCs/>
          <w:szCs w:val="20"/>
        </w:rPr>
        <w:t>art. 8 ust. 1 pkt 2 lit. e ustawy o KSC (Dz.U. 2026 poz. 20 ze zm.) | projekt KPO „Cyberbezpieczne Wodociągi” C3.1.1 | PGK Sp. z o.o. w Grodzisku Dolnym | nr 1/CW/PGKGrodzisko – Część 2 OT</w:t>
      </w:r>
    </w:p>
    <w:p w14:paraId="0358CBE0" w14:textId="77777777" w:rsidR="0085655F" w:rsidRPr="005D7C75" w:rsidRDefault="00CB7E42" w:rsidP="005D7C75">
      <w:pPr>
        <w:spacing w:before="200" w:after="100"/>
        <w:jc w:val="both"/>
        <w:rPr>
          <w:rFonts w:ascii="Aptos" w:hAnsi="Aptos"/>
          <w:sz w:val="20"/>
          <w:szCs w:val="20"/>
        </w:rPr>
      </w:pPr>
      <w:r w:rsidRPr="005D7C75">
        <w:rPr>
          <w:b/>
          <w:bCs/>
          <w:szCs w:val="20"/>
        </w:rPr>
        <w:t>SEKCJA 1: DANE IDENTYFIKACYJNE WYKONAWCY I ZAMÓWIENIA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26"/>
      </w:tblGrid>
      <w:tr w:rsidR="0085655F" w:rsidRPr="005D7C75" w14:paraId="3F2EA6D4"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91F64B" w14:textId="77777777" w:rsidR="0085655F" w:rsidRPr="005D7C75" w:rsidRDefault="00CB7E42" w:rsidP="005D7C75">
            <w:pPr>
              <w:jc w:val="both"/>
              <w:rPr>
                <w:rFonts w:ascii="Aptos" w:hAnsi="Aptos"/>
                <w:sz w:val="20"/>
                <w:szCs w:val="20"/>
              </w:rPr>
            </w:pPr>
            <w:r w:rsidRPr="005D7C75">
              <w:rPr>
                <w:b/>
                <w:bCs/>
                <w:szCs w:val="20"/>
              </w:rPr>
              <w:t>Firma Wykonawcy:</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A24B46" w14:textId="77777777" w:rsidR="0085655F" w:rsidRPr="005D7C75" w:rsidRDefault="0085655F" w:rsidP="005D7C75">
            <w:pPr>
              <w:jc w:val="both"/>
              <w:rPr>
                <w:rFonts w:ascii="Aptos" w:hAnsi="Aptos"/>
                <w:sz w:val="20"/>
                <w:szCs w:val="20"/>
              </w:rPr>
            </w:pPr>
          </w:p>
        </w:tc>
      </w:tr>
      <w:tr w:rsidR="0085655F" w:rsidRPr="005D7C75" w14:paraId="3D9802EC"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C2F5B1" w14:textId="77777777" w:rsidR="0085655F" w:rsidRPr="005D7C75" w:rsidRDefault="00CB7E42" w:rsidP="005D7C75">
            <w:pPr>
              <w:jc w:val="both"/>
              <w:rPr>
                <w:rFonts w:ascii="Aptos" w:hAnsi="Aptos"/>
                <w:sz w:val="20"/>
                <w:szCs w:val="20"/>
              </w:rPr>
            </w:pPr>
            <w:r w:rsidRPr="005D7C75">
              <w:rPr>
                <w:b/>
                <w:bCs/>
                <w:szCs w:val="20"/>
              </w:rPr>
              <w:t>NIP / REGON:</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1588FF9" w14:textId="77777777" w:rsidR="0085655F" w:rsidRPr="005D7C75" w:rsidRDefault="0085655F" w:rsidP="005D7C75">
            <w:pPr>
              <w:jc w:val="both"/>
              <w:rPr>
                <w:rFonts w:ascii="Aptos" w:hAnsi="Aptos"/>
                <w:sz w:val="20"/>
                <w:szCs w:val="20"/>
              </w:rPr>
            </w:pPr>
          </w:p>
        </w:tc>
      </w:tr>
      <w:tr w:rsidR="0085655F" w:rsidRPr="005D7C75" w14:paraId="0F76B2ED"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BB4EBCF" w14:textId="77777777" w:rsidR="0085655F" w:rsidRPr="005D7C75" w:rsidRDefault="00CB7E42" w:rsidP="005D7C75">
            <w:pPr>
              <w:jc w:val="both"/>
              <w:rPr>
                <w:rFonts w:ascii="Aptos" w:hAnsi="Aptos"/>
                <w:sz w:val="20"/>
                <w:szCs w:val="20"/>
              </w:rPr>
            </w:pPr>
            <w:r w:rsidRPr="005D7C75">
              <w:rPr>
                <w:b/>
                <w:bCs/>
                <w:szCs w:val="20"/>
              </w:rPr>
              <w:t>Kraj rejestracji:</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C71B7F" w14:textId="77777777" w:rsidR="0085655F" w:rsidRPr="005D7C75" w:rsidRDefault="0085655F" w:rsidP="005D7C75">
            <w:pPr>
              <w:jc w:val="both"/>
              <w:rPr>
                <w:rFonts w:ascii="Aptos" w:hAnsi="Aptos"/>
                <w:sz w:val="20"/>
                <w:szCs w:val="20"/>
              </w:rPr>
            </w:pPr>
          </w:p>
        </w:tc>
      </w:tr>
      <w:tr w:rsidR="0085655F" w:rsidRPr="005D7C75" w14:paraId="499025C1"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BAF521" w14:textId="77777777" w:rsidR="0085655F" w:rsidRPr="005D7C75" w:rsidRDefault="00CB7E42" w:rsidP="005D7C75">
            <w:pPr>
              <w:jc w:val="both"/>
              <w:rPr>
                <w:rFonts w:ascii="Aptos" w:hAnsi="Aptos"/>
                <w:sz w:val="20"/>
                <w:szCs w:val="20"/>
              </w:rPr>
            </w:pPr>
            <w:r w:rsidRPr="005D7C75">
              <w:rPr>
                <w:b/>
                <w:bCs/>
                <w:szCs w:val="20"/>
              </w:rPr>
              <w:t>Adres siedziby:</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5AD452" w14:textId="77777777" w:rsidR="0085655F" w:rsidRPr="005D7C75" w:rsidRDefault="0085655F" w:rsidP="005D7C75">
            <w:pPr>
              <w:jc w:val="both"/>
              <w:rPr>
                <w:rFonts w:ascii="Aptos" w:hAnsi="Aptos"/>
                <w:sz w:val="20"/>
                <w:szCs w:val="20"/>
              </w:rPr>
            </w:pPr>
          </w:p>
        </w:tc>
      </w:tr>
      <w:tr w:rsidR="0085655F" w:rsidRPr="005D7C75" w14:paraId="4832F4AD"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A054065" w14:textId="77777777" w:rsidR="0085655F" w:rsidRPr="005D7C75" w:rsidRDefault="00CB7E42" w:rsidP="005D7C75">
            <w:pPr>
              <w:jc w:val="both"/>
              <w:rPr>
                <w:rFonts w:ascii="Aptos" w:hAnsi="Aptos"/>
                <w:sz w:val="20"/>
                <w:szCs w:val="20"/>
              </w:rPr>
            </w:pPr>
            <w:r w:rsidRPr="005D7C75">
              <w:rPr>
                <w:b/>
                <w:bCs/>
                <w:szCs w:val="20"/>
              </w:rPr>
              <w:t>Osoba wypełniająca:</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843004" w14:textId="77777777" w:rsidR="0085655F" w:rsidRPr="005D7C75" w:rsidRDefault="00CB7E42" w:rsidP="005D7C75">
            <w:pPr>
              <w:jc w:val="both"/>
              <w:rPr>
                <w:rFonts w:ascii="Aptos" w:hAnsi="Aptos"/>
                <w:sz w:val="20"/>
                <w:szCs w:val="20"/>
              </w:rPr>
            </w:pPr>
            <w:r w:rsidRPr="005D7C75">
              <w:rPr>
                <w:i/>
                <w:iCs/>
                <w:szCs w:val="20"/>
              </w:rPr>
              <w:t>Imię i nazwisko, stanowisko, e-mail, telefon</w:t>
            </w:r>
          </w:p>
        </w:tc>
      </w:tr>
      <w:tr w:rsidR="0085655F" w:rsidRPr="005D7C75" w14:paraId="46FE5CFF"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E167FD" w14:textId="77777777" w:rsidR="0085655F" w:rsidRPr="005D7C75" w:rsidRDefault="00CB7E42" w:rsidP="005D7C75">
            <w:pPr>
              <w:jc w:val="both"/>
              <w:rPr>
                <w:rFonts w:ascii="Aptos" w:hAnsi="Aptos"/>
                <w:sz w:val="20"/>
                <w:szCs w:val="20"/>
              </w:rPr>
            </w:pPr>
            <w:r w:rsidRPr="005D7C75">
              <w:rPr>
                <w:b/>
                <w:bCs/>
                <w:szCs w:val="20"/>
              </w:rPr>
              <w:t>Numer Umowy:</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5F3845" w14:textId="77777777" w:rsidR="0085655F" w:rsidRPr="005D7C75" w:rsidRDefault="0085655F" w:rsidP="005D7C75">
            <w:pPr>
              <w:jc w:val="both"/>
              <w:rPr>
                <w:rFonts w:ascii="Aptos" w:hAnsi="Aptos"/>
                <w:sz w:val="20"/>
                <w:szCs w:val="20"/>
              </w:rPr>
            </w:pPr>
          </w:p>
        </w:tc>
      </w:tr>
      <w:tr w:rsidR="0085655F" w:rsidRPr="005D7C75" w14:paraId="3EA39150" w14:textId="77777777">
        <w:tc>
          <w:tcPr>
            <w:tcW w:w="35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4289BD" w14:textId="77777777" w:rsidR="0085655F" w:rsidRPr="005D7C75" w:rsidRDefault="00CB7E42" w:rsidP="005D7C75">
            <w:pPr>
              <w:jc w:val="both"/>
              <w:rPr>
                <w:rFonts w:ascii="Aptos" w:hAnsi="Aptos"/>
                <w:sz w:val="20"/>
                <w:szCs w:val="20"/>
              </w:rPr>
            </w:pPr>
            <w:r w:rsidRPr="005D7C75">
              <w:rPr>
                <w:b/>
                <w:bCs/>
                <w:szCs w:val="20"/>
              </w:rPr>
              <w:t>Data wypełnienia:</w:t>
            </w:r>
          </w:p>
        </w:tc>
        <w:tc>
          <w:tcPr>
            <w:tcW w:w="552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EAAEF1A" w14:textId="77777777" w:rsidR="0085655F" w:rsidRPr="005D7C75" w:rsidRDefault="0085655F" w:rsidP="005D7C75">
            <w:pPr>
              <w:jc w:val="both"/>
              <w:rPr>
                <w:rFonts w:ascii="Aptos" w:hAnsi="Aptos"/>
                <w:sz w:val="20"/>
                <w:szCs w:val="20"/>
              </w:rPr>
            </w:pPr>
          </w:p>
        </w:tc>
      </w:tr>
    </w:tbl>
    <w:p w14:paraId="240A6DE0" w14:textId="77777777" w:rsidR="0085655F" w:rsidRPr="005D7C75" w:rsidRDefault="00CB7E42" w:rsidP="005D7C75">
      <w:pPr>
        <w:spacing w:before="200" w:after="100"/>
        <w:jc w:val="both"/>
        <w:rPr>
          <w:rFonts w:ascii="Aptos" w:hAnsi="Aptos"/>
          <w:sz w:val="20"/>
          <w:szCs w:val="20"/>
        </w:rPr>
      </w:pPr>
      <w:r w:rsidRPr="005D7C75">
        <w:rPr>
          <w:b/>
          <w:bCs/>
          <w:szCs w:val="20"/>
        </w:rPr>
        <w:t>SEKCJA 2: PRODUCENCI KLUCZOWYCH KOMPONENTÓW OT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5"/>
        <w:gridCol w:w="2888"/>
        <w:gridCol w:w="1392"/>
        <w:gridCol w:w="1576"/>
        <w:gridCol w:w="1615"/>
        <w:gridCol w:w="1020"/>
      </w:tblGrid>
      <w:tr w:rsidR="0085655F" w:rsidRPr="005D7C75" w14:paraId="4F732942" w14:textId="7777777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3F25EC9D" w14:textId="77777777" w:rsidR="0085655F" w:rsidRPr="005D7C75" w:rsidRDefault="00CB7E42" w:rsidP="005D7C75">
            <w:pPr>
              <w:jc w:val="both"/>
              <w:rPr>
                <w:rFonts w:ascii="Aptos" w:hAnsi="Aptos"/>
                <w:sz w:val="20"/>
                <w:szCs w:val="20"/>
              </w:rPr>
            </w:pPr>
            <w:r w:rsidRPr="005D7C75">
              <w:rPr>
                <w:b/>
                <w:bCs/>
                <w:szCs w:val="20"/>
              </w:rPr>
              <w:t>Gr.</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2CF30C64" w14:textId="77777777" w:rsidR="0085655F" w:rsidRPr="005D7C75" w:rsidRDefault="00CB7E42" w:rsidP="005D7C75">
            <w:pPr>
              <w:jc w:val="both"/>
              <w:rPr>
                <w:rFonts w:ascii="Aptos" w:hAnsi="Aptos"/>
                <w:sz w:val="20"/>
                <w:szCs w:val="20"/>
              </w:rPr>
            </w:pPr>
            <w:r w:rsidRPr="005D7C75">
              <w:rPr>
                <w:b/>
                <w:bCs/>
                <w:szCs w:val="20"/>
              </w:rPr>
              <w:t>Nazwa produktu / rozwiązania</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032F2B81" w14:textId="77777777" w:rsidR="0085655F" w:rsidRPr="005D7C75" w:rsidRDefault="00CB7E42" w:rsidP="005D7C75">
            <w:pPr>
              <w:jc w:val="both"/>
              <w:rPr>
                <w:rFonts w:ascii="Aptos" w:hAnsi="Aptos"/>
                <w:sz w:val="20"/>
                <w:szCs w:val="20"/>
              </w:rPr>
            </w:pPr>
            <w:r w:rsidRPr="005D7C75">
              <w:rPr>
                <w:b/>
                <w:bCs/>
                <w:szCs w:val="20"/>
              </w:rPr>
              <w:t>Producent (firma)</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43A498CE" w14:textId="77777777" w:rsidR="0085655F" w:rsidRPr="005D7C75" w:rsidRDefault="00CB7E42" w:rsidP="005D7C75">
            <w:pPr>
              <w:jc w:val="both"/>
              <w:rPr>
                <w:rFonts w:ascii="Aptos" w:hAnsi="Aptos"/>
                <w:sz w:val="20"/>
                <w:szCs w:val="20"/>
              </w:rPr>
            </w:pPr>
            <w:r w:rsidRPr="005D7C75">
              <w:rPr>
                <w:b/>
                <w:bCs/>
                <w:szCs w:val="20"/>
              </w:rPr>
              <w:t>Kraj siedziby producenta</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C86DF5F" w14:textId="77777777" w:rsidR="0085655F" w:rsidRPr="005D7C75" w:rsidRDefault="00CB7E42" w:rsidP="005D7C75">
            <w:pPr>
              <w:jc w:val="both"/>
              <w:rPr>
                <w:rFonts w:ascii="Aptos" w:hAnsi="Aptos"/>
                <w:sz w:val="20"/>
                <w:szCs w:val="20"/>
              </w:rPr>
            </w:pPr>
            <w:r w:rsidRPr="005D7C75">
              <w:rPr>
                <w:b/>
                <w:bCs/>
                <w:szCs w:val="20"/>
              </w:rPr>
              <w:t>Kraj wytworzenia</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D340365" w14:textId="77777777" w:rsidR="0085655F" w:rsidRPr="005D7C75" w:rsidRDefault="00CB7E42" w:rsidP="005D7C75">
            <w:pPr>
              <w:jc w:val="both"/>
              <w:rPr>
                <w:rFonts w:ascii="Aptos" w:hAnsi="Aptos"/>
                <w:sz w:val="20"/>
                <w:szCs w:val="20"/>
              </w:rPr>
            </w:pPr>
            <w:r w:rsidRPr="005D7C75">
              <w:rPr>
                <w:b/>
                <w:bCs/>
                <w:szCs w:val="20"/>
              </w:rPr>
              <w:t>Model / wersja</w:t>
            </w:r>
          </w:p>
        </w:tc>
      </w:tr>
      <w:tr w:rsidR="0085655F" w:rsidRPr="005D7C75" w14:paraId="4CCB3733"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02B4A7" w14:textId="77777777" w:rsidR="0085655F" w:rsidRPr="005D7C75" w:rsidRDefault="00CB7E42" w:rsidP="005D7C75">
            <w:pPr>
              <w:jc w:val="both"/>
              <w:rPr>
                <w:rFonts w:ascii="Aptos" w:hAnsi="Aptos"/>
                <w:sz w:val="20"/>
                <w:szCs w:val="20"/>
              </w:rPr>
            </w:pPr>
            <w:r w:rsidRPr="005D7C75">
              <w:rPr>
                <w:szCs w:val="20"/>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D91ED1" w14:textId="77777777" w:rsidR="0085655F" w:rsidRPr="005D7C75" w:rsidRDefault="00CB7E42" w:rsidP="005D7C75">
            <w:pPr>
              <w:jc w:val="both"/>
              <w:rPr>
                <w:rFonts w:ascii="Aptos" w:hAnsi="Aptos"/>
                <w:color w:val="EE0000"/>
                <w:sz w:val="20"/>
                <w:szCs w:val="20"/>
              </w:rPr>
            </w:pPr>
            <w:r w:rsidRPr="005D7C75">
              <w:rPr>
                <w:color w:val="EE0000"/>
                <w:szCs w:val="20"/>
              </w:rPr>
              <w:t>Stacja przesiadkowa OT – sprzęt (wariant fizyczny) albo środowisko wirtualne (wariant wirtualny)</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8021F2"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A341F1"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6258C4C"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9841FF8" w14:textId="77777777" w:rsidR="0085655F" w:rsidRPr="005D7C75" w:rsidRDefault="0085655F" w:rsidP="005D7C75">
            <w:pPr>
              <w:jc w:val="both"/>
              <w:rPr>
                <w:rFonts w:ascii="Aptos" w:hAnsi="Aptos"/>
                <w:sz w:val="20"/>
                <w:szCs w:val="20"/>
              </w:rPr>
            </w:pPr>
          </w:p>
        </w:tc>
      </w:tr>
      <w:tr w:rsidR="0085655F" w:rsidRPr="005D7C75" w14:paraId="0D24E62A"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B116BA8" w14:textId="77777777" w:rsidR="0085655F" w:rsidRPr="005D7C75" w:rsidRDefault="00CB7E42" w:rsidP="005D7C75">
            <w:pPr>
              <w:jc w:val="both"/>
              <w:rPr>
                <w:rFonts w:ascii="Aptos" w:hAnsi="Aptos"/>
                <w:sz w:val="20"/>
                <w:szCs w:val="20"/>
              </w:rPr>
            </w:pPr>
            <w:r w:rsidRPr="005D7C75">
              <w:rPr>
                <w:szCs w:val="20"/>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65BD47C" w14:textId="77777777" w:rsidR="0085655F" w:rsidRPr="005D7C75" w:rsidRDefault="00CB7E42" w:rsidP="005D7C75">
            <w:pPr>
              <w:jc w:val="both"/>
              <w:rPr>
                <w:rFonts w:ascii="Aptos" w:hAnsi="Aptos"/>
                <w:color w:val="EE0000"/>
                <w:sz w:val="20"/>
                <w:szCs w:val="20"/>
                <w:lang w:val="en-GB"/>
              </w:rPr>
            </w:pPr>
            <w:r w:rsidRPr="005D7C75">
              <w:rPr>
                <w:color w:val="EE0000"/>
                <w:szCs w:val="20"/>
                <w:lang w:val="en-GB"/>
              </w:rPr>
              <w:t>Oprogramowanie stacji przesiadkowej OT (system operacyjny, oprogramowanie jump server, MFA/RBAC)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F38BB1"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42B554"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3341EA"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748527" w14:textId="77777777" w:rsidR="0085655F" w:rsidRPr="005D7C75" w:rsidRDefault="0085655F" w:rsidP="005D7C75">
            <w:pPr>
              <w:jc w:val="both"/>
              <w:rPr>
                <w:rFonts w:ascii="Aptos" w:hAnsi="Aptos"/>
                <w:sz w:val="20"/>
                <w:szCs w:val="20"/>
              </w:rPr>
            </w:pPr>
          </w:p>
        </w:tc>
      </w:tr>
      <w:tr w:rsidR="0085655F" w:rsidRPr="005D7C75" w14:paraId="4DA04B61"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B9E8730" w14:textId="77777777" w:rsidR="0085655F" w:rsidRPr="005D7C75" w:rsidRDefault="00CB7E42" w:rsidP="005D7C75">
            <w:pPr>
              <w:jc w:val="both"/>
              <w:rPr>
                <w:rFonts w:ascii="Aptos" w:hAnsi="Aptos"/>
                <w:sz w:val="20"/>
                <w:szCs w:val="20"/>
              </w:rPr>
            </w:pPr>
            <w:r w:rsidRPr="005D7C75">
              <w:rPr>
                <w:szCs w:val="20"/>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B52389" w14:textId="77777777" w:rsidR="0085655F" w:rsidRPr="005D7C75" w:rsidRDefault="00CB7E42" w:rsidP="005D7C75">
            <w:pPr>
              <w:jc w:val="both"/>
              <w:rPr>
                <w:rFonts w:ascii="Aptos" w:hAnsi="Aptos"/>
                <w:color w:val="EE0000"/>
                <w:sz w:val="20"/>
                <w:szCs w:val="20"/>
              </w:rPr>
            </w:pPr>
            <w:r w:rsidRPr="005D7C75">
              <w:rPr>
                <w:color w:val="EE0000"/>
                <w:szCs w:val="20"/>
              </w:rPr>
              <w:t>Usługa konfiguracji i hardeningu OT/IIoT – narzędzia i oprogramowanie wykorzystywane do realizacji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213C94"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91DAC57"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6976BF"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FD61DF" w14:textId="77777777" w:rsidR="0085655F" w:rsidRPr="005D7C75" w:rsidRDefault="0085655F" w:rsidP="005D7C75">
            <w:pPr>
              <w:jc w:val="both"/>
              <w:rPr>
                <w:rFonts w:ascii="Aptos" w:hAnsi="Aptos"/>
                <w:sz w:val="20"/>
                <w:szCs w:val="20"/>
              </w:rPr>
            </w:pPr>
          </w:p>
        </w:tc>
      </w:tr>
      <w:tr w:rsidR="0085655F" w:rsidRPr="005D7C75" w14:paraId="404B4378"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7897E4" w14:textId="77777777" w:rsidR="0085655F" w:rsidRPr="005D7C75" w:rsidRDefault="00CB7E42" w:rsidP="005D7C75">
            <w:pPr>
              <w:jc w:val="both"/>
              <w:rPr>
                <w:rFonts w:ascii="Aptos" w:hAnsi="Aptos"/>
                <w:sz w:val="20"/>
                <w:szCs w:val="20"/>
              </w:rPr>
            </w:pPr>
            <w:r w:rsidRPr="005D7C75">
              <w:rPr>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67D387" w14:textId="77777777" w:rsidR="0085655F" w:rsidRPr="005D7C75" w:rsidRDefault="00CB7E42" w:rsidP="005D7C75">
            <w:pPr>
              <w:jc w:val="both"/>
              <w:rPr>
                <w:rFonts w:ascii="Aptos" w:hAnsi="Aptos"/>
                <w:color w:val="EE0000"/>
                <w:sz w:val="20"/>
                <w:szCs w:val="20"/>
              </w:rPr>
            </w:pPr>
            <w:r w:rsidRPr="005D7C75">
              <w:rPr>
                <w:color w:val="EE0000"/>
                <w:szCs w:val="20"/>
              </w:rPr>
              <w:t>Usługa prywatnego APN – operator sieci komórkowej i podwykonawcy usługi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2AC9BF"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8A66DA"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987118"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376C87" w14:textId="77777777" w:rsidR="0085655F" w:rsidRPr="005D7C75" w:rsidRDefault="0085655F" w:rsidP="005D7C75">
            <w:pPr>
              <w:jc w:val="both"/>
              <w:rPr>
                <w:rFonts w:ascii="Aptos" w:hAnsi="Aptos"/>
                <w:sz w:val="20"/>
                <w:szCs w:val="20"/>
              </w:rPr>
            </w:pPr>
          </w:p>
        </w:tc>
      </w:tr>
      <w:tr w:rsidR="0085655F" w:rsidRPr="005D7C75" w14:paraId="051DA4DD" w14:textId="77777777" w:rsidTr="008072A1">
        <w:trPr>
          <w:trHeight w:val="808"/>
        </w:trPr>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26836ED" w14:textId="77777777" w:rsidR="0085655F" w:rsidRPr="005D7C75" w:rsidRDefault="00CB7E42" w:rsidP="005D7C75">
            <w:pPr>
              <w:jc w:val="both"/>
              <w:rPr>
                <w:rFonts w:ascii="Aptos" w:hAnsi="Aptos"/>
                <w:sz w:val="20"/>
                <w:szCs w:val="20"/>
              </w:rPr>
            </w:pPr>
            <w:r w:rsidRPr="005D7C75">
              <w:rPr>
                <w:szCs w:val="20"/>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0FDDE5" w14:textId="77777777" w:rsidR="0085655F" w:rsidRPr="005D7C75" w:rsidRDefault="00CB7E42" w:rsidP="005D7C75">
            <w:pPr>
              <w:jc w:val="both"/>
              <w:rPr>
                <w:rFonts w:ascii="Aptos" w:hAnsi="Aptos"/>
                <w:color w:val="EE0000"/>
                <w:sz w:val="20"/>
                <w:szCs w:val="20"/>
              </w:rPr>
            </w:pPr>
            <w:r w:rsidRPr="005D7C75">
              <w:rPr>
                <w:color w:val="EE0000"/>
                <w:szCs w:val="20"/>
              </w:rPr>
              <w:t>Usługa Utrzymania – narzędzia i oprogramowanie wykorzystywane do realizacji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C04BB8"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25AE29"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9705FA"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CD32AB" w14:textId="77777777" w:rsidR="0085655F" w:rsidRPr="005D7C75" w:rsidRDefault="0085655F" w:rsidP="005D7C75">
            <w:pPr>
              <w:jc w:val="both"/>
              <w:rPr>
                <w:rFonts w:ascii="Aptos" w:hAnsi="Aptos"/>
                <w:sz w:val="20"/>
                <w:szCs w:val="20"/>
              </w:rPr>
            </w:pPr>
          </w:p>
        </w:tc>
      </w:tr>
    </w:tbl>
    <w:p w14:paraId="5D4A647C" w14:textId="77777777" w:rsidR="0085655F" w:rsidRPr="005D7C75" w:rsidRDefault="00CB7E42" w:rsidP="005D7C75">
      <w:pPr>
        <w:spacing w:before="200" w:after="80"/>
        <w:jc w:val="both"/>
        <w:rPr>
          <w:rFonts w:ascii="Aptos" w:hAnsi="Aptos"/>
          <w:sz w:val="20"/>
          <w:szCs w:val="20"/>
        </w:rPr>
      </w:pPr>
      <w:r w:rsidRPr="005D7C75">
        <w:rPr>
          <w:b/>
          <w:bCs/>
          <w:szCs w:val="20"/>
        </w:rPr>
        <w:t>SEKCJA 3: PODWYKONAWCY I DALSI DOSTAWCY</w:t>
      </w:r>
    </w:p>
    <w:p w14:paraId="09FDDDB7" w14:textId="77777777" w:rsidR="0085655F" w:rsidRPr="005D7C75" w:rsidRDefault="00CB7E42" w:rsidP="005D7C75">
      <w:pPr>
        <w:spacing w:after="60"/>
        <w:jc w:val="both"/>
        <w:rPr>
          <w:rFonts w:ascii="Aptos" w:hAnsi="Aptos"/>
          <w:sz w:val="20"/>
          <w:szCs w:val="20"/>
        </w:rPr>
      </w:pPr>
      <w:r w:rsidRPr="005D7C75">
        <w:rPr>
          <w:szCs w:val="20"/>
        </w:rPr>
        <w:lastRenderedPageBreak/>
        <w:t>Czy Wykonawca korzysta z podwykonawców?</w:t>
      </w:r>
    </w:p>
    <w:p w14:paraId="6B2F61D6" w14:textId="77777777" w:rsidR="0085655F" w:rsidRPr="005D7C75" w:rsidRDefault="00CB7E42" w:rsidP="005D7C75">
      <w:pPr>
        <w:spacing w:after="60"/>
        <w:jc w:val="both"/>
        <w:rPr>
          <w:rFonts w:ascii="Aptos" w:hAnsi="Aptos"/>
          <w:sz w:val="20"/>
          <w:szCs w:val="20"/>
        </w:rPr>
      </w:pPr>
      <w:r w:rsidRPr="005D7C75">
        <w:rPr>
          <w:szCs w:val="20"/>
        </w:rPr>
        <w:t>☐ TAK – uzupełnij tabelę poniżej</w:t>
      </w:r>
    </w:p>
    <w:p w14:paraId="13C93CF7" w14:textId="77777777" w:rsidR="0085655F" w:rsidRPr="005D7C75" w:rsidRDefault="00CB7E42" w:rsidP="005D7C75">
      <w:pPr>
        <w:spacing w:after="60"/>
        <w:jc w:val="both"/>
        <w:rPr>
          <w:rFonts w:ascii="Aptos" w:hAnsi="Aptos"/>
          <w:sz w:val="20"/>
          <w:szCs w:val="20"/>
        </w:rPr>
      </w:pPr>
      <w:r w:rsidRPr="005D7C75">
        <w:rPr>
          <w:szCs w:val="20"/>
        </w:rPr>
        <w:t>☐ NIE – przejdź do Sekcji 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6"/>
        <w:gridCol w:w="2273"/>
        <w:gridCol w:w="1490"/>
        <w:gridCol w:w="2067"/>
        <w:gridCol w:w="2680"/>
      </w:tblGrid>
      <w:tr w:rsidR="0085655F" w:rsidRPr="005D7C75" w14:paraId="6B4C7BB6" w14:textId="7777777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2A348AB3" w14:textId="77777777" w:rsidR="0085655F" w:rsidRPr="005D7C75" w:rsidRDefault="00CB7E42" w:rsidP="005D7C75">
            <w:pPr>
              <w:jc w:val="both"/>
              <w:rPr>
                <w:rFonts w:ascii="Aptos" w:hAnsi="Aptos"/>
                <w:sz w:val="20"/>
                <w:szCs w:val="20"/>
              </w:rPr>
            </w:pPr>
            <w:r w:rsidRPr="005D7C75">
              <w:rPr>
                <w:b/>
                <w:bCs/>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3CB9CCFE" w14:textId="77777777" w:rsidR="0085655F" w:rsidRPr="005D7C75" w:rsidRDefault="00CB7E42" w:rsidP="005D7C75">
            <w:pPr>
              <w:jc w:val="both"/>
              <w:rPr>
                <w:rFonts w:ascii="Aptos" w:hAnsi="Aptos"/>
                <w:sz w:val="20"/>
                <w:szCs w:val="20"/>
              </w:rPr>
            </w:pPr>
            <w:r w:rsidRPr="005D7C75">
              <w:rPr>
                <w:b/>
                <w:bCs/>
                <w:szCs w:val="20"/>
              </w:rPr>
              <w:t>Firma podwykonawcy</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3EFA0F8E" w14:textId="77777777" w:rsidR="0085655F" w:rsidRPr="005D7C75" w:rsidRDefault="00CB7E42" w:rsidP="005D7C75">
            <w:pPr>
              <w:jc w:val="both"/>
              <w:rPr>
                <w:rFonts w:ascii="Aptos" w:hAnsi="Aptos"/>
                <w:sz w:val="20"/>
                <w:szCs w:val="20"/>
              </w:rPr>
            </w:pPr>
            <w:r w:rsidRPr="005D7C75">
              <w:rPr>
                <w:b/>
                <w:bCs/>
                <w:sz w:val="20"/>
                <w:szCs w:val="20"/>
              </w:rPr>
              <w:t>Kraj rejestracji</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A3387EA" w14:textId="77777777" w:rsidR="0085655F" w:rsidRPr="005D7C75" w:rsidRDefault="00CB7E42" w:rsidP="005D7C75">
            <w:pPr>
              <w:jc w:val="both"/>
              <w:rPr>
                <w:rFonts w:ascii="Aptos" w:hAnsi="Aptos"/>
                <w:sz w:val="20"/>
                <w:szCs w:val="20"/>
              </w:rPr>
            </w:pPr>
            <w:r w:rsidRPr="005D7C75">
              <w:rPr>
                <w:b/>
                <w:bCs/>
                <w:szCs w:val="20"/>
              </w:rPr>
              <w:t>Zakres uczestnictwa</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45F1E0DE" w14:textId="77777777" w:rsidR="0085655F" w:rsidRPr="005D7C75" w:rsidRDefault="00CB7E42" w:rsidP="005D7C75">
            <w:pPr>
              <w:jc w:val="both"/>
              <w:rPr>
                <w:rFonts w:ascii="Aptos" w:hAnsi="Aptos"/>
                <w:sz w:val="20"/>
                <w:szCs w:val="20"/>
              </w:rPr>
            </w:pPr>
            <w:r w:rsidRPr="005D7C75">
              <w:rPr>
                <w:b/>
                <w:bCs/>
                <w:sz w:val="20"/>
                <w:szCs w:val="20"/>
              </w:rPr>
              <w:t>Certyfikat ISO 27001 / IEC 62443?</w:t>
            </w:r>
          </w:p>
        </w:tc>
      </w:tr>
      <w:tr w:rsidR="0085655F" w:rsidRPr="005D7C75" w14:paraId="4E35BE33"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032F7DD" w14:textId="77777777" w:rsidR="0085655F" w:rsidRPr="005D7C75" w:rsidRDefault="00CB7E42" w:rsidP="005D7C75">
            <w:pPr>
              <w:jc w:val="both"/>
              <w:rPr>
                <w:rFonts w:ascii="Aptos" w:hAnsi="Aptos"/>
                <w:sz w:val="20"/>
                <w:szCs w:val="20"/>
              </w:rPr>
            </w:pPr>
            <w:r w:rsidRPr="005D7C75">
              <w:rPr>
                <w:szCs w:val="20"/>
              </w:rPr>
              <w:t>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E5BD823"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7FA47C"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D606EF"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0D4C928" w14:textId="77777777" w:rsidR="0085655F" w:rsidRPr="005D7C75" w:rsidRDefault="00CB7E42" w:rsidP="005D7C75">
            <w:pPr>
              <w:jc w:val="both"/>
              <w:rPr>
                <w:rFonts w:ascii="Aptos" w:hAnsi="Aptos"/>
                <w:sz w:val="20"/>
                <w:szCs w:val="20"/>
              </w:rPr>
            </w:pPr>
            <w:r w:rsidRPr="005D7C75">
              <w:rPr>
                <w:szCs w:val="20"/>
              </w:rPr>
              <w:t>☐ TAK ☐ NIE ☐ W trakcie</w:t>
            </w:r>
          </w:p>
        </w:tc>
      </w:tr>
      <w:tr w:rsidR="0085655F" w:rsidRPr="005D7C75" w14:paraId="4AE1E679"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ECE8CFB" w14:textId="77777777" w:rsidR="0085655F" w:rsidRPr="005D7C75" w:rsidRDefault="00CB7E42" w:rsidP="005D7C75">
            <w:pPr>
              <w:jc w:val="both"/>
              <w:rPr>
                <w:rFonts w:ascii="Aptos" w:hAnsi="Aptos"/>
                <w:sz w:val="20"/>
                <w:szCs w:val="20"/>
              </w:rPr>
            </w:pPr>
            <w:r w:rsidRPr="005D7C75">
              <w:rPr>
                <w:szCs w:val="20"/>
              </w:rPr>
              <w:t>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5036CF2"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F77722D"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6428A0"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775AC4" w14:textId="77777777" w:rsidR="0085655F" w:rsidRPr="005D7C75" w:rsidRDefault="00CB7E42" w:rsidP="005D7C75">
            <w:pPr>
              <w:jc w:val="both"/>
              <w:rPr>
                <w:rFonts w:ascii="Aptos" w:hAnsi="Aptos"/>
                <w:sz w:val="20"/>
                <w:szCs w:val="20"/>
              </w:rPr>
            </w:pPr>
            <w:r w:rsidRPr="005D7C75">
              <w:rPr>
                <w:sz w:val="20"/>
                <w:szCs w:val="20"/>
              </w:rPr>
              <w:t>☐ TAK ☐ NIE ☐ W trakcie</w:t>
            </w:r>
          </w:p>
        </w:tc>
      </w:tr>
      <w:tr w:rsidR="0085655F" w:rsidRPr="005D7C75" w14:paraId="17A122E7"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537E8E" w14:textId="77777777" w:rsidR="0085655F" w:rsidRPr="005D7C75" w:rsidRDefault="00CB7E42" w:rsidP="005D7C75">
            <w:pPr>
              <w:jc w:val="both"/>
              <w:rPr>
                <w:rFonts w:ascii="Aptos" w:hAnsi="Aptos"/>
                <w:sz w:val="20"/>
                <w:szCs w:val="20"/>
              </w:rPr>
            </w:pPr>
            <w:r w:rsidRPr="005D7C75">
              <w:rPr>
                <w:szCs w:val="20"/>
              </w:rPr>
              <w:t>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92AFC2E"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194E72"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2E34E2C" w14:textId="77777777" w:rsidR="0085655F" w:rsidRPr="005D7C75" w:rsidRDefault="0085655F" w:rsidP="005D7C75">
            <w:pPr>
              <w:jc w:val="both"/>
              <w:rPr>
                <w:rFonts w:ascii="Aptos" w:hAnsi="Apto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53AB0E5" w14:textId="77777777" w:rsidR="0085655F" w:rsidRPr="005D7C75" w:rsidRDefault="00CB7E42" w:rsidP="005D7C75">
            <w:pPr>
              <w:jc w:val="both"/>
              <w:rPr>
                <w:rFonts w:ascii="Aptos" w:hAnsi="Aptos"/>
                <w:sz w:val="20"/>
                <w:szCs w:val="20"/>
              </w:rPr>
            </w:pPr>
            <w:r w:rsidRPr="005D7C75">
              <w:rPr>
                <w:szCs w:val="20"/>
              </w:rPr>
              <w:t>☐ TAK ☐ NIE ☐ W trakcie</w:t>
            </w:r>
          </w:p>
        </w:tc>
      </w:tr>
    </w:tbl>
    <w:p w14:paraId="1BC4BD01" w14:textId="77777777" w:rsidR="0085655F" w:rsidRPr="005D7C75" w:rsidRDefault="00CB7E42" w:rsidP="005D7C75">
      <w:pPr>
        <w:spacing w:before="200" w:after="100"/>
        <w:jc w:val="both"/>
        <w:rPr>
          <w:rFonts w:ascii="Aptos" w:hAnsi="Aptos"/>
          <w:sz w:val="20"/>
          <w:szCs w:val="20"/>
        </w:rPr>
      </w:pPr>
      <w:r w:rsidRPr="005D7C75">
        <w:rPr>
          <w:b/>
          <w:bCs/>
          <w:szCs w:val="20"/>
        </w:rPr>
        <w:t>SEKCJA 4: WERYFIKACJA DECYZJI O UZNANIU ZA DOSTAWCĘ WYSOKIEGO RYZYKA ORAZ REKOMENDACJI (art. 67b i art. 33 ust. 4 ustawy o KSC)</w:t>
      </w:r>
    </w:p>
    <w:p w14:paraId="659394F8" w14:textId="77777777" w:rsidR="0085655F" w:rsidRPr="005D7C75" w:rsidRDefault="00CB7E42" w:rsidP="005D7C75">
      <w:pPr>
        <w:spacing w:after="60"/>
        <w:jc w:val="both"/>
        <w:rPr>
          <w:rFonts w:ascii="Aptos" w:hAnsi="Aptos"/>
          <w:sz w:val="20"/>
          <w:szCs w:val="20"/>
        </w:rPr>
      </w:pPr>
      <w:r w:rsidRPr="005D7C75">
        <w:rPr>
          <w:szCs w:val="20"/>
        </w:rPr>
        <w:t>Źródła weryfikacji: decyzje – Dziennik Urzędowy Rzeczypospolitej Polskiej „Monitor Polski” oraz Biuletyn Informacji Publicznej ministra właściwego do spraw informatyzacji (art. 67b ust. 17 ustawy o KSC); rekomendacje – Biuletyn Informacji Publicznej Pełnomocnika Rządu do Spraw Cyberbezpieczeństwa. Oświadczenia składane są według stanu na dzień zawarcia Umowy. Dane o kraju siedziby i kraju wytworzenia z Sekcji 2 mają charakter wyłącznie informacyjny i inwentaryzacyjny.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28"/>
        <w:gridCol w:w="1532"/>
        <w:gridCol w:w="1366"/>
      </w:tblGrid>
      <w:tr w:rsidR="0085655F" w:rsidRPr="005D7C75" w14:paraId="19D23886" w14:textId="7777777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9C6E47A" w14:textId="77777777" w:rsidR="0085655F" w:rsidRPr="005D7C75" w:rsidRDefault="00CB7E42" w:rsidP="005D7C75">
            <w:pPr>
              <w:jc w:val="both"/>
              <w:rPr>
                <w:rFonts w:ascii="Aptos" w:hAnsi="Aptos"/>
                <w:sz w:val="20"/>
                <w:szCs w:val="20"/>
              </w:rPr>
            </w:pPr>
            <w:r w:rsidRPr="005D7C75">
              <w:rPr>
                <w:b/>
                <w:bCs/>
                <w:szCs w:val="20"/>
              </w:rPr>
              <w:t>Oświadczenie Wykonawcy</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0E381C3A" w14:textId="77777777" w:rsidR="0085655F" w:rsidRPr="005D7C75" w:rsidRDefault="00CB7E42" w:rsidP="005D7C75">
            <w:pPr>
              <w:jc w:val="both"/>
              <w:rPr>
                <w:rFonts w:ascii="Aptos" w:hAnsi="Aptos"/>
                <w:sz w:val="20"/>
                <w:szCs w:val="20"/>
              </w:rPr>
            </w:pPr>
            <w:r w:rsidRPr="005D7C75">
              <w:rPr>
                <w:b/>
                <w:bCs/>
                <w:szCs w:val="20"/>
              </w:rPr>
              <w:t>Odpowiedź</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99F92DF" w14:textId="77777777" w:rsidR="0085655F" w:rsidRPr="005D7C75" w:rsidRDefault="00CB7E42" w:rsidP="005D7C75">
            <w:pPr>
              <w:jc w:val="both"/>
              <w:rPr>
                <w:rFonts w:ascii="Aptos" w:hAnsi="Aptos"/>
                <w:sz w:val="20"/>
                <w:szCs w:val="20"/>
              </w:rPr>
            </w:pPr>
            <w:r w:rsidRPr="005D7C75">
              <w:rPr>
                <w:b/>
                <w:bCs/>
                <w:szCs w:val="20"/>
              </w:rPr>
              <w:t>Komentarz</w:t>
            </w:r>
          </w:p>
        </w:tc>
      </w:tr>
      <w:tr w:rsidR="0085655F" w:rsidRPr="005D7C75" w14:paraId="53C5B0B6"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0CF3968" w14:textId="77777777" w:rsidR="0085655F" w:rsidRPr="005D7C75" w:rsidRDefault="00CB7E42" w:rsidP="005D7C75">
            <w:pPr>
              <w:jc w:val="both"/>
              <w:rPr>
                <w:rFonts w:ascii="Aptos" w:hAnsi="Aptos"/>
                <w:sz w:val="20"/>
                <w:szCs w:val="20"/>
              </w:rPr>
            </w:pPr>
            <w:r w:rsidRPr="005D7C75">
              <w:rPr>
                <w:sz w:val="20"/>
                <w:szCs w:val="20"/>
              </w:rPr>
              <w:t>Żaden z producentów wymienionych w Sekcji 2 nie jest objęty decyzją o uznaniu za dostawcę wysokiego ryzyka, o której mowa w art. 67b ust. 15 ustawy o KSC, ogłoszoną w „Monitorze Polskim”.</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DA249F" w14:textId="77777777" w:rsidR="0085655F" w:rsidRPr="005D7C75" w:rsidRDefault="00CB7E42" w:rsidP="005D7C75">
            <w:pPr>
              <w:jc w:val="both"/>
              <w:rPr>
                <w:rFonts w:ascii="Aptos" w:hAnsi="Aptos"/>
                <w:sz w:val="20"/>
                <w:szCs w:val="20"/>
              </w:rPr>
            </w:pPr>
            <w:r w:rsidRPr="005D7C75">
              <w:rPr>
                <w:szCs w:val="20"/>
              </w:rPr>
              <w:t>☐ PRAWDA ☐ FAŁSZ</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3BBB970" w14:textId="77777777" w:rsidR="0085655F" w:rsidRPr="005D7C75" w:rsidRDefault="0085655F" w:rsidP="005D7C75">
            <w:pPr>
              <w:jc w:val="both"/>
              <w:rPr>
                <w:rFonts w:ascii="Aptos" w:hAnsi="Aptos"/>
                <w:sz w:val="20"/>
                <w:szCs w:val="20"/>
              </w:rPr>
            </w:pPr>
          </w:p>
        </w:tc>
      </w:tr>
      <w:tr w:rsidR="0085655F" w:rsidRPr="005D7C75" w14:paraId="117CCBED"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192AB4" w14:textId="77777777" w:rsidR="0085655F" w:rsidRPr="005D7C75" w:rsidRDefault="00CB7E42" w:rsidP="005D7C75">
            <w:pPr>
              <w:jc w:val="both"/>
              <w:rPr>
                <w:rFonts w:ascii="Aptos" w:hAnsi="Aptos"/>
                <w:sz w:val="20"/>
                <w:szCs w:val="20"/>
              </w:rPr>
            </w:pPr>
            <w:r w:rsidRPr="005D7C75">
              <w:rPr>
                <w:szCs w:val="20"/>
              </w:rPr>
              <w:t>Żaden z podwykonawców z Sekcji 3 nie jest objęty decyzją, o której mowa w art. 67b ust. 15 ustawy o KSC.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882D81" w14:textId="77777777" w:rsidR="0085655F" w:rsidRPr="005D7C75" w:rsidRDefault="00CB7E42" w:rsidP="005D7C75">
            <w:pPr>
              <w:jc w:val="both"/>
              <w:rPr>
                <w:rFonts w:ascii="Aptos" w:hAnsi="Aptos"/>
                <w:sz w:val="20"/>
                <w:szCs w:val="20"/>
              </w:rPr>
            </w:pPr>
            <w:r w:rsidRPr="005D7C75">
              <w:rPr>
                <w:szCs w:val="20"/>
              </w:rPr>
              <w:t>☐ PRAWDA ☐ FAŁSZ</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546A034" w14:textId="77777777" w:rsidR="0085655F" w:rsidRPr="005D7C75" w:rsidRDefault="0085655F" w:rsidP="005D7C75">
            <w:pPr>
              <w:jc w:val="both"/>
              <w:rPr>
                <w:rFonts w:ascii="Aptos" w:hAnsi="Aptos"/>
                <w:sz w:val="20"/>
                <w:szCs w:val="20"/>
              </w:rPr>
            </w:pPr>
          </w:p>
        </w:tc>
      </w:tr>
      <w:tr w:rsidR="0085655F" w:rsidRPr="005D7C75" w14:paraId="138BCBBD"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A7FF30" w14:textId="77777777" w:rsidR="0085655F" w:rsidRPr="005D7C75" w:rsidRDefault="00CB7E42" w:rsidP="005D7C75">
            <w:pPr>
              <w:jc w:val="both"/>
              <w:rPr>
                <w:rFonts w:ascii="Aptos" w:hAnsi="Aptos"/>
                <w:sz w:val="20"/>
                <w:szCs w:val="20"/>
              </w:rPr>
            </w:pPr>
            <w:r w:rsidRPr="005D7C75">
              <w:rPr>
                <w:szCs w:val="20"/>
              </w:rPr>
              <w:t>Żaden z ww. podmiotów, ani dostarczane przez niego produkty ICT, usługi ICT lub procesy ICT, nie jest objęty rekomendacją, o której mowa w art. 33 ust. 4 ustawy o KSC.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F5C833" w14:textId="77777777" w:rsidR="0085655F" w:rsidRPr="005D7C75" w:rsidRDefault="00CB7E42" w:rsidP="005D7C75">
            <w:pPr>
              <w:jc w:val="both"/>
              <w:rPr>
                <w:rFonts w:ascii="Aptos" w:hAnsi="Aptos"/>
                <w:sz w:val="20"/>
                <w:szCs w:val="20"/>
              </w:rPr>
            </w:pPr>
            <w:r w:rsidRPr="005D7C75">
              <w:rPr>
                <w:szCs w:val="20"/>
              </w:rPr>
              <w:t>☐ PRAWDA ☐ FAŁSZ</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0E3ECB" w14:textId="77777777" w:rsidR="0085655F" w:rsidRPr="005D7C75" w:rsidRDefault="0085655F" w:rsidP="005D7C75">
            <w:pPr>
              <w:jc w:val="both"/>
              <w:rPr>
                <w:rFonts w:ascii="Aptos" w:hAnsi="Aptos"/>
                <w:sz w:val="20"/>
                <w:szCs w:val="20"/>
              </w:rPr>
            </w:pPr>
          </w:p>
        </w:tc>
      </w:tr>
      <w:tr w:rsidR="0085655F" w:rsidRPr="005D7C75" w14:paraId="2F636CC5"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13CAE7" w14:textId="77777777" w:rsidR="0085655F" w:rsidRPr="005D7C75" w:rsidRDefault="00CB7E42" w:rsidP="005D7C75">
            <w:pPr>
              <w:jc w:val="both"/>
              <w:rPr>
                <w:rFonts w:ascii="Aptos" w:hAnsi="Aptos"/>
                <w:sz w:val="20"/>
                <w:szCs w:val="20"/>
              </w:rPr>
            </w:pPr>
            <w:r w:rsidRPr="005D7C75">
              <w:rPr>
                <w:szCs w:val="20"/>
              </w:rPr>
              <w:t>Żaden z ww. podmiotów nie jest objęty sankcjami Unii Europejskiej ani sankcjami ustanowionymi ustawą z dnia 13 kwietnia 2022 r. o szczególnych rozwiązaniach w zakresie przeciwdziałania wspieraniu agresji na Ukrainę oraz służących ochronie bezpieczeństwa narodowego.</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5BF76F" w14:textId="77777777" w:rsidR="0085655F" w:rsidRPr="005D7C75" w:rsidRDefault="00CB7E42" w:rsidP="005D7C75">
            <w:pPr>
              <w:jc w:val="both"/>
              <w:rPr>
                <w:rFonts w:ascii="Aptos" w:hAnsi="Aptos"/>
                <w:sz w:val="20"/>
                <w:szCs w:val="20"/>
              </w:rPr>
            </w:pPr>
            <w:r w:rsidRPr="005D7C75">
              <w:rPr>
                <w:szCs w:val="20"/>
              </w:rPr>
              <w:t>☐ PRAWDA ☐ FAŁSZ</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300603" w14:textId="77777777" w:rsidR="0085655F" w:rsidRPr="005D7C75" w:rsidRDefault="0085655F" w:rsidP="005D7C75">
            <w:pPr>
              <w:jc w:val="both"/>
              <w:rPr>
                <w:rFonts w:ascii="Aptos" w:hAnsi="Aptos"/>
                <w:sz w:val="20"/>
                <w:szCs w:val="20"/>
              </w:rPr>
            </w:pPr>
          </w:p>
        </w:tc>
      </w:tr>
    </w:tbl>
    <w:p w14:paraId="14508694" w14:textId="77777777" w:rsidR="0085655F" w:rsidRPr="005D7C75" w:rsidRDefault="00CB7E42" w:rsidP="005D7C75">
      <w:pPr>
        <w:spacing w:before="200" w:after="100"/>
        <w:jc w:val="both"/>
        <w:rPr>
          <w:rFonts w:ascii="Aptos" w:hAnsi="Aptos"/>
          <w:sz w:val="20"/>
          <w:szCs w:val="20"/>
        </w:rPr>
      </w:pPr>
      <w:r w:rsidRPr="005D7C75">
        <w:rPr>
          <w:b/>
          <w:bCs/>
          <w:szCs w:val="20"/>
        </w:rPr>
        <w:t>SEKCJA 5: WERYFIKACJA SANKCJI MIĘDZYNARODOWYCH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18"/>
        <w:gridCol w:w="1495"/>
        <w:gridCol w:w="2313"/>
      </w:tblGrid>
      <w:tr w:rsidR="0085655F" w:rsidRPr="005D7C75" w14:paraId="530305E5" w14:textId="7777777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0479A67" w14:textId="77777777" w:rsidR="0085655F" w:rsidRPr="005D7C75" w:rsidRDefault="00CB7E42" w:rsidP="005D7C75">
            <w:pPr>
              <w:jc w:val="both"/>
              <w:rPr>
                <w:rFonts w:ascii="Aptos" w:hAnsi="Aptos"/>
                <w:sz w:val="20"/>
                <w:szCs w:val="20"/>
              </w:rPr>
            </w:pPr>
            <w:r w:rsidRPr="005D7C75">
              <w:rPr>
                <w:b/>
                <w:bCs/>
                <w:sz w:val="20"/>
                <w:szCs w:val="20"/>
              </w:rPr>
              <w:t>Weryfikowane kryterium</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05FB5BEE" w14:textId="77777777" w:rsidR="0085655F" w:rsidRPr="005D7C75" w:rsidRDefault="00CB7E42" w:rsidP="005D7C75">
            <w:pPr>
              <w:jc w:val="both"/>
              <w:rPr>
                <w:rFonts w:ascii="Aptos" w:hAnsi="Aptos"/>
                <w:sz w:val="20"/>
                <w:szCs w:val="20"/>
              </w:rPr>
            </w:pPr>
            <w:r w:rsidRPr="005D7C75">
              <w:rPr>
                <w:b/>
                <w:bCs/>
                <w:szCs w:val="20"/>
              </w:rPr>
              <w:t>Wykonawca</w:t>
            </w:r>
          </w:p>
        </w:tc>
        <w:tc>
          <w:tcPr>
            <w:tcW w:w="0" w:type="auto"/>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17026C57" w14:textId="77777777" w:rsidR="0085655F" w:rsidRPr="005D7C75" w:rsidRDefault="00CB7E42" w:rsidP="005D7C75">
            <w:pPr>
              <w:jc w:val="both"/>
              <w:rPr>
                <w:rFonts w:ascii="Aptos" w:hAnsi="Aptos"/>
                <w:sz w:val="20"/>
                <w:szCs w:val="20"/>
              </w:rPr>
            </w:pPr>
            <w:r w:rsidRPr="005D7C75">
              <w:rPr>
                <w:b/>
                <w:bCs/>
                <w:sz w:val="20"/>
                <w:szCs w:val="20"/>
              </w:rPr>
              <w:t>Podwykonawcy / producenci</w:t>
            </w:r>
          </w:p>
        </w:tc>
      </w:tr>
      <w:tr w:rsidR="0085655F" w:rsidRPr="005D7C75" w14:paraId="2A88F7F1"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05F630" w14:textId="77777777" w:rsidR="0085655F" w:rsidRPr="005D7C75" w:rsidRDefault="00CB7E42" w:rsidP="005D7C75">
            <w:pPr>
              <w:jc w:val="both"/>
              <w:rPr>
                <w:rFonts w:ascii="Aptos" w:hAnsi="Aptos"/>
                <w:sz w:val="20"/>
                <w:szCs w:val="20"/>
              </w:rPr>
            </w:pPr>
            <w:r w:rsidRPr="005D7C75">
              <w:rPr>
                <w:szCs w:val="20"/>
              </w:rPr>
              <w:t>Podmiot nie jest wpisany na listy sankcyjne UE (rozp. 765/2006, 269/2014, 833/2014)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C25AAB" w14:textId="77777777" w:rsidR="0085655F" w:rsidRPr="005D7C75" w:rsidRDefault="00CB7E42" w:rsidP="005D7C75">
            <w:pPr>
              <w:jc w:val="both"/>
              <w:rPr>
                <w:rFonts w:ascii="Aptos" w:hAnsi="Aptos"/>
                <w:sz w:val="20"/>
                <w:szCs w:val="20"/>
              </w:rPr>
            </w:pPr>
            <w:r w:rsidRPr="005D7C75">
              <w:rPr>
                <w:szCs w:val="20"/>
              </w:rPr>
              <w:t>☐ TAK ☐ NIE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1D13AF" w14:textId="77777777" w:rsidR="0085655F" w:rsidRPr="005D7C75" w:rsidRDefault="00CB7E42" w:rsidP="005D7C75">
            <w:pPr>
              <w:jc w:val="both"/>
              <w:rPr>
                <w:rFonts w:ascii="Aptos" w:hAnsi="Aptos"/>
                <w:sz w:val="20"/>
                <w:szCs w:val="20"/>
              </w:rPr>
            </w:pPr>
            <w:r w:rsidRPr="005D7C75">
              <w:rPr>
                <w:szCs w:val="20"/>
              </w:rPr>
              <w:t>☐ TAK ☐ NIE</w:t>
            </w:r>
          </w:p>
        </w:tc>
      </w:tr>
      <w:tr w:rsidR="0085655F" w:rsidRPr="005D7C75" w14:paraId="0E6DA210"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39CAA72" w14:textId="77777777" w:rsidR="0085655F" w:rsidRPr="005D7C75" w:rsidRDefault="00CB7E42" w:rsidP="005D7C75">
            <w:pPr>
              <w:jc w:val="both"/>
              <w:rPr>
                <w:rFonts w:ascii="Aptos" w:hAnsi="Aptos"/>
                <w:sz w:val="20"/>
                <w:szCs w:val="20"/>
              </w:rPr>
            </w:pPr>
            <w:r w:rsidRPr="005D7C75">
              <w:rPr>
                <w:szCs w:val="20"/>
              </w:rPr>
              <w:t>Podmiot nie jest wpisany na polską listę sankcyjną (ustawa z 13.04.2022 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43C5B6" w14:textId="77777777" w:rsidR="0085655F" w:rsidRPr="005D7C75" w:rsidRDefault="00CB7E42" w:rsidP="005D7C75">
            <w:pPr>
              <w:jc w:val="both"/>
              <w:rPr>
                <w:rFonts w:ascii="Aptos" w:hAnsi="Aptos"/>
                <w:sz w:val="20"/>
                <w:szCs w:val="20"/>
              </w:rPr>
            </w:pPr>
            <w:r w:rsidRPr="005D7C75">
              <w:rPr>
                <w:szCs w:val="20"/>
              </w:rPr>
              <w:t>☐ TAK ☐ NIE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0498FB" w14:textId="77777777" w:rsidR="0085655F" w:rsidRPr="005D7C75" w:rsidRDefault="00CB7E42" w:rsidP="005D7C75">
            <w:pPr>
              <w:jc w:val="both"/>
              <w:rPr>
                <w:rFonts w:ascii="Aptos" w:hAnsi="Aptos"/>
                <w:sz w:val="20"/>
                <w:szCs w:val="20"/>
              </w:rPr>
            </w:pPr>
            <w:r w:rsidRPr="005D7C75">
              <w:rPr>
                <w:szCs w:val="20"/>
              </w:rPr>
              <w:t>☐ TAK ☐ NIE</w:t>
            </w:r>
          </w:p>
        </w:tc>
      </w:tr>
      <w:tr w:rsidR="0085655F" w:rsidRPr="005D7C75" w14:paraId="025A11C4"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EF013A" w14:textId="77777777" w:rsidR="0085655F" w:rsidRPr="005D7C75" w:rsidRDefault="00CB7E42" w:rsidP="005D7C75">
            <w:pPr>
              <w:jc w:val="both"/>
              <w:rPr>
                <w:rFonts w:ascii="Aptos" w:hAnsi="Aptos"/>
                <w:sz w:val="20"/>
                <w:szCs w:val="20"/>
              </w:rPr>
            </w:pPr>
            <w:r w:rsidRPr="005D7C75">
              <w:rPr>
                <w:sz w:val="20"/>
                <w:szCs w:val="20"/>
              </w:rPr>
              <w:t>Beneficjent rzeczywisty nie jest osobą/podmiotem objętym sankcjami</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0ED780" w14:textId="77777777" w:rsidR="0085655F" w:rsidRPr="005D7C75" w:rsidRDefault="00CB7E42" w:rsidP="005D7C75">
            <w:pPr>
              <w:jc w:val="both"/>
              <w:rPr>
                <w:rFonts w:ascii="Aptos" w:hAnsi="Aptos"/>
                <w:sz w:val="20"/>
                <w:szCs w:val="20"/>
              </w:rPr>
            </w:pPr>
            <w:r w:rsidRPr="005D7C75">
              <w:rPr>
                <w:szCs w:val="20"/>
              </w:rPr>
              <w:t>☐ TAK ☐ NIE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E6E23A4" w14:textId="77777777" w:rsidR="0085655F" w:rsidRPr="005D7C75" w:rsidRDefault="00CB7E42" w:rsidP="005D7C75">
            <w:pPr>
              <w:jc w:val="both"/>
              <w:rPr>
                <w:rFonts w:ascii="Aptos" w:hAnsi="Aptos"/>
                <w:sz w:val="20"/>
                <w:szCs w:val="20"/>
              </w:rPr>
            </w:pPr>
            <w:r w:rsidRPr="005D7C75">
              <w:rPr>
                <w:sz w:val="20"/>
                <w:szCs w:val="20"/>
              </w:rPr>
              <w:t>☐ TAK ☐ NIE</w:t>
            </w:r>
          </w:p>
        </w:tc>
      </w:tr>
      <w:tr w:rsidR="0085655F" w:rsidRPr="005D7C75" w14:paraId="2C741479" w14:textId="77777777">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682EBF" w14:textId="77777777" w:rsidR="0085655F" w:rsidRPr="005D7C75" w:rsidRDefault="00CB7E42" w:rsidP="005D7C75">
            <w:pPr>
              <w:jc w:val="both"/>
              <w:rPr>
                <w:rFonts w:ascii="Aptos" w:hAnsi="Aptos"/>
                <w:sz w:val="20"/>
                <w:szCs w:val="20"/>
              </w:rPr>
            </w:pPr>
            <w:r w:rsidRPr="005D7C75">
              <w:rPr>
                <w:sz w:val="20"/>
                <w:szCs w:val="20"/>
              </w:rPr>
              <w:lastRenderedPageBreak/>
              <w:t>Podmiot nie został wykluczony z zamówień UE (art. 5k rozp. 833/2014)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BD6251D" w14:textId="77777777" w:rsidR="0085655F" w:rsidRPr="005D7C75" w:rsidRDefault="00CB7E42" w:rsidP="005D7C75">
            <w:pPr>
              <w:jc w:val="both"/>
              <w:rPr>
                <w:rFonts w:ascii="Aptos" w:hAnsi="Aptos"/>
                <w:sz w:val="20"/>
                <w:szCs w:val="20"/>
              </w:rPr>
            </w:pPr>
            <w:r w:rsidRPr="005D7C75">
              <w:rPr>
                <w:szCs w:val="20"/>
              </w:rPr>
              <w:t>☐ TAK ☐ NIE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5A9E35" w14:textId="77777777" w:rsidR="0085655F" w:rsidRPr="005D7C75" w:rsidRDefault="00CB7E42" w:rsidP="005D7C75">
            <w:pPr>
              <w:jc w:val="both"/>
              <w:rPr>
                <w:rFonts w:ascii="Aptos" w:hAnsi="Aptos"/>
                <w:sz w:val="20"/>
                <w:szCs w:val="20"/>
              </w:rPr>
            </w:pPr>
            <w:r w:rsidRPr="005D7C75">
              <w:rPr>
                <w:sz w:val="20"/>
                <w:szCs w:val="20"/>
              </w:rPr>
              <w:t>☐ TAK ☐ NIE</w:t>
            </w:r>
          </w:p>
        </w:tc>
      </w:tr>
    </w:tbl>
    <w:p w14:paraId="7C4228CA" w14:textId="77777777" w:rsidR="0085655F" w:rsidRPr="005D7C75" w:rsidRDefault="0085655F" w:rsidP="005D7C75">
      <w:pPr>
        <w:spacing w:after="300"/>
        <w:jc w:val="both"/>
        <w:rPr>
          <w:rFonts w:ascii="Aptos" w:hAnsi="Aptos"/>
          <w:sz w:val="20"/>
          <w:szCs w:val="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13"/>
        <w:gridCol w:w="400"/>
        <w:gridCol w:w="4313"/>
      </w:tblGrid>
      <w:tr w:rsidR="0085655F" w:rsidRPr="005D7C75" w14:paraId="34F99BDB" w14:textId="77777777">
        <w:tc>
          <w:tcPr>
            <w:tcW w:w="4313" w:type="dxa"/>
            <w:tcBorders>
              <w:top w:val="none" w:sz="0" w:space="0" w:color="FFFFFF"/>
              <w:left w:val="none" w:sz="0" w:space="0" w:color="FFFFFF"/>
              <w:bottom w:val="none" w:sz="0" w:space="0" w:color="FFFFFF"/>
              <w:right w:val="none" w:sz="0" w:space="0" w:color="FFFFFF"/>
            </w:tcBorders>
          </w:tcPr>
          <w:p w14:paraId="1123CE7D" w14:textId="77777777" w:rsidR="0085655F" w:rsidRPr="005D7C75" w:rsidRDefault="00CB7E42" w:rsidP="005D7C75">
            <w:pPr>
              <w:jc w:val="both"/>
              <w:rPr>
                <w:rFonts w:ascii="Aptos" w:hAnsi="Aptos"/>
                <w:sz w:val="20"/>
                <w:szCs w:val="20"/>
              </w:rPr>
            </w:pPr>
            <w:r w:rsidRPr="005D7C75">
              <w:rPr>
                <w:szCs w:val="20"/>
              </w:rPr>
              <w:t>WYKONAWCA</w:t>
            </w:r>
          </w:p>
        </w:tc>
        <w:tc>
          <w:tcPr>
            <w:tcW w:w="400" w:type="dxa"/>
            <w:tcBorders>
              <w:top w:val="none" w:sz="0" w:space="0" w:color="FFFFFF"/>
              <w:left w:val="none" w:sz="0" w:space="0" w:color="FFFFFF"/>
              <w:bottom w:val="none" w:sz="0" w:space="0" w:color="FFFFFF"/>
              <w:right w:val="none" w:sz="0" w:space="0" w:color="FFFFFF"/>
            </w:tcBorders>
          </w:tcPr>
          <w:p w14:paraId="25B543B0" w14:textId="77777777" w:rsidR="0085655F" w:rsidRPr="005D7C75" w:rsidRDefault="0085655F" w:rsidP="005D7C75">
            <w:pPr>
              <w:spacing w:after="12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35F28C35" w14:textId="77777777" w:rsidR="0085655F" w:rsidRPr="005D7C75" w:rsidRDefault="00CB7E42" w:rsidP="005D7C75">
            <w:pPr>
              <w:jc w:val="both"/>
              <w:rPr>
                <w:rFonts w:ascii="Aptos" w:hAnsi="Aptos"/>
                <w:sz w:val="20"/>
                <w:szCs w:val="20"/>
              </w:rPr>
            </w:pPr>
            <w:r w:rsidRPr="005D7C75">
              <w:rPr>
                <w:szCs w:val="20"/>
              </w:rPr>
              <w:t>ZAMAWIAJĄCY – potwierdzenie przyjęcia</w:t>
            </w:r>
          </w:p>
        </w:tc>
      </w:tr>
      <w:tr w:rsidR="0085655F" w:rsidRPr="005D7C75" w14:paraId="0147426D" w14:textId="77777777">
        <w:tc>
          <w:tcPr>
            <w:tcW w:w="4313" w:type="dxa"/>
            <w:tcBorders>
              <w:top w:val="none" w:sz="0" w:space="0" w:color="FFFFFF"/>
              <w:left w:val="none" w:sz="0" w:space="0" w:color="FFFFFF"/>
              <w:bottom w:val="none" w:sz="0" w:space="0" w:color="FFFFFF"/>
              <w:right w:val="none" w:sz="0" w:space="0" w:color="FFFFFF"/>
            </w:tcBorders>
          </w:tcPr>
          <w:p w14:paraId="66DCE8CA" w14:textId="77777777" w:rsidR="0085655F" w:rsidRPr="005D7C75" w:rsidRDefault="00CB7E42" w:rsidP="005D7C75">
            <w:pPr>
              <w:jc w:val="both"/>
              <w:rPr>
                <w:rFonts w:ascii="Aptos" w:hAnsi="Aptos"/>
                <w:sz w:val="20"/>
                <w:szCs w:val="20"/>
              </w:rPr>
            </w:pPr>
            <w:r w:rsidRPr="005D7C75">
              <w:rPr>
                <w:szCs w:val="20"/>
              </w:rPr>
              <w:t>…………………………………………………</w:t>
            </w:r>
          </w:p>
          <w:p w14:paraId="43DB6B1E" w14:textId="77777777" w:rsidR="0085655F" w:rsidRPr="005D7C75" w:rsidRDefault="00CB7E42" w:rsidP="005D7C75">
            <w:pPr>
              <w:jc w:val="both"/>
              <w:rPr>
                <w:rFonts w:ascii="Aptos" w:hAnsi="Aptos"/>
                <w:sz w:val="20"/>
                <w:szCs w:val="20"/>
              </w:rPr>
            </w:pPr>
            <w:r w:rsidRPr="005D7C75">
              <w:rPr>
                <w:i/>
                <w:iCs/>
                <w:szCs w:val="20"/>
              </w:rPr>
              <w:t>(wypełnia i podpisuje Wykonawca)</w:t>
            </w:r>
          </w:p>
        </w:tc>
        <w:tc>
          <w:tcPr>
            <w:tcW w:w="400" w:type="dxa"/>
            <w:tcBorders>
              <w:top w:val="none" w:sz="0" w:space="0" w:color="FFFFFF"/>
              <w:left w:val="none" w:sz="0" w:space="0" w:color="FFFFFF"/>
              <w:bottom w:val="none" w:sz="0" w:space="0" w:color="FFFFFF"/>
              <w:right w:val="none" w:sz="0" w:space="0" w:color="FFFFFF"/>
            </w:tcBorders>
          </w:tcPr>
          <w:p w14:paraId="53A940A7" w14:textId="77777777" w:rsidR="0085655F" w:rsidRPr="005D7C75" w:rsidRDefault="0085655F" w:rsidP="005D7C75">
            <w:pPr>
              <w:spacing w:after="120"/>
              <w:jc w:val="both"/>
              <w:rPr>
                <w:rFonts w:ascii="Aptos" w:hAnsi="Aptos"/>
                <w:sz w:val="20"/>
                <w:szCs w:val="20"/>
              </w:rPr>
            </w:pPr>
          </w:p>
        </w:tc>
        <w:tc>
          <w:tcPr>
            <w:tcW w:w="4313" w:type="dxa"/>
            <w:tcBorders>
              <w:top w:val="none" w:sz="0" w:space="0" w:color="FFFFFF"/>
              <w:left w:val="none" w:sz="0" w:space="0" w:color="FFFFFF"/>
              <w:bottom w:val="none" w:sz="0" w:space="0" w:color="FFFFFF"/>
              <w:right w:val="none" w:sz="0" w:space="0" w:color="FFFFFF"/>
            </w:tcBorders>
          </w:tcPr>
          <w:p w14:paraId="1F222FF2" w14:textId="77777777" w:rsidR="0085655F" w:rsidRPr="005D7C75" w:rsidRDefault="00CB7E42" w:rsidP="005D7C75">
            <w:pPr>
              <w:jc w:val="both"/>
              <w:rPr>
                <w:rFonts w:ascii="Aptos" w:hAnsi="Aptos"/>
                <w:sz w:val="20"/>
                <w:szCs w:val="20"/>
              </w:rPr>
            </w:pPr>
            <w:r w:rsidRPr="005D7C75">
              <w:rPr>
                <w:sz w:val="20"/>
                <w:szCs w:val="20"/>
              </w:rPr>
              <w:t>…………………………………………………</w:t>
            </w:r>
          </w:p>
          <w:p w14:paraId="7D961241" w14:textId="77777777" w:rsidR="0085655F" w:rsidRPr="005D7C75" w:rsidRDefault="00CB7E42" w:rsidP="005D7C75">
            <w:pPr>
              <w:jc w:val="both"/>
              <w:rPr>
                <w:rFonts w:ascii="Aptos" w:hAnsi="Aptos"/>
                <w:sz w:val="20"/>
                <w:szCs w:val="20"/>
              </w:rPr>
            </w:pPr>
            <w:r w:rsidRPr="005D7C75">
              <w:rPr>
                <w:i/>
                <w:iCs/>
                <w:szCs w:val="20"/>
              </w:rPr>
              <w:t>(pieczęć i podpis)</w:t>
            </w:r>
          </w:p>
        </w:tc>
      </w:tr>
    </w:tbl>
    <w:p w14:paraId="25CBF7FC" w14:textId="77777777" w:rsidR="0085655F" w:rsidRPr="005D7C75" w:rsidRDefault="00CB7E42" w:rsidP="005D7C75">
      <w:pPr>
        <w:jc w:val="both"/>
        <w:rPr>
          <w:rFonts w:ascii="Aptos" w:hAnsi="Aptos"/>
          <w:sz w:val="20"/>
          <w:szCs w:val="20"/>
        </w:rPr>
      </w:pPr>
      <w:r w:rsidRPr="005D7C75">
        <w:rPr>
          <w:szCs w:val="20"/>
        </w:rPr>
        <w:br w:type="page"/>
      </w:r>
    </w:p>
    <w:sectPr w:rsidR="0085655F" w:rsidRPr="005D7C75" w:rsidSect="0011146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170B" w14:textId="77777777" w:rsidR="00C7343D" w:rsidRDefault="00C7343D">
      <w:r>
        <w:separator/>
      </w:r>
    </w:p>
  </w:endnote>
  <w:endnote w:type="continuationSeparator" w:id="0">
    <w:p w14:paraId="7AAE7AF9" w14:textId="77777777" w:rsidR="00C7343D" w:rsidRDefault="00C73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9CED" w14:textId="77777777" w:rsidR="00294012" w:rsidRDefault="002940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9EDF" w14:textId="77777777" w:rsidR="0085655F" w:rsidRDefault="00CB7E42">
    <w:pPr>
      <w:jc w:val="center"/>
    </w:pPr>
    <w:r>
      <w:rPr>
        <w:color w:val="555555"/>
        <w:sz w:val="18"/>
        <w:szCs w:val="18"/>
      </w:rPr>
      <w:t xml:space="preserve">Strona </w:t>
    </w:r>
    <w:r>
      <w:rPr>
        <w:color w:val="555555"/>
        <w:sz w:val="18"/>
        <w:szCs w:val="18"/>
      </w:rPr>
      <w:fldChar w:fldCharType="begin"/>
    </w:r>
    <w:r>
      <w:rPr>
        <w:color w:val="555555"/>
        <w:sz w:val="18"/>
        <w:szCs w:val="18"/>
      </w:rPr>
      <w:instrText>PAGE</w:instrText>
    </w:r>
    <w:r>
      <w:rPr>
        <w:color w:val="555555"/>
        <w:sz w:val="18"/>
        <w:szCs w:val="18"/>
      </w:rPr>
      <w:fldChar w:fldCharType="separate"/>
    </w:r>
    <w:r w:rsidR="00B50FBE">
      <w:rPr>
        <w:noProof/>
        <w:color w:val="555555"/>
        <w:sz w:val="18"/>
        <w:szCs w:val="18"/>
      </w:rPr>
      <w:t>1</w:t>
    </w:r>
    <w:r>
      <w:rPr>
        <w:color w:val="555555"/>
        <w:sz w:val="18"/>
        <w:szCs w:val="18"/>
      </w:rPr>
      <w:fldChar w:fldCharType="end"/>
    </w:r>
    <w:r>
      <w:rPr>
        <w:color w:val="555555"/>
        <w:sz w:val="18"/>
        <w:szCs w:val="18"/>
      </w:rPr>
      <w:t xml:space="preserve"> z </w:t>
    </w:r>
    <w:r>
      <w:rPr>
        <w:color w:val="555555"/>
        <w:sz w:val="18"/>
        <w:szCs w:val="18"/>
      </w:rPr>
      <w:fldChar w:fldCharType="begin"/>
    </w:r>
    <w:r>
      <w:rPr>
        <w:color w:val="555555"/>
        <w:sz w:val="18"/>
        <w:szCs w:val="18"/>
      </w:rPr>
      <w:instrText>NUMPAGES</w:instrText>
    </w:r>
    <w:r>
      <w:rPr>
        <w:color w:val="555555"/>
        <w:sz w:val="18"/>
        <w:szCs w:val="18"/>
      </w:rPr>
      <w:fldChar w:fldCharType="separate"/>
    </w:r>
    <w:r w:rsidR="00B50FBE">
      <w:rPr>
        <w:noProof/>
        <w:color w:val="555555"/>
        <w:sz w:val="18"/>
        <w:szCs w:val="18"/>
      </w:rPr>
      <w:t>2</w:t>
    </w:r>
    <w:r>
      <w:rPr>
        <w:color w:val="555555"/>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3A85" w14:textId="77777777" w:rsidR="00294012" w:rsidRDefault="002940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1C5C" w14:textId="77777777" w:rsidR="00C7343D" w:rsidRDefault="00C7343D">
      <w:r>
        <w:separator/>
      </w:r>
    </w:p>
  </w:footnote>
  <w:footnote w:type="continuationSeparator" w:id="0">
    <w:p w14:paraId="5711D60D" w14:textId="77777777" w:rsidR="00C7343D" w:rsidRDefault="00C73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F074" w14:textId="77777777" w:rsidR="00294012" w:rsidRDefault="002940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D9C0" w14:textId="77777777" w:rsidR="0085655F" w:rsidRPr="00B50FBE" w:rsidRDefault="00C14412" w:rsidP="00B50FBE">
    <w:pPr>
      <w:pStyle w:val="Nagwek"/>
    </w:pPr>
    <w:r w:rsidRPr="00D66837">
      <w:rPr>
        <w:noProof/>
      </w:rPr>
      <w:drawing>
        <wp:inline distT="0" distB="0" distL="0" distR="0" wp14:anchorId="495D0639" wp14:editId="10C4A37C">
          <wp:extent cx="5760720" cy="608330"/>
          <wp:effectExtent l="0" t="0" r="0" b="1270"/>
          <wp:docPr id="996737383" name="Obraz 1" descr="The image showcases various European symbols and acronyms representing different entities such as the European Union, Poland, and Next Generation EU, with a focus on infrastructure and financ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37383" name="Obraz 1" descr="The image showcases various European symbols and acronyms representing different entities such as the European Union, Poland, and Next Generation EU, with a focus on infrastructure and finance.&#10;&#10;Zawartość wygenerowana przez AI może być niepoprawna."/>
                  <pic:cNvPicPr/>
                </pic:nvPicPr>
                <pic:blipFill>
                  <a:blip r:embed="rId1"/>
                  <a:stretch>
                    <a:fillRect/>
                  </a:stretch>
                </pic:blipFill>
                <pic:spPr>
                  <a:xfrm>
                    <a:off x="0" y="0"/>
                    <a:ext cx="5760720" cy="6083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3070" w14:textId="77777777" w:rsidR="00294012" w:rsidRDefault="002940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360"/>
    <w:multiLevelType w:val="hybridMultilevel"/>
    <w:tmpl w:val="4BC43724"/>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CB3CE5"/>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7A71CF"/>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734E9F"/>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7C7717"/>
    <w:multiLevelType w:val="hybridMultilevel"/>
    <w:tmpl w:val="61CC2598"/>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DD43DF"/>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D96D6D"/>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16132A"/>
    <w:multiLevelType w:val="hybridMultilevel"/>
    <w:tmpl w:val="50E612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B48D7"/>
    <w:multiLevelType w:val="hybridMultilevel"/>
    <w:tmpl w:val="1E307490"/>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BD1F13"/>
    <w:multiLevelType w:val="hybridMultilevel"/>
    <w:tmpl w:val="EE62B9D6"/>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BF4B0D"/>
    <w:multiLevelType w:val="hybridMultilevel"/>
    <w:tmpl w:val="10F24F8C"/>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F06C4E"/>
    <w:multiLevelType w:val="hybridMultilevel"/>
    <w:tmpl w:val="72E891DA"/>
    <w:lvl w:ilvl="0" w:tplc="D2081676">
      <w:start w:val="1"/>
      <w:numFmt w:val="decimal"/>
      <w:lvlText w:val="%1."/>
      <w:lvlJc w:val="left"/>
      <w:pPr>
        <w:ind w:left="720" w:hanging="360"/>
      </w:pPr>
    </w:lvl>
    <w:lvl w:ilvl="1" w:tplc="EC425B0E">
      <w:start w:val="1"/>
      <w:numFmt w:val="lowerLetter"/>
      <w:lvlText w:val="%2)"/>
      <w:lvlJc w:val="left"/>
      <w:pPr>
        <w:ind w:left="1080" w:hanging="360"/>
      </w:pPr>
    </w:lvl>
    <w:lvl w:ilvl="2" w:tplc="C0FE6448">
      <w:start w:val="1"/>
      <w:numFmt w:val="lowerRoman"/>
      <w:lvlText w:val="%3."/>
      <w:lvlJc w:val="left"/>
      <w:pPr>
        <w:ind w:left="1440" w:hanging="360"/>
      </w:pPr>
    </w:lvl>
    <w:lvl w:ilvl="3" w:tplc="BADE56D8">
      <w:numFmt w:val="decimal"/>
      <w:lvlText w:val=""/>
      <w:lvlJc w:val="left"/>
    </w:lvl>
    <w:lvl w:ilvl="4" w:tplc="1D42C6FC">
      <w:numFmt w:val="decimal"/>
      <w:lvlText w:val=""/>
      <w:lvlJc w:val="left"/>
    </w:lvl>
    <w:lvl w:ilvl="5" w:tplc="4A9A45EE">
      <w:numFmt w:val="decimal"/>
      <w:lvlText w:val=""/>
      <w:lvlJc w:val="left"/>
    </w:lvl>
    <w:lvl w:ilvl="6" w:tplc="0A6ACA6E">
      <w:numFmt w:val="decimal"/>
      <w:lvlText w:val=""/>
      <w:lvlJc w:val="left"/>
    </w:lvl>
    <w:lvl w:ilvl="7" w:tplc="7CD6B2FE">
      <w:numFmt w:val="decimal"/>
      <w:lvlText w:val=""/>
      <w:lvlJc w:val="left"/>
    </w:lvl>
    <w:lvl w:ilvl="8" w:tplc="5BB6E574">
      <w:numFmt w:val="decimal"/>
      <w:lvlText w:val=""/>
      <w:lvlJc w:val="left"/>
    </w:lvl>
  </w:abstractNum>
  <w:abstractNum w:abstractNumId="12" w15:restartNumberingAfterBreak="0">
    <w:nsid w:val="2F20207D"/>
    <w:multiLevelType w:val="hybridMultilevel"/>
    <w:tmpl w:val="53CC2BF8"/>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09E5FEA"/>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2191DFC"/>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57C1F5A"/>
    <w:multiLevelType w:val="hybridMultilevel"/>
    <w:tmpl w:val="806EA1EA"/>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5FC4A12"/>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98F5656"/>
    <w:multiLevelType w:val="hybridMultilevel"/>
    <w:tmpl w:val="D55EFAC6"/>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ED2E52"/>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E235179"/>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FC2072B"/>
    <w:multiLevelType w:val="hybridMultilevel"/>
    <w:tmpl w:val="792037C8"/>
    <w:lvl w:ilvl="0" w:tplc="04150017">
      <w:start w:val="1"/>
      <w:numFmt w:val="lowerLetter"/>
      <w:lvlText w:val="%1)"/>
      <w:lvlJc w:val="left"/>
      <w:pPr>
        <w:ind w:left="1068"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0AB7F1E"/>
    <w:multiLevelType w:val="hybridMultilevel"/>
    <w:tmpl w:val="A75C1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EA65EE"/>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17D6A4B"/>
    <w:multiLevelType w:val="hybridMultilevel"/>
    <w:tmpl w:val="53F0B760"/>
    <w:lvl w:ilvl="0" w:tplc="04150017">
      <w:start w:val="1"/>
      <w:numFmt w:val="lowerLetter"/>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37A2C9B"/>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85A35CD"/>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8B84A77"/>
    <w:multiLevelType w:val="hybridMultilevel"/>
    <w:tmpl w:val="8D20AC4C"/>
    <w:lvl w:ilvl="0" w:tplc="7A46602E">
      <w:start w:val="1"/>
      <w:numFmt w:val="bullet"/>
      <w:lvlText w:val="●"/>
      <w:lvlJc w:val="left"/>
      <w:pPr>
        <w:ind w:left="720" w:hanging="360"/>
      </w:pPr>
    </w:lvl>
    <w:lvl w:ilvl="1" w:tplc="5F7467F8">
      <w:start w:val="1"/>
      <w:numFmt w:val="bullet"/>
      <w:lvlText w:val="○"/>
      <w:lvlJc w:val="left"/>
      <w:pPr>
        <w:ind w:left="1440" w:hanging="360"/>
      </w:pPr>
    </w:lvl>
    <w:lvl w:ilvl="2" w:tplc="20BE8D86">
      <w:start w:val="1"/>
      <w:numFmt w:val="bullet"/>
      <w:lvlText w:val="■"/>
      <w:lvlJc w:val="left"/>
      <w:pPr>
        <w:ind w:left="2160" w:hanging="360"/>
      </w:pPr>
    </w:lvl>
    <w:lvl w:ilvl="3" w:tplc="C1F20F10">
      <w:start w:val="1"/>
      <w:numFmt w:val="bullet"/>
      <w:lvlText w:val="●"/>
      <w:lvlJc w:val="left"/>
      <w:pPr>
        <w:ind w:left="2880" w:hanging="360"/>
      </w:pPr>
    </w:lvl>
    <w:lvl w:ilvl="4" w:tplc="1BC6C864">
      <w:start w:val="1"/>
      <w:numFmt w:val="bullet"/>
      <w:lvlText w:val="○"/>
      <w:lvlJc w:val="left"/>
      <w:pPr>
        <w:ind w:left="3600" w:hanging="360"/>
      </w:pPr>
    </w:lvl>
    <w:lvl w:ilvl="5" w:tplc="1B90D686">
      <w:start w:val="1"/>
      <w:numFmt w:val="bullet"/>
      <w:lvlText w:val="■"/>
      <w:lvlJc w:val="left"/>
      <w:pPr>
        <w:ind w:left="4320" w:hanging="360"/>
      </w:pPr>
    </w:lvl>
    <w:lvl w:ilvl="6" w:tplc="5E544552">
      <w:start w:val="1"/>
      <w:numFmt w:val="bullet"/>
      <w:lvlText w:val="●"/>
      <w:lvlJc w:val="left"/>
      <w:pPr>
        <w:ind w:left="5040" w:hanging="360"/>
      </w:pPr>
    </w:lvl>
    <w:lvl w:ilvl="7" w:tplc="AC0A9A80">
      <w:start w:val="1"/>
      <w:numFmt w:val="bullet"/>
      <w:lvlText w:val="●"/>
      <w:lvlJc w:val="left"/>
      <w:pPr>
        <w:ind w:left="5760" w:hanging="360"/>
      </w:pPr>
    </w:lvl>
    <w:lvl w:ilvl="8" w:tplc="93C453BC">
      <w:start w:val="1"/>
      <w:numFmt w:val="bullet"/>
      <w:lvlText w:val="●"/>
      <w:lvlJc w:val="left"/>
      <w:pPr>
        <w:ind w:left="6480" w:hanging="360"/>
      </w:pPr>
    </w:lvl>
  </w:abstractNum>
  <w:abstractNum w:abstractNumId="27" w15:restartNumberingAfterBreak="0">
    <w:nsid w:val="5A9E33D3"/>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CCF4365"/>
    <w:multiLevelType w:val="hybridMultilevel"/>
    <w:tmpl w:val="F7260E9E"/>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484649"/>
    <w:multiLevelType w:val="hybridMultilevel"/>
    <w:tmpl w:val="00C4CE1C"/>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F076A0C"/>
    <w:multiLevelType w:val="hybridMultilevel"/>
    <w:tmpl w:val="294A5FFE"/>
    <w:lvl w:ilvl="0" w:tplc="0D665A62">
      <w:start w:val="1"/>
      <w:numFmt w:val="bullet"/>
      <w:lvlText w:val="-"/>
      <w:lvlJc w:val="left"/>
      <w:pPr>
        <w:ind w:left="1068" w:hanging="360"/>
      </w:pPr>
    </w:lvl>
    <w:lvl w:ilvl="1" w:tplc="E29E8AD0">
      <w:numFmt w:val="decimal"/>
      <w:lvlText w:val=""/>
      <w:lvlJc w:val="left"/>
    </w:lvl>
    <w:lvl w:ilvl="2" w:tplc="CF989804">
      <w:numFmt w:val="decimal"/>
      <w:lvlText w:val=""/>
      <w:lvlJc w:val="left"/>
    </w:lvl>
    <w:lvl w:ilvl="3" w:tplc="5A88951A">
      <w:numFmt w:val="decimal"/>
      <w:lvlText w:val=""/>
      <w:lvlJc w:val="left"/>
    </w:lvl>
    <w:lvl w:ilvl="4" w:tplc="6BCE3C5C">
      <w:numFmt w:val="decimal"/>
      <w:lvlText w:val=""/>
      <w:lvlJc w:val="left"/>
    </w:lvl>
    <w:lvl w:ilvl="5" w:tplc="004EFF48">
      <w:numFmt w:val="decimal"/>
      <w:lvlText w:val=""/>
      <w:lvlJc w:val="left"/>
    </w:lvl>
    <w:lvl w:ilvl="6" w:tplc="0196302C">
      <w:numFmt w:val="decimal"/>
      <w:lvlText w:val=""/>
      <w:lvlJc w:val="left"/>
    </w:lvl>
    <w:lvl w:ilvl="7" w:tplc="88CEC406">
      <w:numFmt w:val="decimal"/>
      <w:lvlText w:val=""/>
      <w:lvlJc w:val="left"/>
    </w:lvl>
    <w:lvl w:ilvl="8" w:tplc="C4743DD6">
      <w:numFmt w:val="decimal"/>
      <w:lvlText w:val=""/>
      <w:lvlJc w:val="left"/>
    </w:lvl>
  </w:abstractNum>
  <w:abstractNum w:abstractNumId="31" w15:restartNumberingAfterBreak="0">
    <w:nsid w:val="67FA347D"/>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9D428E8"/>
    <w:multiLevelType w:val="hybridMultilevel"/>
    <w:tmpl w:val="9ED8534A"/>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AD92DCF"/>
    <w:multiLevelType w:val="hybridMultilevel"/>
    <w:tmpl w:val="72E891DA"/>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left"/>
      <w:pPr>
        <w:ind w:left="144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EB94CB3"/>
    <w:multiLevelType w:val="hybridMultilevel"/>
    <w:tmpl w:val="0CE068B8"/>
    <w:lvl w:ilvl="0" w:tplc="04150017">
      <w:start w:val="1"/>
      <w:numFmt w:val="lowerLetter"/>
      <w:lvlText w:val="%1)"/>
      <w:lvlJc w:val="left"/>
      <w:pPr>
        <w:ind w:left="10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88781647">
    <w:abstractNumId w:val="26"/>
    <w:lvlOverride w:ilvl="0">
      <w:startOverride w:val="1"/>
    </w:lvlOverride>
  </w:num>
  <w:num w:numId="2" w16cid:durableId="629555524">
    <w:abstractNumId w:val="30"/>
    <w:lvlOverride w:ilvl="0">
      <w:startOverride w:val="1"/>
    </w:lvlOverride>
  </w:num>
  <w:num w:numId="3" w16cid:durableId="1379359991">
    <w:abstractNumId w:val="11"/>
    <w:lvlOverride w:ilvl="0">
      <w:startOverride w:val="1"/>
    </w:lvlOverride>
  </w:num>
  <w:num w:numId="4" w16cid:durableId="651448835">
    <w:abstractNumId w:val="30"/>
  </w:num>
  <w:num w:numId="5" w16cid:durableId="8415042">
    <w:abstractNumId w:val="23"/>
  </w:num>
  <w:num w:numId="6" w16cid:durableId="53044355">
    <w:abstractNumId w:val="32"/>
  </w:num>
  <w:num w:numId="7" w16cid:durableId="1747335983">
    <w:abstractNumId w:val="15"/>
  </w:num>
  <w:num w:numId="8" w16cid:durableId="1412117096">
    <w:abstractNumId w:val="11"/>
  </w:num>
  <w:num w:numId="9" w16cid:durableId="1650665774">
    <w:abstractNumId w:val="24"/>
  </w:num>
  <w:num w:numId="10" w16cid:durableId="777716963">
    <w:abstractNumId w:val="18"/>
  </w:num>
  <w:num w:numId="11" w16cid:durableId="1720863141">
    <w:abstractNumId w:val="31"/>
  </w:num>
  <w:num w:numId="12" w16cid:durableId="746654133">
    <w:abstractNumId w:val="8"/>
  </w:num>
  <w:num w:numId="13" w16cid:durableId="1211382547">
    <w:abstractNumId w:val="6"/>
  </w:num>
  <w:num w:numId="14" w16cid:durableId="2013214442">
    <w:abstractNumId w:val="17"/>
  </w:num>
  <w:num w:numId="15" w16cid:durableId="1479806965">
    <w:abstractNumId w:val="1"/>
  </w:num>
  <w:num w:numId="16" w16cid:durableId="1549486791">
    <w:abstractNumId w:val="16"/>
  </w:num>
  <w:num w:numId="17" w16cid:durableId="643436170">
    <w:abstractNumId w:val="34"/>
  </w:num>
  <w:num w:numId="18" w16cid:durableId="1398866943">
    <w:abstractNumId w:val="27"/>
  </w:num>
  <w:num w:numId="19" w16cid:durableId="614680268">
    <w:abstractNumId w:val="20"/>
  </w:num>
  <w:num w:numId="20" w16cid:durableId="1382170994">
    <w:abstractNumId w:val="13"/>
  </w:num>
  <w:num w:numId="21" w16cid:durableId="400056867">
    <w:abstractNumId w:val="0"/>
  </w:num>
  <w:num w:numId="22" w16cid:durableId="2001957220">
    <w:abstractNumId w:val="3"/>
  </w:num>
  <w:num w:numId="23" w16cid:durableId="1236235376">
    <w:abstractNumId w:val="19"/>
  </w:num>
  <w:num w:numId="24" w16cid:durableId="740056241">
    <w:abstractNumId w:val="22"/>
  </w:num>
  <w:num w:numId="25" w16cid:durableId="740442331">
    <w:abstractNumId w:val="33"/>
  </w:num>
  <w:num w:numId="26" w16cid:durableId="1353263753">
    <w:abstractNumId w:val="9"/>
  </w:num>
  <w:num w:numId="27" w16cid:durableId="568929455">
    <w:abstractNumId w:val="29"/>
  </w:num>
  <w:num w:numId="28" w16cid:durableId="830681751">
    <w:abstractNumId w:val="28"/>
  </w:num>
  <w:num w:numId="29" w16cid:durableId="1919974696">
    <w:abstractNumId w:val="4"/>
  </w:num>
  <w:num w:numId="30" w16cid:durableId="532890272">
    <w:abstractNumId w:val="12"/>
  </w:num>
  <w:num w:numId="31" w16cid:durableId="767968416">
    <w:abstractNumId w:val="25"/>
  </w:num>
  <w:num w:numId="32" w16cid:durableId="1678581922">
    <w:abstractNumId w:val="2"/>
  </w:num>
  <w:num w:numId="33" w16cid:durableId="2063090048">
    <w:abstractNumId w:val="14"/>
  </w:num>
  <w:num w:numId="34" w16cid:durableId="73402915">
    <w:abstractNumId w:val="10"/>
  </w:num>
  <w:num w:numId="35" w16cid:durableId="70197057">
    <w:abstractNumId w:val="5"/>
  </w:num>
  <w:num w:numId="36" w16cid:durableId="1471167113">
    <w:abstractNumId w:val="21"/>
  </w:num>
  <w:num w:numId="37" w16cid:durableId="1689453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55F"/>
    <w:rsid w:val="00034BEB"/>
    <w:rsid w:val="00035B79"/>
    <w:rsid w:val="00060EA0"/>
    <w:rsid w:val="00096EE7"/>
    <w:rsid w:val="000C77EB"/>
    <w:rsid w:val="00111464"/>
    <w:rsid w:val="0013128D"/>
    <w:rsid w:val="00154FE5"/>
    <w:rsid w:val="00161F90"/>
    <w:rsid w:val="002153AF"/>
    <w:rsid w:val="00244418"/>
    <w:rsid w:val="0024665F"/>
    <w:rsid w:val="00294012"/>
    <w:rsid w:val="00310665"/>
    <w:rsid w:val="003416CC"/>
    <w:rsid w:val="003A2FA2"/>
    <w:rsid w:val="004130B5"/>
    <w:rsid w:val="004954CC"/>
    <w:rsid w:val="004A67D1"/>
    <w:rsid w:val="004B5EDB"/>
    <w:rsid w:val="00544A4D"/>
    <w:rsid w:val="00570EFD"/>
    <w:rsid w:val="005A784D"/>
    <w:rsid w:val="005C1826"/>
    <w:rsid w:val="005D7C75"/>
    <w:rsid w:val="006249CB"/>
    <w:rsid w:val="006A7571"/>
    <w:rsid w:val="006D631F"/>
    <w:rsid w:val="00731F8B"/>
    <w:rsid w:val="00742779"/>
    <w:rsid w:val="00777885"/>
    <w:rsid w:val="007D02DA"/>
    <w:rsid w:val="007D6B87"/>
    <w:rsid w:val="008072A1"/>
    <w:rsid w:val="0085655F"/>
    <w:rsid w:val="00856AA3"/>
    <w:rsid w:val="00895362"/>
    <w:rsid w:val="008976AB"/>
    <w:rsid w:val="008D0364"/>
    <w:rsid w:val="008D1FF6"/>
    <w:rsid w:val="008D458F"/>
    <w:rsid w:val="009278A0"/>
    <w:rsid w:val="009B6EA0"/>
    <w:rsid w:val="009E0505"/>
    <w:rsid w:val="009E4D2C"/>
    <w:rsid w:val="00A60EB3"/>
    <w:rsid w:val="00AB5074"/>
    <w:rsid w:val="00AC35EE"/>
    <w:rsid w:val="00AD01B7"/>
    <w:rsid w:val="00B50FBE"/>
    <w:rsid w:val="00C14412"/>
    <w:rsid w:val="00C23B6C"/>
    <w:rsid w:val="00C4537A"/>
    <w:rsid w:val="00C560B9"/>
    <w:rsid w:val="00C7343D"/>
    <w:rsid w:val="00C84412"/>
    <w:rsid w:val="00CB6D83"/>
    <w:rsid w:val="00CB7E42"/>
    <w:rsid w:val="00D51149"/>
    <w:rsid w:val="00D75477"/>
    <w:rsid w:val="00DF3549"/>
    <w:rsid w:val="00DF4FEA"/>
    <w:rsid w:val="00E14FF2"/>
    <w:rsid w:val="00EB39DD"/>
    <w:rsid w:val="00EB51F8"/>
    <w:rsid w:val="00EE4097"/>
    <w:rsid w:val="00F514FE"/>
    <w:rsid w:val="00F77600"/>
    <w:rsid w:val="00FB63DC"/>
    <w:rsid w:val="00FE67C1"/>
    <w:rsid w:val="00FF3B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7417"/>
  <w15:docId w15:val="{2C84B746-1E90-4992-9614-15164B5F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spacing w:before="300" w:after="150"/>
      <w:jc w:val="center"/>
      <w:outlineLvl w:val="0"/>
    </w:pPr>
    <w:rPr>
      <w:b/>
      <w:bCs/>
      <w:sz w:val="26"/>
      <w:szCs w:val="26"/>
    </w:rPr>
  </w:style>
  <w:style w:type="paragraph" w:styleId="Nagwek2">
    <w:name w:val="heading 2"/>
    <w:uiPriority w:val="9"/>
    <w:semiHidden/>
    <w:unhideWhenUsed/>
    <w:qFormat/>
    <w:pPr>
      <w:spacing w:before="240" w:after="120"/>
      <w:jc w:val="center"/>
      <w:outlineLvl w:val="1"/>
    </w:pPr>
    <w:rPr>
      <w:b/>
      <w:bCs/>
      <w:sz w:val="24"/>
      <w:szCs w:val="24"/>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B50FBE"/>
    <w:pPr>
      <w:tabs>
        <w:tab w:val="center" w:pos="4536"/>
        <w:tab w:val="right" w:pos="9072"/>
      </w:tabs>
    </w:pPr>
  </w:style>
  <w:style w:type="character" w:customStyle="1" w:styleId="NagwekZnak">
    <w:name w:val="Nagłówek Znak"/>
    <w:basedOn w:val="Domylnaczcionkaakapitu"/>
    <w:link w:val="Nagwek"/>
    <w:uiPriority w:val="99"/>
    <w:rsid w:val="00B50FBE"/>
  </w:style>
  <w:style w:type="paragraph" w:styleId="Stopka">
    <w:name w:val="footer"/>
    <w:basedOn w:val="Normalny"/>
    <w:link w:val="StopkaZnak"/>
    <w:uiPriority w:val="99"/>
    <w:unhideWhenUsed/>
    <w:rsid w:val="00B50FBE"/>
    <w:pPr>
      <w:tabs>
        <w:tab w:val="center" w:pos="4536"/>
        <w:tab w:val="right" w:pos="9072"/>
      </w:tabs>
    </w:pPr>
  </w:style>
  <w:style w:type="character" w:customStyle="1" w:styleId="StopkaZnak">
    <w:name w:val="Stopka Znak"/>
    <w:basedOn w:val="Domylnaczcionkaakapitu"/>
    <w:link w:val="Stopka"/>
    <w:uiPriority w:val="99"/>
    <w:rsid w:val="00B50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044058-ee49-4506-85cb-ff0a31a4b388" xsi:nil="true"/>
    <lcf76f155ced4ddcb4097134ff3c332f xmlns="b0a7f652-8be4-4f03-937f-6e5f9716f4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036E0878FE4074DB5DB0ACFCE22072E" ma:contentTypeVersion="18" ma:contentTypeDescription="Utwórz nowy dokument." ma:contentTypeScope="" ma:versionID="5c157d000a5c9ac3806807a342a6fd67">
  <xsd:schema xmlns:xsd="http://www.w3.org/2001/XMLSchema" xmlns:xs="http://www.w3.org/2001/XMLSchema" xmlns:p="http://schemas.microsoft.com/office/2006/metadata/properties" xmlns:ns2="b0a7f652-8be4-4f03-937f-6e5f9716f487" xmlns:ns3="79044058-ee49-4506-85cb-ff0a31a4b388" targetNamespace="http://schemas.microsoft.com/office/2006/metadata/properties" ma:root="true" ma:fieldsID="056cad434965e9b0843dbe8870941b90" ns2:_="" ns3:_="">
    <xsd:import namespace="b0a7f652-8be4-4f03-937f-6e5f9716f487"/>
    <xsd:import namespace="79044058-ee49-4506-85cb-ff0a31a4b3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DateTaken"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7f652-8be4-4f03-937f-6e5f9716f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caf934f-8759-4dd0-8bb0-2ef6a705fb4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44058-ee49-4506-85cb-ff0a31a4b388"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2d368d8d-7b52-4c7c-8df2-0d9b7e0785a5}" ma:internalName="TaxCatchAll" ma:showField="CatchAllData" ma:web="79044058-ee49-4506-85cb-ff0a31a4b3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7A24D-0C0A-4A55-9E90-1559C86E27A9}">
  <ds:schemaRefs>
    <ds:schemaRef ds:uri="http://schemas.microsoft.com/sharepoint/v3/contenttype/forms"/>
  </ds:schemaRefs>
</ds:datastoreItem>
</file>

<file path=customXml/itemProps2.xml><?xml version="1.0" encoding="utf-8"?>
<ds:datastoreItem xmlns:ds="http://schemas.openxmlformats.org/officeDocument/2006/customXml" ds:itemID="{49024A3D-E8F0-4DC1-80EA-B1A4D67A933D}">
  <ds:schemaRefs>
    <ds:schemaRef ds:uri="http://schemas.microsoft.com/office/2006/metadata/properties"/>
    <ds:schemaRef ds:uri="http://schemas.microsoft.com/office/infopath/2007/PartnerControls"/>
    <ds:schemaRef ds:uri="79044058-ee49-4506-85cb-ff0a31a4b388"/>
    <ds:schemaRef ds:uri="b0a7f652-8be4-4f03-937f-6e5f9716f487"/>
  </ds:schemaRefs>
</ds:datastoreItem>
</file>

<file path=customXml/itemProps3.xml><?xml version="1.0" encoding="utf-8"?>
<ds:datastoreItem xmlns:ds="http://schemas.openxmlformats.org/officeDocument/2006/customXml" ds:itemID="{FF7B8188-ED6C-4956-B8E1-530F20F1C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7f652-8be4-4f03-937f-6e5f9716f487"/>
    <ds:schemaRef ds:uri="79044058-ee49-4506-85cb-ff0a31a4b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7977</Words>
  <Characters>47866</Characters>
  <Application>Microsoft Office Word</Application>
  <DocSecurity>0</DocSecurity>
  <Lines>398</Lines>
  <Paragraphs>111</Paragraphs>
  <ScaleCrop>false</ScaleCrop>
  <Company/>
  <LinksUpToDate>false</LinksUpToDate>
  <CharactersWithSpaces>55732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Magda</cp:lastModifiedBy>
  <cp:revision>2</cp:revision>
  <dcterms:created xsi:type="dcterms:W3CDTF">2026-08-23T19:20:00Z</dcterms:created>
  <dcterms:modified xsi:type="dcterms:W3CDTF">2026-08-23T19:20:00Z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0x0101004036E0878FE4074DB5DB0ACFCE22072E</vt:lpwstr>
  </property>
  <property fmtid="{D5CDD505-2E9C-101B-9397-08002B2CF9AE}" pid="3" name="docLang">
    <vt:lpwstr>pl</vt:lpwstr>
  </property>
  <property fmtid="{D5CDD505-2E9C-101B-9397-08002B2CF9AE}" pid="4" name="MediaServiceImageTags">
    <vt:lpwstr/>
  </property>
</Properties>
</file>