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16158" w14:textId="6118A5FF" w:rsidR="00AA56B5" w:rsidRDefault="00C607F9">
      <w:pPr>
        <w:pStyle w:val="Bezodstpw"/>
        <w:spacing w:line="360" w:lineRule="auto"/>
        <w:ind w:left="0" w:firstLine="0"/>
        <w:jc w:val="right"/>
        <w:rPr>
          <w:rFonts w:cs="Times New Roman"/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Załącznik nr </w:t>
      </w:r>
      <w:r w:rsidR="00A03BB8">
        <w:rPr>
          <w:b/>
          <w:bCs/>
          <w:color w:val="000000"/>
          <w:sz w:val="24"/>
          <w:szCs w:val="24"/>
        </w:rPr>
        <w:t>1</w:t>
      </w:r>
    </w:p>
    <w:p w14:paraId="30C04190" w14:textId="77777777" w:rsidR="00AA56B5" w:rsidRDefault="00C607F9">
      <w:pPr>
        <w:pStyle w:val="Bezodstpw"/>
        <w:spacing w:line="360" w:lineRule="auto"/>
        <w:ind w:left="0" w:firstLine="0"/>
        <w:jc w:val="center"/>
        <w:rPr>
          <w:rFonts w:cs="Times New Roman"/>
          <w:b/>
          <w:color w:val="000000"/>
          <w:sz w:val="28"/>
          <w:szCs w:val="28"/>
        </w:rPr>
      </w:pPr>
      <w:r>
        <w:rPr>
          <w:rFonts w:cs="Times New Roman"/>
          <w:b/>
          <w:color w:val="000000"/>
          <w:sz w:val="28"/>
          <w:szCs w:val="28"/>
        </w:rPr>
        <w:t>Szczegółowy opis przedmiotu zamówienia</w:t>
      </w:r>
    </w:p>
    <w:p w14:paraId="5AA00DEC" w14:textId="77777777" w:rsidR="00AA56B5" w:rsidRDefault="00C607F9">
      <w:pPr>
        <w:pStyle w:val="Nagwek1"/>
        <w:spacing w:before="0" w:after="0" w:line="360" w:lineRule="auto"/>
        <w:contextualSpacing/>
      </w:pPr>
      <w:r>
        <w:t>Definicje</w:t>
      </w:r>
    </w:p>
    <w:p w14:paraId="4943040E" w14:textId="77777777" w:rsidR="00AA56B5" w:rsidRDefault="00C607F9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Oncology Information System</w:t>
      </w:r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Onkologiczny System Informatyczny Aria produkcji firmy Varian Medical Systems</w:t>
      </w:r>
      <w:r>
        <w:rPr>
          <w:sz w:val="24"/>
          <w:szCs w:val="24"/>
        </w:rPr>
        <w:t xml:space="preserve">, w skrócie </w:t>
      </w:r>
      <w:r>
        <w:rPr>
          <w:b/>
          <w:sz w:val="24"/>
          <w:szCs w:val="24"/>
        </w:rPr>
        <w:t>System OIS</w:t>
      </w:r>
      <w:r>
        <w:rPr>
          <w:sz w:val="24"/>
          <w:szCs w:val="24"/>
        </w:rPr>
        <w:t xml:space="preserve"> bądź </w:t>
      </w:r>
      <w:r>
        <w:rPr>
          <w:b/>
          <w:sz w:val="24"/>
          <w:szCs w:val="24"/>
        </w:rPr>
        <w:t>OIS</w:t>
      </w:r>
      <w:r>
        <w:rPr>
          <w:sz w:val="24"/>
          <w:szCs w:val="24"/>
        </w:rPr>
        <w:t xml:space="preserve">. Ilekroć w tekście tej specyfikacji mowa będzie o Oncology Information System, Onkologicznym Systemie Informatycznym, Systemie OIS bądź OIS wyrażenia te należy rozumieć jako tożsame. System OIS stanowi oprogramowanie ARIA, wraz z dedykowanymi rozwiązaniami sprzętowymi (serwery, komputery itd.), którego zadaniem jest gromadzenie informacji medycznej i onkologicznej, a w szczególności pośredniczenie między Systemem Planowania Terapii a Systemem Kontroli Terapii. </w:t>
      </w:r>
    </w:p>
    <w:p w14:paraId="2AFF6773" w14:textId="77777777" w:rsidR="00AA56B5" w:rsidRDefault="00C607F9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Treatment Planning System</w:t>
      </w:r>
      <w:r>
        <w:rPr>
          <w:sz w:val="24"/>
          <w:szCs w:val="24"/>
        </w:rPr>
        <w:t xml:space="preserve"> – </w:t>
      </w:r>
      <w:r>
        <w:rPr>
          <w:b/>
          <w:sz w:val="24"/>
          <w:szCs w:val="24"/>
        </w:rPr>
        <w:t>System Planowania Terapii Eclipse produkcji firmy Varian  Medical Systems</w:t>
      </w:r>
      <w:r>
        <w:rPr>
          <w:sz w:val="24"/>
          <w:szCs w:val="24"/>
        </w:rPr>
        <w:t xml:space="preserve">, w skrócie </w:t>
      </w:r>
      <w:r>
        <w:rPr>
          <w:b/>
          <w:sz w:val="24"/>
          <w:szCs w:val="24"/>
        </w:rPr>
        <w:t>System TPS</w:t>
      </w:r>
      <w:r>
        <w:rPr>
          <w:sz w:val="24"/>
          <w:szCs w:val="24"/>
        </w:rPr>
        <w:t xml:space="preserve"> bądź </w:t>
      </w:r>
      <w:r>
        <w:rPr>
          <w:b/>
          <w:sz w:val="24"/>
          <w:szCs w:val="24"/>
        </w:rPr>
        <w:t>TPS</w:t>
      </w:r>
      <w:r>
        <w:rPr>
          <w:sz w:val="24"/>
          <w:szCs w:val="24"/>
        </w:rPr>
        <w:t xml:space="preserve">. Ilekroć w tekście tej specyfikacji mowa będzie o Treatment Planning System, Systemie Planowania Terapii, Systemie TPS bądź TPS wyrażenia te należy rozumieć jako tożsame. System TPS stanowi oprogramowanie Eclipse, wraz z dedykowanymi rozwiązaniami sprzętowymi (serwery, komputery itd.), którego zadaniem jest umożliwienie przygotowania planu terapii dla pacjenta. </w:t>
      </w:r>
    </w:p>
    <w:p w14:paraId="233082DE" w14:textId="77777777" w:rsidR="00AA56B5" w:rsidRDefault="00C607F9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System OIS/TPS</w:t>
      </w:r>
      <w:r>
        <w:rPr>
          <w:sz w:val="24"/>
          <w:szCs w:val="24"/>
        </w:rPr>
        <w:t xml:space="preserve"> – system powstały jako połączenie Systemu OIS i Systemu TPS. </w:t>
      </w:r>
    </w:p>
    <w:p w14:paraId="17193B31" w14:textId="77777777" w:rsidR="00AA56B5" w:rsidRDefault="00C607F9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System lokalnego dostępu do systemu TPS i systemu OIS</w:t>
      </w:r>
      <w:r>
        <w:rPr>
          <w:sz w:val="24"/>
          <w:szCs w:val="24"/>
        </w:rPr>
        <w:t>, w skrócie System lokalnego dostępu.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Ilekroć w tekście tej specyfikacji mowa będzie o Systemie lokalnego dostępu </w:t>
      </w:r>
      <w:bookmarkStart w:id="0" w:name="__DdeLink__507_3507309149"/>
      <w:r>
        <w:rPr>
          <w:sz w:val="24"/>
          <w:szCs w:val="24"/>
        </w:rPr>
        <w:t xml:space="preserve">do </w:t>
      </w:r>
      <w:bookmarkEnd w:id="0"/>
      <w:r>
        <w:rPr>
          <w:sz w:val="24"/>
          <w:szCs w:val="24"/>
        </w:rPr>
        <w:t>systemu TPS i systemu OIS, Systemie lokalnego dostępu, Systemie lokalnego dostępu OIS/TPS, Citrix bądź Lokalnym dostępie wyrażenia te należy rozumieć jako tożsame. System lokalnego dostępu jest to system umożliwiający lokalny dostęp do systemu TPS i systemu OIS przez wykwalifikowany personel umożliwiający jednoczesne korzystanie z systemu TPS i systemu OIS z terminali zlokalizowanych w ośrodkach zewnętrznych bądź lokalnie na terenie Zamawiającego.</w:t>
      </w:r>
    </w:p>
    <w:p w14:paraId="3E0097A6" w14:textId="77777777" w:rsidR="00AA56B5" w:rsidRDefault="00C607F9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System OIS/TPS/Citrix</w:t>
      </w:r>
      <w:r>
        <w:rPr>
          <w:sz w:val="24"/>
          <w:szCs w:val="24"/>
        </w:rPr>
        <w:t xml:space="preserve"> – system powstały jako połączenie Systemu OIS/TPS i Systemu lokalnego dostępu do systemu TPS i systemu OIS.</w:t>
      </w:r>
    </w:p>
    <w:p w14:paraId="37C694C5" w14:textId="77777777" w:rsidR="00AA56B5" w:rsidRDefault="00C607F9">
      <w:pPr>
        <w:spacing w:after="0" w:line="360" w:lineRule="auto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Awaria/Usterka</w:t>
      </w:r>
      <w:r>
        <w:rPr>
          <w:sz w:val="24"/>
          <w:szCs w:val="24"/>
        </w:rPr>
        <w:t xml:space="preserve"> – stan Systemu OIS/TPS uniemożliwiający jego zgodną z zapisami instrukcji obsługi producenta, bezpieczną dla Pacjenta oraz personelu eksploatację z zachowaniem </w:t>
      </w:r>
      <w:r>
        <w:rPr>
          <w:color w:val="000000" w:themeColor="text1"/>
          <w:sz w:val="24"/>
          <w:szCs w:val="24"/>
        </w:rPr>
        <w:t>wymaganych parametrów jakościowych.</w:t>
      </w:r>
    </w:p>
    <w:p w14:paraId="58461EC2" w14:textId="77777777" w:rsidR="00AA56B5" w:rsidRDefault="00C607F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Incydent </w:t>
      </w:r>
      <w:r>
        <w:rPr>
          <w:sz w:val="24"/>
          <w:szCs w:val="24"/>
        </w:rPr>
        <w:t>- zdarzenie, które ma lub może mieć niekorzystny wpływ na cyberbezpieczeństwo.</w:t>
      </w:r>
    </w:p>
    <w:p w14:paraId="1516E679" w14:textId="77777777" w:rsidR="00AA56B5" w:rsidRDefault="00C607F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Podatność - </w:t>
      </w:r>
      <w:r>
        <w:rPr>
          <w:sz w:val="24"/>
          <w:szCs w:val="24"/>
        </w:rPr>
        <w:t>właściwość systemu informacyjnego, która może być wykorzystana przez zagrożenie cyberbezpieczeństwa.</w:t>
      </w:r>
    </w:p>
    <w:p w14:paraId="2A947C50" w14:textId="77777777" w:rsidR="00AA56B5" w:rsidRDefault="00C607F9">
      <w:pPr>
        <w:pStyle w:val="Nagwek1"/>
        <w:spacing w:before="0" w:after="0" w:line="360" w:lineRule="auto"/>
        <w:contextualSpacing/>
      </w:pPr>
      <w:r>
        <w:t>Przedmiot zamówienia</w:t>
      </w:r>
    </w:p>
    <w:p w14:paraId="1D71C010" w14:textId="77777777" w:rsidR="00AA56B5" w:rsidRDefault="00C607F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Przedmiotem zamówienia jest świadczenie usług serwisowania Systemu OIS/TPS/Citrix, w skład którego, oprócz oprogramowania ARIA i Eclipse, wchodzą dedykowane im:</w:t>
      </w:r>
    </w:p>
    <w:p w14:paraId="2FE1E5BA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system awaryjnego zasilania UPS (sztuk 4), </w:t>
      </w:r>
    </w:p>
    <w:p w14:paraId="0836E817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stacje robocze Eclipse Planner Desktop (sztuk 8), </w:t>
      </w:r>
    </w:p>
    <w:p w14:paraId="3D7273D3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stacje robocze Eclipse Physician Desktop (sztuk 4), </w:t>
      </w:r>
    </w:p>
    <w:p w14:paraId="6AD24BB4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stacje robocze Aria Systemu OIS (sztuk 10), </w:t>
      </w:r>
    </w:p>
    <w:p w14:paraId="20AF215E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terminale Systemu lokalnego dostępu do systemu OIS/TPS (sztuk 5),</w:t>
      </w:r>
    </w:p>
    <w:p w14:paraId="799FD90E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serwer Aria Systemu OIS/TPS (sztuk 1),</w:t>
      </w:r>
    </w:p>
    <w:p w14:paraId="0456D9FD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serwer systemu raportowania Aura (sztuk 1),</w:t>
      </w:r>
    </w:p>
    <w:p w14:paraId="12F5619B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serwery obliczeniowe FAS (sztuk 6),</w:t>
      </w:r>
    </w:p>
    <w:p w14:paraId="6AAE2E9A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stacja testowa Eclipse Planner Desktop T-box (sztuk 1),</w:t>
      </w:r>
    </w:p>
    <w:p w14:paraId="373ECC19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system archiwizacji i wykonywania kopii zapasowych, </w:t>
      </w:r>
    </w:p>
    <w:p w14:paraId="7F28A21C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serwery systemu Lokalnego dostępu do systemu TPS i systemu OIS (sztuk 4),</w:t>
      </w:r>
    </w:p>
    <w:p w14:paraId="54E013DE" w14:textId="77777777" w:rsidR="00AA56B5" w:rsidRDefault="00C607F9">
      <w:pPr>
        <w:pStyle w:val="Akapitzlist"/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szafa serwerowa wraz z osprzętem (m.in. KMM, KVM Switch, PDU).</w:t>
      </w:r>
    </w:p>
    <w:p w14:paraId="336703B1" w14:textId="77777777" w:rsidR="00AA56B5" w:rsidRDefault="00C607F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wykorzystywanych na potrzeby prowadzenia radioterapii protonowej na stanowiskach Gantry oraz terapii oka w Centrum Cyklotronowym Bronowice Instytutu Fizyki Jądrowej im. Henryka Niewodniczańskiego  Polskiej Akademii Nauk (CCB IFJ PAN).</w:t>
      </w:r>
    </w:p>
    <w:p w14:paraId="12056130" w14:textId="77777777" w:rsidR="00AA56B5" w:rsidRDefault="00C607F9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Umowa serwisowa obejmuje wymieniony powyżej sprzęt wraz z dopuszczonym do użycia i zwalidowanym przez Producenta oprogramowaniem na nim zainstalowanym i osprzętem potrzebnym do właściwej jego pracy. Za osprzęt rozumie się m. in. monitory, okablowanie, zasilacze, przełączniki KVM/KMM.</w:t>
      </w:r>
    </w:p>
    <w:p w14:paraId="736E37A4" w14:textId="77777777" w:rsidR="00AA56B5" w:rsidRDefault="00C607F9">
      <w:pPr>
        <w:spacing w:after="0" w:line="240" w:lineRule="auto"/>
        <w:rPr>
          <w:sz w:val="24"/>
          <w:szCs w:val="24"/>
        </w:rPr>
      </w:pPr>
      <w:r>
        <w:br w:type="page"/>
      </w:r>
    </w:p>
    <w:tbl>
      <w:tblPr>
        <w:tblW w:w="8265" w:type="dxa"/>
        <w:jc w:val="center"/>
        <w:tblLayout w:type="fixed"/>
        <w:tblLook w:val="04A0" w:firstRow="1" w:lastRow="0" w:firstColumn="1" w:lastColumn="0" w:noHBand="0" w:noVBand="1"/>
      </w:tblPr>
      <w:tblGrid>
        <w:gridCol w:w="728"/>
        <w:gridCol w:w="7537"/>
      </w:tblGrid>
      <w:tr w:rsidR="00AA56B5" w14:paraId="4A238FF9" w14:textId="77777777">
        <w:trPr>
          <w:trHeight w:val="425"/>
          <w:tblHeader/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7A2C" w14:textId="77777777" w:rsidR="00AA56B5" w:rsidRDefault="00C607F9">
            <w:pPr>
              <w:pageBreakBefore/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Lp.</w:t>
            </w: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0E3E5" w14:textId="77777777" w:rsidR="00AA56B5" w:rsidRDefault="00C607F9">
            <w:pPr>
              <w:spacing w:after="0" w:line="36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Szczegółowy zakres czynności objętych umową</w:t>
            </w:r>
          </w:p>
        </w:tc>
      </w:tr>
      <w:tr w:rsidR="00AA56B5" w14:paraId="161CFD82" w14:textId="77777777">
        <w:trPr>
          <w:jc w:val="center"/>
        </w:trPr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71DBF" w14:textId="77777777" w:rsidR="00AA56B5" w:rsidRDefault="00C607F9">
            <w:pPr>
              <w:pStyle w:val="Tabelanaglwek"/>
              <w:spacing w:before="0" w:line="360" w:lineRule="auto"/>
            </w:pPr>
            <w:r>
              <w:t>Przeglądy okresowe Systemu OIS/TPS/Citrix</w:t>
            </w:r>
          </w:p>
        </w:tc>
      </w:tr>
      <w:tr w:rsidR="00AA56B5" w14:paraId="2C81DA1C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624E3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0F4D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Przeglądy okresowe wykonywane regularnie z częstością i w zakresie według wymagań producentów poszczególnych elementów Systemu OIS/TPS lecz nie rzadziej niż 4 razy w roku, obejmujące co najmniej punkty od 2 do 12 niniejszej tabeli.</w:t>
            </w:r>
          </w:p>
        </w:tc>
      </w:tr>
      <w:tr w:rsidR="00AA56B5" w14:paraId="0316B697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358C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7F960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Sprawdzenie bezpieczeństwa mechanicznego i elektrycznego.</w:t>
            </w:r>
          </w:p>
        </w:tc>
      </w:tr>
      <w:tr w:rsidR="00AA56B5" w14:paraId="04AB205C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62C0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41374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Kontrola występowania usterek zewnętrznych.</w:t>
            </w:r>
          </w:p>
        </w:tc>
      </w:tr>
      <w:tr w:rsidR="00AA56B5" w14:paraId="464B0B68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2D62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AD8C6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Inspekcja zużycia części wraz z raportem.</w:t>
            </w:r>
          </w:p>
        </w:tc>
      </w:tr>
      <w:tr w:rsidR="00AA56B5" w14:paraId="09861D5B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68B3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A85A6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Oczyszczanie dróg chłodzenia i odprowadzania ciepła.</w:t>
            </w:r>
          </w:p>
        </w:tc>
      </w:tr>
      <w:tr w:rsidR="00AA56B5" w14:paraId="27FC5087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DCD5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4E118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Konserwacja oprogramowania systemowego i aplikacyjnego.</w:t>
            </w:r>
          </w:p>
        </w:tc>
      </w:tr>
      <w:tr w:rsidR="00AA56B5" w14:paraId="238F2481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19CC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C56EA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Porządkowanie przestrzeni dyskowej i bazy danych.</w:t>
            </w:r>
          </w:p>
        </w:tc>
      </w:tr>
      <w:tr w:rsidR="00AA56B5" w14:paraId="77736413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82601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D699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Sprawdzenie funkcjonowania Systemu OIS/TPS i jego gotowości do pracy.</w:t>
            </w:r>
          </w:p>
        </w:tc>
      </w:tr>
      <w:tr w:rsidR="00AA56B5" w14:paraId="380AAC5A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32B75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6F966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Sprawdzenie funkcjonowania Systemu zdalnego dostępu do stacji roboczych systemu TPS i terminali systemu OIS i jego gotowości do pracy.</w:t>
            </w:r>
          </w:p>
        </w:tc>
      </w:tr>
      <w:tr w:rsidR="00AA56B5" w14:paraId="272DA26E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BA90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BCCD4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Wykonanie kopii bezpieczeństwa Systemów wraz z konfiguracją.</w:t>
            </w:r>
          </w:p>
        </w:tc>
      </w:tr>
      <w:tr w:rsidR="00AA56B5" w14:paraId="675FD7C6" w14:textId="77777777">
        <w:trPr>
          <w:jc w:val="center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1F65" w14:textId="77777777" w:rsidR="00AA56B5" w:rsidRDefault="00C607F9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</w:p>
        </w:tc>
        <w:tc>
          <w:tcPr>
            <w:tcW w:w="7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A1978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Weryfikacja możliwości przywrócenia danych z kopii bezpieczeństwa.</w:t>
            </w:r>
          </w:p>
        </w:tc>
      </w:tr>
      <w:tr w:rsidR="00AA56B5" w14:paraId="02768549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5B632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9241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Dokumentacja przeglądów.</w:t>
            </w:r>
          </w:p>
        </w:tc>
      </w:tr>
      <w:tr w:rsidR="00AA56B5" w14:paraId="3B274DA1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3E171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C6E11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Terminy przeglądów uzgadnianie z Zamawiającym na podstawie harmonogramu przeglądów. Harmonogram przeglądów zostanie ustalony pisemnie przez Strony do 14 dni od podpisania umowy. Strony pozostawiają możliwość modyfikacji harmonogramu z co najmniej miesięcznym wyprzedzeniem.  W przypadku sytuacji nieprzewidzianych (praca kliniczna w niezaplanowanym wcześniej terminie) blokujących wykonania przeglądu, Zamawiający razem z Wykonawcą wyznaczają wspólnie nowy termin</w:t>
            </w:r>
          </w:p>
        </w:tc>
      </w:tr>
      <w:tr w:rsidR="00AA56B5" w14:paraId="5CD75501" w14:textId="77777777">
        <w:trPr>
          <w:jc w:val="center"/>
        </w:trPr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D9EFF4" w14:textId="77777777" w:rsidR="00AA56B5" w:rsidRDefault="00C607F9">
            <w:pPr>
              <w:pStyle w:val="Tabelanaglwek"/>
              <w:spacing w:before="0" w:line="360" w:lineRule="auto"/>
            </w:pPr>
            <w:r>
              <w:t>Zdalna diagnostyka Systemu OIS/TPS/Citrix</w:t>
            </w:r>
          </w:p>
        </w:tc>
      </w:tr>
      <w:tr w:rsidR="00AA56B5" w14:paraId="38AB5090" w14:textId="77777777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BE500D2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5D62FD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Wykorzystanie systemu SmartConnect do stałego monitorowania parametrów pracy urządzenia, zdalnej diagnostyki i naprawy uszkodzeń.</w:t>
            </w:r>
          </w:p>
        </w:tc>
      </w:tr>
      <w:tr w:rsidR="00AA56B5" w14:paraId="538CECAA" w14:textId="77777777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F3E772F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6F1BDE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Utrzymanie infrastruktury zdalnej diagnostyki łącznie z pokryciem kosztów użytkowania sprzętu i oprogramowania.</w:t>
            </w:r>
          </w:p>
        </w:tc>
      </w:tr>
      <w:tr w:rsidR="00AA56B5" w14:paraId="073714D1" w14:textId="77777777">
        <w:trPr>
          <w:jc w:val="center"/>
        </w:trPr>
        <w:tc>
          <w:tcPr>
            <w:tcW w:w="72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0600781" w14:textId="77777777" w:rsidR="00AA56B5" w:rsidRDefault="00C607F9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‍</w:t>
            </w:r>
          </w:p>
        </w:tc>
        <w:tc>
          <w:tcPr>
            <w:tcW w:w="753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0CC038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Raportowanie, każdego  incydentu oraz podatności, mogącego mieć wpływ na prawidłową pracę systemu zgodnie z pkt 33 b)</w:t>
            </w:r>
          </w:p>
        </w:tc>
      </w:tr>
      <w:tr w:rsidR="00AA56B5" w14:paraId="40CCBDC2" w14:textId="77777777">
        <w:trPr>
          <w:jc w:val="center"/>
        </w:trPr>
        <w:tc>
          <w:tcPr>
            <w:tcW w:w="826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7263BB0" w14:textId="77777777" w:rsidR="00AA56B5" w:rsidRDefault="00C607F9">
            <w:pPr>
              <w:pStyle w:val="Tabelanaglwek"/>
              <w:spacing w:before="0" w:line="360" w:lineRule="auto"/>
            </w:pPr>
            <w:r>
              <w:t>Modyfikacje Systemu OIS/TPS/Citrix</w:t>
            </w:r>
          </w:p>
        </w:tc>
      </w:tr>
      <w:tr w:rsidR="00AA56B5" w14:paraId="0984B844" w14:textId="77777777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9887C2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9CCD82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Instalacja uaktualnień Systemu OIS/TPS/Citrix wymaganych, zwalidowanych i dopuszczonych do użytkowania przez producenta firmę Varian Medical Systems dla wykorzystywanej przez Zamawiającego wersji systemu, stanowiących środki zapobiegawcze w celu zwiększenia jego bezpieczeństwa.</w:t>
            </w:r>
          </w:p>
        </w:tc>
      </w:tr>
      <w:tr w:rsidR="00AA56B5" w14:paraId="2B065EEE" w14:textId="77777777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9DB97B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E1870B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Wykonanie wymaganych, zwalidowanych i dopuszczonych do użytkowania przez producenta Systemu OIS/TPS/Citrix firmę Varian Medical Systems aktualizacji oprogramowania systemowego i aplikacyjnego dla wykorzystywanej przez Zamawiającego wersji systemu.</w:t>
            </w:r>
          </w:p>
        </w:tc>
      </w:tr>
      <w:tr w:rsidR="00AA56B5" w14:paraId="33778AF6" w14:textId="77777777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749133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F328F8" w14:textId="77777777" w:rsidR="00AA56B5" w:rsidRDefault="00C607F9">
            <w:pPr>
              <w:spacing w:after="0"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Wykonanie zwalidowanych i dopuszczonych do użytkowania przez producenta firmę Varian Medical Systems modyfikacji Systemu OIS/TPS/Citrix dla wykorzystywanej przez Zamawiającego wersji systemu.</w:t>
            </w:r>
          </w:p>
        </w:tc>
      </w:tr>
      <w:tr w:rsidR="00AA56B5" w14:paraId="1BF29CA2" w14:textId="77777777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C1AC32E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BE7DF2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Wykonanie kopii bezpieczeństwa Systemu OIS/TPS/Citrix wraz z konfiguracją po wykonanych przez Wykonawcę modyfikacjach</w:t>
            </w:r>
          </w:p>
        </w:tc>
      </w:tr>
      <w:tr w:rsidR="00AA56B5" w14:paraId="29958A78" w14:textId="77777777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56FC619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0F7F5A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Modyfikacje na żądanie konfiguracji interfejsu oprogramowania z systemami zewnętrznymi posiadanymi przez Zamawiającego.</w:t>
            </w:r>
          </w:p>
        </w:tc>
      </w:tr>
      <w:tr w:rsidR="00AA56B5" w14:paraId="5C9BDAFE" w14:textId="77777777">
        <w:trPr>
          <w:jc w:val="center"/>
        </w:trPr>
        <w:tc>
          <w:tcPr>
            <w:tcW w:w="72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8EDF149" w14:textId="77777777" w:rsidR="00AA56B5" w:rsidRDefault="00C607F9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</w:p>
        </w:tc>
        <w:tc>
          <w:tcPr>
            <w:tcW w:w="753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4E799B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Modyfikacje na żądanie konfiguracji serwerów, stacji roboczych, zapór, VLAN-ów, backupów.</w:t>
            </w:r>
          </w:p>
        </w:tc>
      </w:tr>
      <w:tr w:rsidR="00AA56B5" w14:paraId="6F101C70" w14:textId="77777777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22D1824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03FD0F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Instalacja i konfiguracja oprogramowania antywirusowego, którego w posiadaniu jest Zamawiający, według zaleceń producenta Systemu OIS/TPS/Citrix.</w:t>
            </w:r>
          </w:p>
        </w:tc>
      </w:tr>
      <w:tr w:rsidR="00AA56B5" w14:paraId="5D514DAE" w14:textId="77777777">
        <w:trPr>
          <w:jc w:val="center"/>
        </w:trPr>
        <w:tc>
          <w:tcPr>
            <w:tcW w:w="7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81FD56B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4B56E4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Utrzymanie Systemu lokalnego dostępu Citrix.</w:t>
            </w:r>
          </w:p>
        </w:tc>
      </w:tr>
      <w:tr w:rsidR="00AA56B5" w14:paraId="7FDDF20F" w14:textId="77777777">
        <w:trPr>
          <w:jc w:val="center"/>
        </w:trPr>
        <w:tc>
          <w:tcPr>
            <w:tcW w:w="826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F8C9" w14:textId="77777777" w:rsidR="00AA56B5" w:rsidRDefault="00C607F9">
            <w:pPr>
              <w:pStyle w:val="Tabelanaglwek"/>
              <w:spacing w:before="0" w:line="360" w:lineRule="auto"/>
            </w:pPr>
            <w:r>
              <w:t>Naprawy Systemu OIS/TPS/Citrix</w:t>
            </w:r>
          </w:p>
        </w:tc>
      </w:tr>
      <w:tr w:rsidR="00AA56B5" w14:paraId="3C818C6F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C2EC0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34A0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Zgłaszanie awarii/usterek drogą telefoniczną bądź elektroniczną (e-mail).</w:t>
            </w:r>
          </w:p>
        </w:tc>
      </w:tr>
      <w:tr w:rsidR="00AA56B5" w14:paraId="30993B79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5470A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32B83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Interwencje na wezwanie – praca w miejscu lokalizacji systemu wraz z dojazdem inżyniera.</w:t>
            </w:r>
          </w:p>
        </w:tc>
      </w:tr>
      <w:tr w:rsidR="00AA56B5" w14:paraId="04F0D92C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B669B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ED06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Brak ograniczenia w ilości napraw systemu OIS/TPS/Citrix</w:t>
            </w:r>
            <w:r>
              <w:rPr>
                <w:sz w:val="24"/>
                <w:szCs w:val="24"/>
              </w:rPr>
              <w:t xml:space="preserve"> .</w:t>
            </w:r>
          </w:p>
        </w:tc>
      </w:tr>
      <w:tr w:rsidR="00AA56B5" w14:paraId="223A4A60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31B2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42CB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Diagnozowanie błędów, usuwanie usterek oraz awarii powstałych z przyczyn tkwiących w Systemie OIS/TPS/Citrix oraz wymiana części uszkodzonych,  powstałych w wyniku naturalnego zużycia.</w:t>
            </w:r>
          </w:p>
        </w:tc>
      </w:tr>
      <w:tr w:rsidR="00AA56B5" w14:paraId="4E8CC6BA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41C8B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7C7E8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usterkę uważa się również wadliwe działanie oprogramowania bądź błędną konfigurację Systemu.</w:t>
            </w:r>
          </w:p>
        </w:tc>
      </w:tr>
      <w:tr w:rsidR="00AA56B5" w14:paraId="23C73423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0B74C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9D66" w14:textId="77777777" w:rsidR="00AA56B5" w:rsidRDefault="00C607F9">
            <w:pPr>
              <w:spacing w:after="0"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Kontrola Systemu OIS/TPS/Citrix po przeprowadzonej naprawie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AA56B5" w14:paraId="77E57560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7F3A4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A94A7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Wykonywanie kopii bezpieczeństwa systemu OIS/TPS/Citrix wraz z konfiguracją po naprawie.</w:t>
            </w:r>
          </w:p>
        </w:tc>
      </w:tr>
      <w:tr w:rsidR="00AA56B5" w14:paraId="2AD6D279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4D23F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83CA" w14:textId="32E16153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Dokumentacja interwencji serwisowych w formie raportu</w:t>
            </w:r>
            <w:r w:rsidR="00C36DF1">
              <w:rPr>
                <w:color w:val="000000"/>
                <w:sz w:val="24"/>
                <w:szCs w:val="24"/>
              </w:rPr>
              <w:t xml:space="preserve">. Na koniec realizacji umowy Wykonawca przedstawi historie wykonanych czynności serwisowych. </w:t>
            </w:r>
          </w:p>
        </w:tc>
      </w:tr>
      <w:tr w:rsidR="00AA56B5" w14:paraId="7B6D2C6A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529A0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AA568" w14:textId="6A96D245" w:rsidR="00AA56B5" w:rsidRDefault="00C607F9">
            <w:pPr>
              <w:pStyle w:val="Akapitzlist"/>
              <w:numPr>
                <w:ilvl w:val="0"/>
                <w:numId w:val="4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Czas reakcji na zgłoszoną awarie/usterkę (dotyczy także reakcji zdalnej) – „przyjęte zgłoszenie – </w:t>
            </w:r>
            <w:r w:rsidR="0093454A">
              <w:rPr>
                <w:sz w:val="24"/>
                <w:szCs w:val="24"/>
              </w:rPr>
              <w:t>rozpoczęcie diagnostyki</w:t>
            </w:r>
            <w:r>
              <w:rPr>
                <w:sz w:val="24"/>
                <w:szCs w:val="24"/>
              </w:rPr>
              <w:t>” do  4  godzin,  od  poniedziałku  do piątku, oraz do 12 godzin w sobotę i niedzielę, z wyłączeniem świątecznych dni ustawowo wolnych od pracy wskazanych w art. 1 pkt 1 ustawy z dnia 18 stycznia 1951 r. o dniach wolnych od pracy (t.j. Dz. U. z 2025 r. poz. 296).</w:t>
            </w:r>
          </w:p>
          <w:p w14:paraId="23186F29" w14:textId="77777777" w:rsidR="00AA56B5" w:rsidRDefault="00C607F9">
            <w:pPr>
              <w:pStyle w:val="Akapitzlist"/>
              <w:numPr>
                <w:ilvl w:val="0"/>
                <w:numId w:val="4"/>
              </w:numPr>
              <w:spacing w:after="0" w:line="360" w:lineRule="auto"/>
              <w:ind w:left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Czas na zaraportowanie incydentu oraz podatności: niezwłocznie maksymalnie do 4 godzin od wykrycia w dniach od poniedziałku  do piątku, oraz maksymalnie do 12 godzin od wykrycia w sobotę i niedzielę, z wyłączeniem świątecznych dni ustawowo wolnych od pracy wskazanych w art. 1 pkt 1 ustawy z dnia 18 stycznia 1951 r. o dniach wolnych od pracy (t.j. Dz. U. z 2025 r. poz. 296).</w:t>
            </w:r>
          </w:p>
        </w:tc>
      </w:tr>
      <w:tr w:rsidR="00AA56B5" w14:paraId="6AAAAF4B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EB60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87F0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Możliwość zgłaszania usterek poprzez użycie poczty elektronicznej 24 godziny na dobę, 365 dni w roku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AA56B5" w14:paraId="6436F6AF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3B76C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88A5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Czas pracy serwisu 24 godziny na dobę.</w:t>
            </w:r>
          </w:p>
        </w:tc>
      </w:tr>
      <w:tr w:rsidR="00AA56B5" w14:paraId="33F02786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8220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6C458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Zakończenie działań:</w:t>
            </w:r>
          </w:p>
          <w:p w14:paraId="458718B8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w przypadku awarii serwera Aria Systemu OIS </w:t>
            </w:r>
            <w:r>
              <w:rPr>
                <w:sz w:val="24"/>
                <w:szCs w:val="24"/>
              </w:rPr>
              <w:t>lub innej awarii powodującej wstrzymanie pracy klinicznej</w:t>
            </w:r>
            <w:r>
              <w:rPr>
                <w:color w:val="000000"/>
                <w:sz w:val="24"/>
                <w:szCs w:val="24"/>
              </w:rPr>
              <w:t xml:space="preserve">, w czasie nie dłuższym niż 48 </w:t>
            </w:r>
            <w:r>
              <w:rPr>
                <w:color w:val="000000"/>
                <w:sz w:val="24"/>
                <w:szCs w:val="24"/>
              </w:rPr>
              <w:lastRenderedPageBreak/>
              <w:t>godzin od zgłoszenia  awarii, liczonych</w:t>
            </w:r>
            <w:r>
              <w:rPr>
                <w:sz w:val="24"/>
                <w:szCs w:val="24"/>
              </w:rPr>
              <w:t xml:space="preserve"> od poniedziałku do  piątku, z wyłączeniem  dni ustawowo wolnych od pracy.</w:t>
            </w:r>
          </w:p>
          <w:p w14:paraId="6ACC1FE3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dla pozostałych elementów systemu OIS/</w:t>
            </w:r>
            <w:r>
              <w:rPr>
                <w:sz w:val="24"/>
                <w:szCs w:val="24"/>
              </w:rPr>
              <w:t xml:space="preserve">TPS/Citrix w </w:t>
            </w:r>
            <w:r>
              <w:rPr>
                <w:color w:val="000000"/>
                <w:sz w:val="24"/>
                <w:szCs w:val="24"/>
              </w:rPr>
              <w:t>czasie nie dłuższym niż 6 dni od dnia zgłoszenia awarii, liczonych</w:t>
            </w:r>
            <w:r>
              <w:rPr>
                <w:sz w:val="24"/>
                <w:szCs w:val="24"/>
              </w:rPr>
              <w:t xml:space="preserve"> od poniedziałku do piątku,  z  wyłączeniem  dni ustawowo wolnych od pracy.</w:t>
            </w:r>
          </w:p>
        </w:tc>
      </w:tr>
      <w:tr w:rsidR="00AA56B5" w14:paraId="7D77A6BB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9146D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5DC9" w14:textId="33BC3C0D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Gwarantowana sprawność na poziomie nie mniejszym niż 95%, oznaczająca, że </w:t>
            </w:r>
            <w:r>
              <w:rPr>
                <w:sz w:val="24"/>
                <w:szCs w:val="24"/>
              </w:rPr>
              <w:t>czas przestoju systemu</w:t>
            </w:r>
            <w:r w:rsidR="00642B1E">
              <w:rPr>
                <w:sz w:val="24"/>
                <w:szCs w:val="24"/>
              </w:rPr>
              <w:t xml:space="preserve"> z powodu awarii</w:t>
            </w:r>
            <w:r>
              <w:rPr>
                <w:sz w:val="24"/>
                <w:szCs w:val="24"/>
              </w:rPr>
              <w:t xml:space="preserve"> liczony w trakcie trwania Umowy nie przekroczy 18 dni. Okres przestoju będzie liczony od dnia następnego od daty zgłoszenia awarii systemu uniemożliwiającej Zamawiającemu jego używanie.</w:t>
            </w:r>
          </w:p>
        </w:tc>
      </w:tr>
      <w:tr w:rsidR="00AA56B5" w14:paraId="428D7230" w14:textId="77777777">
        <w:trPr>
          <w:jc w:val="center"/>
        </w:trPr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45568" w14:textId="77777777" w:rsidR="00AA56B5" w:rsidRDefault="00C607F9">
            <w:pPr>
              <w:pStyle w:val="Tabelanaglwek"/>
              <w:spacing w:before="0" w:line="360" w:lineRule="auto"/>
            </w:pPr>
            <w:r>
              <w:t>Części zamienne i komponenty specjalne Systemu OIS/TPS/Citrix</w:t>
            </w:r>
          </w:p>
        </w:tc>
      </w:tr>
      <w:tr w:rsidR="00AA56B5" w14:paraId="24CBCB70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27B92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B6B9A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Zapewnienie części zamiennych koniecznych do usuwania zgłoszonych awarii systemu OIS/TPS/Citrix</w:t>
            </w:r>
            <w:r>
              <w:rPr>
                <w:sz w:val="24"/>
                <w:szCs w:val="24"/>
              </w:rPr>
              <w:t>.</w:t>
            </w:r>
          </w:p>
        </w:tc>
      </w:tr>
      <w:tr w:rsidR="00AA56B5" w14:paraId="40729FE0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4F05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C49A9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Zapewnienie materiałów niezbędnych do przeprowadzenia przeglądów systemu OIS/TPS/Citrix</w:t>
            </w:r>
          </w:p>
        </w:tc>
      </w:tr>
      <w:tr w:rsidR="00AA56B5" w14:paraId="4314D518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C3928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972C5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Zapewnienie materiałów do przeprowadzenia modyfikacji systemu OIS/TPS/Citrix.</w:t>
            </w:r>
          </w:p>
        </w:tc>
      </w:tr>
      <w:tr w:rsidR="00AA56B5" w14:paraId="46274A43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FD848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FE79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Zapewnienie części zamiennych do S</w:t>
            </w:r>
            <w:r>
              <w:rPr>
                <w:sz w:val="24"/>
                <w:szCs w:val="24"/>
              </w:rPr>
              <w:t>ystem awaryjnego zasilania UPS i ich regularna wymiana zgodnie z zaleceniami producenta tego systemu.</w:t>
            </w:r>
          </w:p>
        </w:tc>
      </w:tr>
      <w:tr w:rsidR="00AA56B5" w14:paraId="202C4BA6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8D22A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38FB1" w14:textId="66D80C92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Wszelkie użyte części zamienne i materiały muszą być oryginalne, fabrycznie nowe, nieużywane, nie powystawowe, pełnowartościowe technicznie, </w:t>
            </w:r>
            <w:r>
              <w:rPr>
                <w:bCs/>
                <w:sz w:val="24"/>
                <w:szCs w:val="24"/>
              </w:rPr>
              <w:t>o parametrach nie gorszych od zainstalowanych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i spełniać obowiązujące wymogi dotyczące produktów medycznych.</w:t>
            </w:r>
            <w:r w:rsidR="00642B1E">
              <w:rPr>
                <w:color w:val="000000"/>
                <w:sz w:val="24"/>
                <w:szCs w:val="24"/>
              </w:rPr>
              <w:t xml:space="preserve"> Na żądanie Zamawiającego Wykonawca przedłoży stosowne dokumenty.</w:t>
            </w:r>
          </w:p>
        </w:tc>
      </w:tr>
      <w:tr w:rsidR="00AA56B5" w14:paraId="04DBA708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EEAAE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0B12" w14:textId="77777777" w:rsidR="00AA56B5" w:rsidRDefault="00C607F9">
            <w:pPr>
              <w:spacing w:after="0" w:line="360" w:lineRule="auto"/>
              <w:rPr>
                <w:rFonts w:ascii="Calibri" w:hAnsi="Calibri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Na wszelkie wymienione części zamienne Wykonawca udziela gwarancji na okres minimum 12 miesięcy lub do dnia zakończenia umowy serwisowej, jeśli ta będzie trwała dłużej.</w:t>
            </w:r>
          </w:p>
        </w:tc>
      </w:tr>
      <w:tr w:rsidR="00AA56B5" w14:paraId="214D5778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8A30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3AB1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Nośniki danych (dyski, taśmy) wymontowane podczas wykonywania Przedmiotu zamówienia pozostają własnością Zamawiającego.</w:t>
            </w:r>
          </w:p>
        </w:tc>
      </w:tr>
      <w:tr w:rsidR="00AA56B5" w14:paraId="2BD87E11" w14:textId="77777777">
        <w:trPr>
          <w:jc w:val="center"/>
        </w:trPr>
        <w:tc>
          <w:tcPr>
            <w:tcW w:w="8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14ECB" w14:textId="77777777" w:rsidR="00AA56B5" w:rsidRDefault="00C607F9">
            <w:pPr>
              <w:pStyle w:val="Tabelanaglwek"/>
              <w:spacing w:before="0" w:line="360" w:lineRule="auto"/>
            </w:pPr>
            <w:r>
              <w:t>Inne wymagania</w:t>
            </w:r>
          </w:p>
        </w:tc>
      </w:tr>
      <w:tr w:rsidR="00AA56B5" w14:paraId="1C2405A4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90E1F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7AB9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Pomoc aplikacyjna w zakresie wsparcia technicznego w ilości 40 godzin w roku przeprowadzana przez osobę stosowną do zakresu wymaganej pomocy</w:t>
            </w:r>
          </w:p>
        </w:tc>
      </w:tr>
      <w:tr w:rsidR="00AA56B5" w14:paraId="3DEF30D2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936ED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ED79" w14:textId="6CECC3E9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Czynności podejmowane przez Wykonawcę w ramach tej umowy nie mogą powodować, w żadnym wypadku, utraty dopuszczenia Systemu OIS/TPS/Citrix do użytkowania ani braku możliwości korzystania z niego przez Zamawiającego zgodnie z przeznaczeniem, jako urządzenia medycznego.</w:t>
            </w:r>
            <w:r w:rsidR="00642B1E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A56B5" w14:paraId="3A092642" w14:textId="77777777">
        <w:trPr>
          <w:jc w:val="center"/>
        </w:trPr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B77E" w14:textId="77777777" w:rsidR="00AA56B5" w:rsidRDefault="00AA56B5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</w:p>
        </w:tc>
        <w:tc>
          <w:tcPr>
            <w:tcW w:w="7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C1007" w14:textId="44C5CB4B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Realizacja przedmiotu zamówienia w oparciu o przepisy powszechnie obowiązującego prawa i międzynarodowe standardy, dotyczące zarządzania cyberbezpieczeństwem oraz bezpieczeństwem informacji, takie jak norma ISO 27001 oraz Dyrektywa NIS2. </w:t>
            </w:r>
          </w:p>
          <w:p w14:paraId="47FF994F" w14:textId="77777777" w:rsidR="00AA56B5" w:rsidRDefault="00AA56B5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</w:p>
          <w:p w14:paraId="33A95174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Zapewnienie odpowiedniego poziomu bezpieczeństwa dla s</w:t>
            </w:r>
            <w:r>
              <w:rPr>
                <w:sz w:val="24"/>
                <w:szCs w:val="24"/>
              </w:rPr>
              <w:t>ystemu OIS/TPS/Citrix polegającego w szczególności na:</w:t>
            </w:r>
          </w:p>
          <w:p w14:paraId="01A69C3F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 dbałości o aktualizację oprogramowania,</w:t>
            </w:r>
          </w:p>
          <w:p w14:paraId="6FC4CCD7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minimalizowaniu ryzyka utraty informacji w wyniku awarii,</w:t>
            </w:r>
          </w:p>
          <w:p w14:paraId="6BF33789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ochronie przed błędami, utratą, nieuprawnioną modyfikacją,</w:t>
            </w:r>
          </w:p>
          <w:p w14:paraId="6CA669A5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stosowaniu mechanizmów kryptograficznych w sposób adekwatny do zagrożeń lub wymogów przepisu prawa,</w:t>
            </w:r>
          </w:p>
          <w:p w14:paraId="472FC7EA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e) zapewnieniu bezpieczeństwa plików systemowych,</w:t>
            </w:r>
          </w:p>
          <w:p w14:paraId="0F154848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f) redukcji ryzyk wynikających z wykorzystania opublikowanych podatności technicznych systemów teleinformatycznych,</w:t>
            </w:r>
          </w:p>
          <w:p w14:paraId="3E82B7B1" w14:textId="111C162A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g) niezwłocznym podejmowaniu działań po dostrzeżeniu nieujawnionych podatności systemów teleinformatycznych na możliwość naruszenia bezpieczeństwa,</w:t>
            </w:r>
            <w:r w:rsidR="00C36DF1">
              <w:t xml:space="preserve"> </w:t>
            </w:r>
            <w:r w:rsidR="00C36DF1" w:rsidRPr="00C36DF1">
              <w:rPr>
                <w:sz w:val="24"/>
                <w:szCs w:val="24"/>
              </w:rPr>
              <w:t>współprac</w:t>
            </w:r>
            <w:r w:rsidR="00C36DF1">
              <w:rPr>
                <w:sz w:val="24"/>
                <w:szCs w:val="24"/>
              </w:rPr>
              <w:t>y</w:t>
            </w:r>
            <w:r w:rsidR="00C36DF1" w:rsidRPr="00C36DF1">
              <w:rPr>
                <w:sz w:val="24"/>
                <w:szCs w:val="24"/>
              </w:rPr>
              <w:t xml:space="preserve"> z Zamawiającym przy obsłudze incydentów cyberbezpieczeństwa, analizie przyczyn oraz usuwaniu skutków incydentu.</w:t>
            </w:r>
          </w:p>
          <w:p w14:paraId="37CDCA5B" w14:textId="7FDC4F56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h) kontroli zgodności systemów teleinformatycznych z odpowiednimi normami i politykami bezpieczeństwa</w:t>
            </w:r>
            <w:r w:rsidR="00C36DF1">
              <w:rPr>
                <w:sz w:val="24"/>
                <w:szCs w:val="24"/>
              </w:rPr>
              <w:t>, informowania</w:t>
            </w:r>
            <w:r w:rsidR="00C36DF1" w:rsidRPr="00C36DF1">
              <w:rPr>
                <w:sz w:val="24"/>
                <w:szCs w:val="24"/>
              </w:rPr>
              <w:t xml:space="preserve"> Zamawiającego o </w:t>
            </w:r>
            <w:r w:rsidR="00C36DF1" w:rsidRPr="00C36DF1">
              <w:rPr>
                <w:sz w:val="24"/>
                <w:szCs w:val="24"/>
              </w:rPr>
              <w:lastRenderedPageBreak/>
              <w:t>dostępnych poprawkach bezpieczeństwa oraz przedstawi</w:t>
            </w:r>
            <w:r w:rsidR="00C36DF1">
              <w:rPr>
                <w:sz w:val="24"/>
                <w:szCs w:val="24"/>
              </w:rPr>
              <w:t>ania</w:t>
            </w:r>
            <w:r w:rsidR="00C36DF1" w:rsidRPr="00C36DF1">
              <w:rPr>
                <w:sz w:val="24"/>
                <w:szCs w:val="24"/>
              </w:rPr>
              <w:t xml:space="preserve"> rekomendowany</w:t>
            </w:r>
            <w:r w:rsidR="00C36DF1">
              <w:rPr>
                <w:sz w:val="24"/>
                <w:szCs w:val="24"/>
              </w:rPr>
              <w:t>ch</w:t>
            </w:r>
            <w:r w:rsidR="00C36DF1" w:rsidRPr="00C36DF1">
              <w:rPr>
                <w:sz w:val="24"/>
                <w:szCs w:val="24"/>
              </w:rPr>
              <w:t xml:space="preserve"> spos</w:t>
            </w:r>
            <w:r w:rsidR="00C36DF1">
              <w:rPr>
                <w:sz w:val="24"/>
                <w:szCs w:val="24"/>
              </w:rPr>
              <w:t>o</w:t>
            </w:r>
            <w:r w:rsidR="00C36DF1" w:rsidRPr="00C36DF1">
              <w:rPr>
                <w:sz w:val="24"/>
                <w:szCs w:val="24"/>
              </w:rPr>
              <w:t>b</w:t>
            </w:r>
            <w:r w:rsidR="00C36DF1">
              <w:rPr>
                <w:sz w:val="24"/>
                <w:szCs w:val="24"/>
              </w:rPr>
              <w:t>ów</w:t>
            </w:r>
            <w:r w:rsidR="00C36DF1" w:rsidRPr="00C36DF1">
              <w:rPr>
                <w:sz w:val="24"/>
                <w:szCs w:val="24"/>
              </w:rPr>
              <w:t xml:space="preserve"> ich wdrożenia.</w:t>
            </w:r>
          </w:p>
          <w:p w14:paraId="6CD8E2B7" w14:textId="77777777" w:rsidR="00AA56B5" w:rsidRDefault="00AA56B5">
            <w:pPr>
              <w:spacing w:after="0" w:line="360" w:lineRule="auto"/>
              <w:rPr>
                <w:sz w:val="24"/>
                <w:szCs w:val="24"/>
              </w:rPr>
            </w:pPr>
          </w:p>
          <w:p w14:paraId="577E88A1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Zapewnienie odpowiedniego poziomu rozliczalności poprzez dokumentowanie zdarzeń w dziennikach systemów (logach). Należy odnotowywać obligatoryjnie działania użytkowników lub obiektów systemowych polegające na dostępie do:</w:t>
            </w:r>
          </w:p>
          <w:p w14:paraId="2C4C75F6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systemu z uprawnieniami administracyjnymi;</w:t>
            </w:r>
          </w:p>
          <w:p w14:paraId="0C56204F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konfiguracji systemu, w tym konfiguracji zabezpieczeń;</w:t>
            </w:r>
          </w:p>
          <w:p w14:paraId="5F22242E" w14:textId="77777777" w:rsidR="00AA56B5" w:rsidRDefault="00C607F9">
            <w:p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3) przetwarzanych w systemach danych podlegających prawnej ochronie w zakresie wymaganym przepisami prawa</w:t>
            </w:r>
          </w:p>
          <w:p w14:paraId="3BD2DC5E" w14:textId="77777777" w:rsidR="00AA56B5" w:rsidRDefault="00AA56B5">
            <w:pPr>
              <w:spacing w:after="0" w:line="360" w:lineRule="auto"/>
              <w:rPr>
                <w:sz w:val="24"/>
                <w:szCs w:val="24"/>
              </w:rPr>
            </w:pPr>
          </w:p>
          <w:p w14:paraId="235CCBF4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Informacje w dziennikach systemów należy przechowywać od dnia ich zapisu, przez dwa lata. Zapisy dzienników systemów mogą być składowane na zewnętrznych informatycznych nośnikach danych w warunkach zapewniających bezpieczeństwo informacji.</w:t>
            </w:r>
          </w:p>
        </w:tc>
      </w:tr>
      <w:tr w:rsidR="00AA56B5" w14:paraId="0752AA4A" w14:textId="77777777">
        <w:trPr>
          <w:jc w:val="center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8AEC" w14:textId="77777777" w:rsidR="00AA56B5" w:rsidRDefault="00C607F9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‍</w:t>
            </w:r>
          </w:p>
        </w:tc>
        <w:tc>
          <w:tcPr>
            <w:tcW w:w="7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72425" w14:textId="207DAAEA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Stosowanie się do przepisów  ustawy </w:t>
            </w:r>
            <w:r>
              <w:rPr>
                <w:sz w:val="24"/>
                <w:szCs w:val="24"/>
              </w:rPr>
              <w:t>z dnia 5 lipca 2018 r. o krajowym systemie cyberbezpieczeństwa (Dz.U.202</w:t>
            </w:r>
            <w:r w:rsidR="00642B1E">
              <w:rPr>
                <w:sz w:val="24"/>
                <w:szCs w:val="24"/>
              </w:rPr>
              <w:t xml:space="preserve">6, poz. 20 z późn. zm.) </w:t>
            </w:r>
          </w:p>
        </w:tc>
      </w:tr>
      <w:tr w:rsidR="00AA56B5" w14:paraId="1B1D2882" w14:textId="77777777">
        <w:trPr>
          <w:jc w:val="center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B7C54" w14:textId="77777777" w:rsidR="00AA56B5" w:rsidRDefault="00C607F9">
            <w:pPr>
              <w:numPr>
                <w:ilvl w:val="0"/>
                <w:numId w:val="1"/>
              </w:numPr>
              <w:spacing w:after="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</w:p>
        </w:tc>
        <w:tc>
          <w:tcPr>
            <w:tcW w:w="7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52C6" w14:textId="77777777" w:rsidR="00AA56B5" w:rsidRDefault="00C607F9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Realizacja przedmiotu zamówienia w oparciu o międzynarodowe standardy zarządzania jakością, takie jak norma ISO 13485.</w:t>
            </w:r>
          </w:p>
        </w:tc>
      </w:tr>
    </w:tbl>
    <w:p w14:paraId="48A7CE01" w14:textId="77777777" w:rsidR="00AA56B5" w:rsidRDefault="00AA56B5">
      <w:pPr>
        <w:spacing w:after="0" w:line="360" w:lineRule="auto"/>
      </w:pPr>
    </w:p>
    <w:sectPr w:rsidR="00AA56B5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85479" w14:textId="77777777" w:rsidR="00B174DB" w:rsidRDefault="00B174DB">
      <w:pPr>
        <w:spacing w:after="0" w:line="240" w:lineRule="auto"/>
      </w:pPr>
      <w:r>
        <w:separator/>
      </w:r>
    </w:p>
  </w:endnote>
  <w:endnote w:type="continuationSeparator" w:id="0">
    <w:p w14:paraId="7C71FA0D" w14:textId="77777777" w:rsidR="00B174DB" w:rsidRDefault="00B1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rlito">
    <w:altName w:val="Calibri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5F7DA" w14:textId="77777777" w:rsidR="00AA56B5" w:rsidRDefault="00AA56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4197247"/>
      <w:docPartObj>
        <w:docPartGallery w:val="Page Numbers (Bottom of Page)"/>
        <w:docPartUnique/>
      </w:docPartObj>
    </w:sdtPr>
    <w:sdtContent>
      <w:p w14:paraId="265B5C67" w14:textId="77777777" w:rsidR="00AA56B5" w:rsidRDefault="00C607F9">
        <w:pPr>
          <w:pStyle w:val="Stopka"/>
          <w:pBdr>
            <w:top w:val="single" w:sz="4" w:space="1" w:color="D9D9D9" w:themeColor="light1" w:themeShade="D9"/>
          </w:pBd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19F4A1B4" w14:textId="77777777" w:rsidR="00AA56B5" w:rsidRDefault="00AA56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923747"/>
      <w:docPartObj>
        <w:docPartGallery w:val="Page Numbers (Bottom of Page)"/>
        <w:docPartUnique/>
      </w:docPartObj>
    </w:sdtPr>
    <w:sdtContent>
      <w:p w14:paraId="793CA23A" w14:textId="77777777" w:rsidR="00AA56B5" w:rsidRDefault="00C607F9">
        <w:pPr>
          <w:pStyle w:val="Stopka"/>
          <w:pBdr>
            <w:top w:val="single" w:sz="4" w:space="1" w:color="D9D9D9" w:themeColor="light1" w:themeShade="D9"/>
          </w:pBdr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8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262890F8" w14:textId="77777777" w:rsidR="00AA56B5" w:rsidRDefault="00AA56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FBC56" w14:textId="77777777" w:rsidR="00B174DB" w:rsidRDefault="00B174DB">
      <w:pPr>
        <w:spacing w:after="0" w:line="240" w:lineRule="auto"/>
      </w:pPr>
      <w:r>
        <w:separator/>
      </w:r>
    </w:p>
  </w:footnote>
  <w:footnote w:type="continuationSeparator" w:id="0">
    <w:p w14:paraId="0D17989C" w14:textId="77777777" w:rsidR="00B174DB" w:rsidRDefault="00B174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547AC"/>
    <w:multiLevelType w:val="multilevel"/>
    <w:tmpl w:val="91D07384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5876E29"/>
    <w:multiLevelType w:val="multilevel"/>
    <w:tmpl w:val="FB58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E7368"/>
    <w:multiLevelType w:val="multilevel"/>
    <w:tmpl w:val="4F921B7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6191CB2"/>
    <w:multiLevelType w:val="multilevel"/>
    <w:tmpl w:val="008449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702928A7"/>
    <w:multiLevelType w:val="multilevel"/>
    <w:tmpl w:val="85FECD36"/>
    <w:lvl w:ilvl="0">
      <w:start w:val="1"/>
      <w:numFmt w:val="decimal"/>
      <w:pStyle w:val="Nagwek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69152116">
    <w:abstractNumId w:val="1"/>
  </w:num>
  <w:num w:numId="2" w16cid:durableId="1755592906">
    <w:abstractNumId w:val="0"/>
  </w:num>
  <w:num w:numId="3" w16cid:durableId="834029503">
    <w:abstractNumId w:val="4"/>
  </w:num>
  <w:num w:numId="4" w16cid:durableId="669870551">
    <w:abstractNumId w:val="2"/>
  </w:num>
  <w:num w:numId="5" w16cid:durableId="12870798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6B5"/>
    <w:rsid w:val="00271CD8"/>
    <w:rsid w:val="0029463F"/>
    <w:rsid w:val="003264E5"/>
    <w:rsid w:val="00463B2F"/>
    <w:rsid w:val="004E52BB"/>
    <w:rsid w:val="00642B1E"/>
    <w:rsid w:val="0093454A"/>
    <w:rsid w:val="009C4BC5"/>
    <w:rsid w:val="00A03BB8"/>
    <w:rsid w:val="00A63F90"/>
    <w:rsid w:val="00A93E2A"/>
    <w:rsid w:val="00AA56B5"/>
    <w:rsid w:val="00B174DB"/>
    <w:rsid w:val="00B82766"/>
    <w:rsid w:val="00C36DF1"/>
    <w:rsid w:val="00C6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77122"/>
  <w15:docId w15:val="{B05CDBF2-DEAE-4264-B86D-57C55723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1C3E"/>
    <w:pPr>
      <w:spacing w:after="160" w:line="259" w:lineRule="auto"/>
    </w:pPr>
  </w:style>
  <w:style w:type="paragraph" w:styleId="Nagwek1">
    <w:name w:val="heading 1"/>
    <w:basedOn w:val="Akapitzlist"/>
    <w:link w:val="Nagwek1Znak"/>
    <w:uiPriority w:val="9"/>
    <w:qFormat/>
    <w:rsid w:val="00D51C45"/>
    <w:pPr>
      <w:numPr>
        <w:numId w:val="3"/>
      </w:numPr>
      <w:spacing w:before="240" w:after="120" w:line="276" w:lineRule="auto"/>
      <w:ind w:left="714" w:hanging="357"/>
      <w:contextualSpacing w:val="0"/>
      <w:outlineLvl w:val="0"/>
    </w:pPr>
    <w:rPr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C3D87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C3D87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C3D87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C3D87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54950"/>
  </w:style>
  <w:style w:type="character" w:customStyle="1" w:styleId="StopkaZnak">
    <w:name w:val="Stopka Znak"/>
    <w:basedOn w:val="Domylnaczcionkaakapitu"/>
    <w:link w:val="Stopka"/>
    <w:uiPriority w:val="99"/>
    <w:qFormat/>
    <w:rsid w:val="00E54950"/>
  </w:style>
  <w:style w:type="character" w:customStyle="1" w:styleId="Nagwek1Znak">
    <w:name w:val="Nagłówek 1 Znak"/>
    <w:basedOn w:val="Domylnaczcionkaakapitu"/>
    <w:link w:val="Nagwek1"/>
    <w:uiPriority w:val="9"/>
    <w:qFormat/>
    <w:rsid w:val="00D51C45"/>
    <w:rPr>
      <w:b/>
      <w:sz w:val="28"/>
      <w:szCs w:val="24"/>
    </w:rPr>
  </w:style>
  <w:style w:type="character" w:customStyle="1" w:styleId="TabelanaglwekZnak">
    <w:name w:val="Tabela naglówek Znak"/>
    <w:basedOn w:val="Domylnaczcionkaakapitu"/>
    <w:link w:val="Tabelanaglwek"/>
    <w:qFormat/>
    <w:rsid w:val="00D51C45"/>
    <w:rPr>
      <w:b/>
      <w:sz w:val="24"/>
      <w:szCs w:val="26"/>
    </w:rPr>
  </w:style>
  <w:style w:type="character" w:styleId="Numerwiersza">
    <w:name w:val="line number"/>
  </w:style>
  <w:style w:type="character" w:styleId="Hipercze">
    <w:name w:val="Hyperlink"/>
    <w:rPr>
      <w:color w:val="000080"/>
      <w:u w:val="single"/>
    </w:rPr>
  </w:style>
  <w:style w:type="character" w:customStyle="1" w:styleId="FootnoteCharacters">
    <w:name w:val="Footnote Characters"/>
    <w:qFormat/>
  </w:style>
  <w:style w:type="character" w:customStyle="1" w:styleId="EndnoteCharacters">
    <w:name w:val="Endnote Characters"/>
    <w:qFormat/>
  </w:style>
  <w:style w:type="character" w:styleId="UyteHipercze">
    <w:name w:val="FollowedHyperlink"/>
    <w:rPr>
      <w:color w:val="80000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5495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Carlito" w:eastAsia="DejaVu Sans" w:hAnsi="Carlito" w:cs="DejaVu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</w:style>
  <w:style w:type="paragraph" w:styleId="Bezodstpw">
    <w:name w:val="No Spacing"/>
    <w:uiPriority w:val="99"/>
    <w:qFormat/>
    <w:rsid w:val="00781C3E"/>
    <w:pPr>
      <w:ind w:left="454" w:hanging="454"/>
      <w:jc w:val="both"/>
    </w:pPr>
    <w:rPr>
      <w:rFonts w:cs="Calibri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3D87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DC3D8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C3D8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A444D"/>
    <w:pPr>
      <w:ind w:left="720"/>
      <w:contextualSpacing/>
    </w:pPr>
  </w:style>
  <w:style w:type="paragraph" w:customStyle="1" w:styleId="Gwkaistopkauser">
    <w:name w:val="Główka i stopka (user)"/>
    <w:basedOn w:val="Normalny"/>
    <w:qFormat/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E54950"/>
    <w:pPr>
      <w:tabs>
        <w:tab w:val="center" w:pos="4536"/>
        <w:tab w:val="right" w:pos="9072"/>
      </w:tabs>
      <w:spacing w:after="0" w:line="240" w:lineRule="auto"/>
    </w:pPr>
  </w:style>
  <w:style w:type="paragraph" w:styleId="Poprawka">
    <w:name w:val="Revision"/>
    <w:uiPriority w:val="99"/>
    <w:semiHidden/>
    <w:qFormat/>
    <w:rsid w:val="004C5E3C"/>
  </w:style>
  <w:style w:type="paragraph" w:customStyle="1" w:styleId="Tabelanaglwek">
    <w:name w:val="Tabela naglówek"/>
    <w:basedOn w:val="Normalny"/>
    <w:link w:val="TabelanaglwekZnak"/>
    <w:qFormat/>
    <w:rsid w:val="00D51C45"/>
    <w:pPr>
      <w:spacing w:before="120" w:after="0" w:line="276" w:lineRule="auto"/>
      <w:jc w:val="center"/>
    </w:pPr>
    <w:rPr>
      <w:b/>
      <w:sz w:val="24"/>
      <w:szCs w:val="26"/>
    </w:rPr>
  </w:style>
  <w:style w:type="paragraph" w:customStyle="1" w:styleId="Zawartolistyuser">
    <w:name w:val="Zawartość listy (user)"/>
    <w:basedOn w:val="Normalny"/>
    <w:qFormat/>
    <w:pPr>
      <w:ind w:left="567"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76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D3D1E-867E-4684-B04D-C18032C5E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8</Pages>
  <Words>1880</Words>
  <Characters>11286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Szczegółowy opis przedmiotu zamówienia</vt:lpstr>
    </vt:vector>
  </TitlesOfParts>
  <Company>IFJ</Company>
  <LinksUpToDate>false</LinksUpToDate>
  <CharactersWithSpaces>13140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Szczegółowy opis przedmiotu zamówienia</dc:title>
  <dc:subject/>
  <dc:creator>Artur Krempa</dc:creator>
  <dc:description/>
  <cp:lastModifiedBy>oprzebieracz</cp:lastModifiedBy>
  <cp:revision>6</cp:revision>
  <cp:lastPrinted>2021-08-06T10:28:00Z</cp:lastPrinted>
  <dcterms:created xsi:type="dcterms:W3CDTF">2026-07-10T05:55:00Z</dcterms:created>
  <dcterms:modified xsi:type="dcterms:W3CDTF">2026-08-20T07:15:00Z</dcterms:modified>
  <dc:language>pl-PL</dc:language>
</cp:coreProperties>
</file>