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30DA" w14:textId="77777777" w:rsidR="007131BF" w:rsidRPr="005226C6" w:rsidRDefault="007131BF" w:rsidP="00A00BCC">
      <w:pPr>
        <w:jc w:val="center"/>
        <w:rPr>
          <w:rFonts w:asciiTheme="minorHAnsi" w:hAnsiTheme="minorHAnsi" w:cstheme="minorHAnsi"/>
          <w:b/>
          <w:bCs/>
        </w:rPr>
      </w:pPr>
      <w:bookmarkStart w:id="0" w:name="_Hlk203044318"/>
    </w:p>
    <w:p w14:paraId="52BD1F43" w14:textId="055AB26A" w:rsidR="00A00BCC" w:rsidRPr="005226C6" w:rsidRDefault="00A00BCC" w:rsidP="00A00BCC">
      <w:pPr>
        <w:jc w:val="center"/>
        <w:rPr>
          <w:rFonts w:asciiTheme="minorHAnsi" w:hAnsiTheme="minorHAnsi" w:cstheme="minorHAnsi"/>
          <w:b/>
          <w:bCs/>
        </w:rPr>
      </w:pPr>
      <w:r w:rsidRPr="005226C6">
        <w:rPr>
          <w:rFonts w:asciiTheme="minorHAnsi" w:hAnsiTheme="minorHAnsi" w:cstheme="minorHAnsi"/>
          <w:b/>
          <w:bCs/>
        </w:rPr>
        <w:t>OPIS PRZEDMIOTU ZAMÓWIENIA</w:t>
      </w:r>
      <w:bookmarkEnd w:id="0"/>
    </w:p>
    <w:p w14:paraId="135CF631" w14:textId="77777777" w:rsidR="00A00BCC" w:rsidRPr="005226C6" w:rsidRDefault="00A00BCC" w:rsidP="00A00BCC">
      <w:pPr>
        <w:rPr>
          <w:rFonts w:asciiTheme="minorHAnsi" w:hAnsiTheme="minorHAnsi" w:cstheme="minorHAnsi"/>
        </w:rPr>
      </w:pPr>
    </w:p>
    <w:p w14:paraId="226E7107" w14:textId="77777777" w:rsidR="001F150F" w:rsidRPr="005226C6" w:rsidRDefault="001F150F" w:rsidP="00A00BCC">
      <w:pPr>
        <w:rPr>
          <w:rFonts w:asciiTheme="minorHAnsi" w:hAnsiTheme="minorHAnsi" w:cstheme="minorHAnsi"/>
        </w:rPr>
      </w:pPr>
    </w:p>
    <w:p w14:paraId="354B47D2" w14:textId="77777777" w:rsidR="007131BF" w:rsidRPr="005226C6" w:rsidRDefault="007131BF" w:rsidP="00A00BCC">
      <w:pPr>
        <w:rPr>
          <w:rFonts w:asciiTheme="minorHAnsi" w:hAnsiTheme="minorHAnsi" w:cstheme="minorHAnsi"/>
        </w:rPr>
      </w:pPr>
    </w:p>
    <w:p w14:paraId="705D6D78" w14:textId="1A1A5115" w:rsidR="00A00BCC" w:rsidRPr="005226C6" w:rsidRDefault="00A00BCC" w:rsidP="00A00BCC">
      <w:pPr>
        <w:pStyle w:val="Akapitzlist"/>
        <w:numPr>
          <w:ilvl w:val="0"/>
          <w:numId w:val="1"/>
        </w:numPr>
        <w:spacing w:after="0" w:line="360" w:lineRule="auto"/>
        <w:ind w:left="993" w:hanging="142"/>
        <w:jc w:val="both"/>
        <w:rPr>
          <w:rFonts w:cstheme="minorHAnsi"/>
          <w:b/>
          <w:bCs/>
          <w:shd w:val="clear" w:color="auto" w:fill="FFFFFF"/>
        </w:rPr>
      </w:pPr>
      <w:r w:rsidRPr="005226C6">
        <w:rPr>
          <w:rFonts w:cstheme="minorHAnsi"/>
          <w:b/>
          <w:bCs/>
          <w:shd w:val="clear" w:color="auto" w:fill="FFFFFF"/>
        </w:rPr>
        <w:t>ZAMAWIAJĄCY</w:t>
      </w:r>
    </w:p>
    <w:p w14:paraId="4B3D9339" w14:textId="77777777" w:rsidR="00A00BCC" w:rsidRPr="005226C6" w:rsidRDefault="00A00BCC" w:rsidP="00A00BCC">
      <w:pPr>
        <w:rPr>
          <w:rFonts w:asciiTheme="minorHAnsi" w:hAnsiTheme="minorHAnsi" w:cstheme="minorHAnsi"/>
        </w:rPr>
      </w:pPr>
      <w:r w:rsidRPr="005226C6">
        <w:rPr>
          <w:rFonts w:asciiTheme="minorHAnsi" w:hAnsiTheme="minorHAnsi" w:cstheme="minorHAnsi"/>
        </w:rPr>
        <w:t xml:space="preserve">Miasto Rybnik - „MOSiR” Rybnik </w:t>
      </w:r>
    </w:p>
    <w:p w14:paraId="1445CAA6" w14:textId="77777777" w:rsidR="00A00BCC" w:rsidRPr="005226C6" w:rsidRDefault="00A00BCC" w:rsidP="00A00BCC">
      <w:pPr>
        <w:rPr>
          <w:rFonts w:asciiTheme="minorHAnsi" w:hAnsiTheme="minorHAnsi" w:cstheme="minorHAnsi"/>
        </w:rPr>
      </w:pPr>
      <w:r w:rsidRPr="005226C6">
        <w:rPr>
          <w:rFonts w:asciiTheme="minorHAnsi" w:hAnsiTheme="minorHAnsi" w:cstheme="minorHAnsi"/>
        </w:rPr>
        <w:t>44-200 Rybnik, ul. Gliwicka 72</w:t>
      </w:r>
    </w:p>
    <w:p w14:paraId="547C0D15" w14:textId="77777777" w:rsidR="00A00BCC" w:rsidRPr="005226C6" w:rsidRDefault="00A00BCC" w:rsidP="00A00BCC">
      <w:pPr>
        <w:rPr>
          <w:rFonts w:asciiTheme="minorHAnsi" w:hAnsiTheme="minorHAnsi" w:cstheme="minorHAnsi"/>
        </w:rPr>
      </w:pPr>
      <w:r w:rsidRPr="005226C6">
        <w:rPr>
          <w:rFonts w:asciiTheme="minorHAnsi" w:hAnsiTheme="minorHAnsi" w:cstheme="minorHAnsi"/>
        </w:rPr>
        <w:t>e-mail: sekretariat@mosir.rybnik.pl</w:t>
      </w:r>
    </w:p>
    <w:p w14:paraId="360EC31C" w14:textId="77777777" w:rsidR="00A00BCC" w:rsidRPr="005226C6" w:rsidRDefault="00A00BCC" w:rsidP="00A00BCC">
      <w:pPr>
        <w:rPr>
          <w:rFonts w:asciiTheme="minorHAnsi" w:hAnsiTheme="minorHAnsi" w:cstheme="minorHAnsi"/>
        </w:rPr>
      </w:pPr>
      <w:r w:rsidRPr="005226C6">
        <w:rPr>
          <w:rFonts w:asciiTheme="minorHAnsi" w:hAnsiTheme="minorHAnsi" w:cstheme="minorHAnsi"/>
        </w:rPr>
        <w:t xml:space="preserve">Telefon: 32 422 78 39 wew.26 </w:t>
      </w:r>
    </w:p>
    <w:p w14:paraId="6F5FD2E6" w14:textId="77777777" w:rsidR="00A00BCC" w:rsidRPr="005226C6" w:rsidRDefault="00A00BCC" w:rsidP="00A00BCC">
      <w:pPr>
        <w:rPr>
          <w:rFonts w:asciiTheme="minorHAnsi" w:hAnsiTheme="minorHAnsi" w:cstheme="minorHAnsi"/>
        </w:rPr>
      </w:pPr>
      <w:r w:rsidRPr="005226C6">
        <w:rPr>
          <w:rFonts w:asciiTheme="minorHAnsi" w:hAnsiTheme="minorHAnsi" w:cstheme="minorHAnsi"/>
        </w:rPr>
        <w:t>NIP: 642 001 07 58</w:t>
      </w:r>
    </w:p>
    <w:p w14:paraId="4A2AB791" w14:textId="77777777" w:rsidR="00A00BCC" w:rsidRPr="005226C6" w:rsidRDefault="00A00BCC" w:rsidP="00A00BCC">
      <w:pPr>
        <w:spacing w:line="360" w:lineRule="auto"/>
        <w:jc w:val="both"/>
        <w:rPr>
          <w:rFonts w:asciiTheme="minorHAnsi" w:hAnsiTheme="minorHAnsi" w:cstheme="minorHAnsi"/>
          <w:color w:val="EE0000"/>
          <w:shd w:val="clear" w:color="auto" w:fill="FFFFFF"/>
        </w:rPr>
      </w:pPr>
    </w:p>
    <w:p w14:paraId="63D112CF" w14:textId="77777777" w:rsidR="00A00BCC" w:rsidRPr="005226C6" w:rsidRDefault="00A00BCC" w:rsidP="00A00BCC">
      <w:pPr>
        <w:pStyle w:val="Akapitzlist"/>
        <w:numPr>
          <w:ilvl w:val="0"/>
          <w:numId w:val="1"/>
        </w:numPr>
        <w:spacing w:after="0" w:line="360" w:lineRule="auto"/>
        <w:ind w:left="993" w:hanging="142"/>
        <w:jc w:val="both"/>
        <w:rPr>
          <w:rFonts w:cstheme="minorHAnsi"/>
          <w:b/>
          <w:bCs/>
          <w:shd w:val="clear" w:color="auto" w:fill="FFFFFF"/>
        </w:rPr>
      </w:pPr>
      <w:r w:rsidRPr="005226C6">
        <w:rPr>
          <w:rFonts w:cstheme="minorHAnsi"/>
          <w:b/>
          <w:bCs/>
          <w:shd w:val="clear" w:color="auto" w:fill="FFFFFF"/>
        </w:rPr>
        <w:t>PRZEDMIOT ZAMÓWIENIA - NAZWA ZADANIA INWESTYCYJNEGO</w:t>
      </w:r>
    </w:p>
    <w:p w14:paraId="290462B5" w14:textId="570A4207" w:rsidR="00A00BCC" w:rsidRPr="005226C6" w:rsidRDefault="00F67585" w:rsidP="00DB789D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Modernizacja systemu wentylacji basenowej - wymiana centrali wentylacyjnej obsługującej powierzchnię basenu sportowego w Kompleksie „AKWARIUM”</w:t>
      </w:r>
    </w:p>
    <w:p w14:paraId="2B5EF9B8" w14:textId="77777777" w:rsidR="00D54EB6" w:rsidRPr="005226C6" w:rsidRDefault="00D54EB6" w:rsidP="00D54EB6">
      <w:pPr>
        <w:pStyle w:val="Akapitzlist"/>
        <w:spacing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</w:p>
    <w:p w14:paraId="284B721A" w14:textId="77777777" w:rsidR="00A00BCC" w:rsidRPr="005226C6" w:rsidRDefault="00A00BCC" w:rsidP="00A00BCC">
      <w:pPr>
        <w:pStyle w:val="Akapitzlist"/>
        <w:numPr>
          <w:ilvl w:val="0"/>
          <w:numId w:val="1"/>
        </w:numPr>
        <w:spacing w:after="0" w:line="360" w:lineRule="auto"/>
        <w:ind w:left="993" w:hanging="142"/>
        <w:jc w:val="both"/>
        <w:rPr>
          <w:rFonts w:cstheme="minorHAnsi"/>
          <w:b/>
          <w:bCs/>
          <w:shd w:val="clear" w:color="auto" w:fill="FFFFFF"/>
        </w:rPr>
      </w:pPr>
      <w:r w:rsidRPr="005226C6">
        <w:rPr>
          <w:rFonts w:cstheme="minorHAnsi"/>
          <w:b/>
          <w:bCs/>
          <w:shd w:val="clear" w:color="auto" w:fill="FFFFFF"/>
        </w:rPr>
        <w:t>LOKALIZACJA INWESTYCJI</w:t>
      </w:r>
    </w:p>
    <w:p w14:paraId="448A8A5E" w14:textId="79FCDA8A" w:rsidR="00D54EB6" w:rsidRPr="005226C6" w:rsidRDefault="00D54EB6" w:rsidP="00DB789D">
      <w:pPr>
        <w:pStyle w:val="Akapitzlist"/>
        <w:numPr>
          <w:ilvl w:val="0"/>
          <w:numId w:val="18"/>
        </w:numPr>
        <w:spacing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bookmarkStart w:id="1" w:name="_Hlk203045603"/>
      <w:r w:rsidRPr="00F67585">
        <w:rPr>
          <w:rFonts w:cstheme="minorHAnsi"/>
          <w:color w:val="000000" w:themeColor="text1"/>
          <w:shd w:val="clear" w:color="auto" w:fill="FFFFFF"/>
        </w:rPr>
        <w:t>Pływalnia kryta „AKWARIUM”: 44</w:t>
      </w:r>
      <w:r w:rsidRPr="005226C6">
        <w:rPr>
          <w:rFonts w:cstheme="minorHAnsi"/>
          <w:color w:val="000000" w:themeColor="text1"/>
          <w:shd w:val="clear" w:color="auto" w:fill="FFFFFF"/>
        </w:rPr>
        <w:t>-253 Rybnik, ul. Jastrzębska 3a;</w:t>
      </w:r>
    </w:p>
    <w:bookmarkEnd w:id="1"/>
    <w:p w14:paraId="0BF3F96B" w14:textId="23F0E4BA" w:rsidR="000808CE" w:rsidRPr="005226C6" w:rsidRDefault="000808CE" w:rsidP="000808CE">
      <w:pPr>
        <w:pStyle w:val="Akapitzlist"/>
        <w:spacing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</w:p>
    <w:p w14:paraId="37ACE42D" w14:textId="77777777" w:rsidR="00A00BCC" w:rsidRPr="005226C6" w:rsidRDefault="00A00BCC" w:rsidP="00A00BCC">
      <w:pPr>
        <w:pStyle w:val="Akapitzlist"/>
        <w:numPr>
          <w:ilvl w:val="0"/>
          <w:numId w:val="1"/>
        </w:numPr>
        <w:spacing w:after="0" w:line="360" w:lineRule="auto"/>
        <w:ind w:left="993" w:hanging="142"/>
        <w:jc w:val="both"/>
        <w:rPr>
          <w:rFonts w:cstheme="minorHAnsi"/>
          <w:b/>
          <w:bCs/>
          <w:shd w:val="clear" w:color="auto" w:fill="FFFFFF"/>
        </w:rPr>
      </w:pPr>
      <w:r w:rsidRPr="005226C6">
        <w:rPr>
          <w:rFonts w:cstheme="minorHAnsi"/>
          <w:b/>
          <w:bCs/>
          <w:shd w:val="clear" w:color="auto" w:fill="FFFFFF"/>
        </w:rPr>
        <w:t>OPIS PRZEDMIOTU ZAMÓWIENIA</w:t>
      </w:r>
    </w:p>
    <w:p w14:paraId="7EBA6524" w14:textId="77777777" w:rsidR="00A00BCC" w:rsidRPr="005226C6" w:rsidRDefault="00A00BCC" w:rsidP="00A00BCC">
      <w:pPr>
        <w:pStyle w:val="Akapitzlist"/>
        <w:spacing w:after="0" w:line="360" w:lineRule="auto"/>
        <w:ind w:left="993"/>
        <w:jc w:val="both"/>
        <w:rPr>
          <w:rFonts w:cstheme="minorHAnsi"/>
          <w:b/>
          <w:bCs/>
          <w:shd w:val="clear" w:color="auto" w:fill="FFFFFF"/>
        </w:rPr>
      </w:pPr>
    </w:p>
    <w:p w14:paraId="4F16FC51" w14:textId="0AA91342" w:rsidR="00EE3DAC" w:rsidRPr="005226C6" w:rsidRDefault="00D54EB6" w:rsidP="00F67585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shd w:val="clear" w:color="auto" w:fill="FFFFFF"/>
        </w:rPr>
      </w:pPr>
      <w:r w:rsidRPr="005226C6">
        <w:rPr>
          <w:rFonts w:cstheme="minorHAnsi"/>
          <w:color w:val="000000" w:themeColor="text1"/>
          <w:shd w:val="clear" w:color="auto" w:fill="FFFFFF"/>
        </w:rPr>
        <w:t xml:space="preserve">Przedmiotem zamówienia jest </w:t>
      </w:r>
      <w:r w:rsidR="00F67585" w:rsidRPr="00F67585">
        <w:rPr>
          <w:rFonts w:cstheme="minorHAnsi"/>
          <w:color w:val="000000" w:themeColor="text1"/>
          <w:shd w:val="clear" w:color="auto" w:fill="FFFFFF"/>
        </w:rPr>
        <w:t>wymiana centrali wentylacyjnej obsługującej powierzchnię basenu sportowego w Kompleksie „AKWARIUM” w Rybniku przy ulicy Jastrzębskiej 3a</w:t>
      </w:r>
      <w:r w:rsidR="008E6533" w:rsidRPr="005226C6">
        <w:rPr>
          <w:rFonts w:cstheme="minorHAnsi"/>
          <w:shd w:val="clear" w:color="auto" w:fill="FFFFFF"/>
        </w:rPr>
        <w:t>.</w:t>
      </w:r>
    </w:p>
    <w:p w14:paraId="5EDA7A82" w14:textId="77777777" w:rsidR="001F150F" w:rsidRPr="005226C6" w:rsidRDefault="001F150F" w:rsidP="001F150F">
      <w:pPr>
        <w:pStyle w:val="Akapitzlist"/>
        <w:spacing w:line="360" w:lineRule="auto"/>
        <w:ind w:left="1440"/>
        <w:jc w:val="both"/>
        <w:rPr>
          <w:rFonts w:cstheme="minorHAnsi"/>
          <w:shd w:val="clear" w:color="auto" w:fill="FFFFFF"/>
        </w:rPr>
      </w:pPr>
    </w:p>
    <w:p w14:paraId="64C9497F" w14:textId="77777777" w:rsidR="00F67585" w:rsidRPr="00F67585" w:rsidRDefault="00F67585" w:rsidP="00F67585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lastRenderedPageBreak/>
        <w:t>Ogólna charakterystyka robót:</w:t>
      </w:r>
    </w:p>
    <w:p w14:paraId="424BEE2C" w14:textId="77777777" w:rsidR="00F67585" w:rsidRDefault="00F67585" w:rsidP="00F67585">
      <w:pPr>
        <w:pStyle w:val="Akapitzlist"/>
        <w:numPr>
          <w:ilvl w:val="0"/>
          <w:numId w:val="33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 xml:space="preserve">Opis centrali wentylacyjnej: </w:t>
      </w:r>
    </w:p>
    <w:p w14:paraId="61103F63" w14:textId="2B337DD1" w:rsidR="00F67585" w:rsidRPr="00F67585" w:rsidRDefault="00F67585" w:rsidP="00F67585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Centrala w wykonaniu basenowym / antykorozyjnym z krzyżowym wymiennikiem odzysku ciepła</w:t>
      </w:r>
      <w:r w:rsidR="00941299">
        <w:rPr>
          <w:rFonts w:cstheme="minorHAnsi"/>
          <w:color w:val="000000" w:themeColor="text1"/>
          <w:shd w:val="clear" w:color="auto" w:fill="FFFFFF"/>
        </w:rPr>
        <w:t>.</w:t>
      </w:r>
    </w:p>
    <w:p w14:paraId="143A8FA7" w14:textId="7C65A128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 xml:space="preserve">Wentylacja mechaniczna realizowana będzie za pośrednictwem centrali </w:t>
      </w:r>
      <w:r w:rsidR="007163E2">
        <w:rPr>
          <w:rFonts w:cstheme="minorHAnsi"/>
          <w:color w:val="000000" w:themeColor="text1"/>
          <w:shd w:val="clear" w:color="auto" w:fill="FFFFFF"/>
        </w:rPr>
        <w:br/>
      </w:r>
      <w:proofErr w:type="spellStart"/>
      <w:r w:rsidRPr="00F67585">
        <w:rPr>
          <w:rFonts w:cstheme="minorHAnsi"/>
          <w:color w:val="000000" w:themeColor="text1"/>
          <w:shd w:val="clear" w:color="auto" w:fill="FFFFFF"/>
        </w:rPr>
        <w:t>nawiewno</w:t>
      </w:r>
      <w:proofErr w:type="spellEnd"/>
      <w:r w:rsidRPr="00F67585">
        <w:rPr>
          <w:rFonts w:cstheme="minorHAnsi"/>
          <w:color w:val="000000" w:themeColor="text1"/>
          <w:shd w:val="clear" w:color="auto" w:fill="FFFFFF"/>
        </w:rPr>
        <w:t xml:space="preserve">-wywiewnej w wykonaniu basenowym / </w:t>
      </w:r>
      <w:r w:rsidRPr="00941299">
        <w:rPr>
          <w:rFonts w:cstheme="minorHAnsi"/>
          <w:color w:val="000000" w:themeColor="text1"/>
          <w:shd w:val="clear" w:color="auto" w:fill="FFFFFF"/>
        </w:rPr>
        <w:t xml:space="preserve">antykorozyjnym z płytowym krzyżowym wymiennikiem odzysku ciepła, z regulacją wilgotności oraz możliwością pracy z komorą mieszania lub recyrkulacją </w:t>
      </w:r>
    </w:p>
    <w:p w14:paraId="3A03C9A5" w14:textId="4B872E4D" w:rsidR="00F67585" w:rsidRPr="007163E2" w:rsidRDefault="007163E2" w:rsidP="007163E2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 xml:space="preserve">Centrala </w:t>
      </w:r>
      <w:r w:rsidR="00F67585" w:rsidRPr="00941299">
        <w:rPr>
          <w:rFonts w:cstheme="minorHAnsi"/>
          <w:color w:val="000000" w:themeColor="text1"/>
          <w:shd w:val="clear" w:color="auto" w:fill="FFFFFF"/>
        </w:rPr>
        <w:t>mus</w:t>
      </w:r>
      <w:r>
        <w:rPr>
          <w:rFonts w:cstheme="minorHAnsi"/>
          <w:color w:val="000000" w:themeColor="text1"/>
          <w:shd w:val="clear" w:color="auto" w:fill="FFFFFF"/>
        </w:rPr>
        <w:t>i</w:t>
      </w:r>
      <w:r w:rsidR="00F67585" w:rsidRPr="00941299">
        <w:rPr>
          <w:rFonts w:cstheme="minorHAnsi"/>
          <w:color w:val="000000" w:themeColor="text1"/>
          <w:shd w:val="clear" w:color="auto" w:fill="FFFFFF"/>
        </w:rPr>
        <w:t xml:space="preserve"> być wykonan</w:t>
      </w:r>
      <w:r>
        <w:rPr>
          <w:rFonts w:cstheme="minorHAnsi"/>
          <w:color w:val="000000" w:themeColor="text1"/>
          <w:shd w:val="clear" w:color="auto" w:fill="FFFFFF"/>
        </w:rPr>
        <w:t>a</w:t>
      </w:r>
      <w:r w:rsidR="00F67585" w:rsidRPr="00941299">
        <w:rPr>
          <w:rFonts w:cstheme="minorHAnsi"/>
          <w:color w:val="000000" w:themeColor="text1"/>
          <w:shd w:val="clear" w:color="auto" w:fill="FFFFFF"/>
        </w:rPr>
        <w:t xml:space="preserve"> z materiałów i powłok dobranych do środowiska o</w:t>
      </w:r>
      <w:r>
        <w:rPr>
          <w:rFonts w:cstheme="minorHAnsi"/>
          <w:color w:val="000000" w:themeColor="text1"/>
          <w:shd w:val="clear" w:color="auto" w:fill="FFFFFF"/>
        </w:rPr>
        <w:t> </w:t>
      </w:r>
      <w:r w:rsidR="00F67585" w:rsidRPr="007163E2">
        <w:rPr>
          <w:rFonts w:cstheme="minorHAnsi"/>
          <w:color w:val="000000" w:themeColor="text1"/>
          <w:shd w:val="clear" w:color="auto" w:fill="FFFFFF"/>
        </w:rPr>
        <w:t>podwyższonej wilgotności i zwiększonym ryzyku korozji.</w:t>
      </w:r>
    </w:p>
    <w:p w14:paraId="4301CE0E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Certyfikacja i dokumenty</w:t>
      </w:r>
    </w:p>
    <w:p w14:paraId="43920A91" w14:textId="1007200F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Urządzenie musi posiadać oznaczenie CE oraz dokumenty potwierdzające zgodność z</w:t>
      </w:r>
      <w:r w:rsidR="007163E2">
        <w:rPr>
          <w:rFonts w:cstheme="minorHAnsi"/>
          <w:color w:val="000000" w:themeColor="text1"/>
          <w:shd w:val="clear" w:color="auto" w:fill="FFFFFF"/>
        </w:rPr>
        <w:t> </w:t>
      </w:r>
      <w:r w:rsidRPr="00941299">
        <w:rPr>
          <w:rFonts w:cstheme="minorHAnsi"/>
          <w:color w:val="000000" w:themeColor="text1"/>
          <w:shd w:val="clear" w:color="auto" w:fill="FFFFFF"/>
        </w:rPr>
        <w:t>właściwymi dyrektywami Unii Europejskiej, w tym dyrektywą kompatybilności elektromagnetycznej EMC.</w:t>
      </w:r>
    </w:p>
    <w:p w14:paraId="3A95CFC9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 xml:space="preserve">Wymaga się certyfikatu obudowy według PN-EN 1886:2025, wystawionego przez niezależną akredytowaną jednostkę badawczą. </w:t>
      </w:r>
    </w:p>
    <w:p w14:paraId="6B69D201" w14:textId="54F5EA0B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 xml:space="preserve">Nie </w:t>
      </w:r>
      <w:r w:rsidRPr="00941299">
        <w:rPr>
          <w:rFonts w:cstheme="minorHAnsi"/>
          <w:color w:val="000000" w:themeColor="text1"/>
          <w:shd w:val="clear" w:color="auto" w:fill="FFFFFF"/>
        </w:rPr>
        <w:t>dopuszcza się dokumentów odnoszących się wyłącznie do starszej rewizji normy.</w:t>
      </w:r>
    </w:p>
    <w:p w14:paraId="061D82E5" w14:textId="2A0EA35F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Wymagane klasy obudowy według PN-EN 1886:2025: wytrzymałość mechaniczna D1, szczelność obudowy L1, izolacyjność cieplna U2,</w:t>
      </w:r>
      <w:r w:rsidR="00941299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941299">
        <w:rPr>
          <w:rFonts w:cstheme="minorHAnsi"/>
          <w:color w:val="000000" w:themeColor="text1"/>
          <w:shd w:val="clear" w:color="auto" w:fill="FFFFFF"/>
        </w:rPr>
        <w:t>mostki cieplne TB3 oraz potwierdzona szczelność obejścia filtra dla klasy F9.</w:t>
      </w:r>
    </w:p>
    <w:p w14:paraId="35332D0F" w14:textId="26767FF3" w:rsidR="00F67585" w:rsidRPr="00F67585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Centrala musi posiadać atest higieniczny PZH.</w:t>
      </w:r>
    </w:p>
    <w:p w14:paraId="2C4181AD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Obudowa i wykonanie materiałowe</w:t>
      </w:r>
      <w:r w:rsidR="00941299">
        <w:rPr>
          <w:rFonts w:cstheme="minorHAnsi"/>
          <w:color w:val="000000" w:themeColor="text1"/>
          <w:shd w:val="clear" w:color="auto" w:fill="FFFFFF"/>
        </w:rPr>
        <w:t>:</w:t>
      </w:r>
    </w:p>
    <w:p w14:paraId="0D066D4B" w14:textId="2E8E8820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Obudowa centrali musi być wykonana z paneli o grubości 50 mm, izolowanych wełną mineralną o gęstości 50 kg/m3 i klasie reakcji na ogień A1.</w:t>
      </w:r>
    </w:p>
    <w:p w14:paraId="006633B6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 xml:space="preserve">Poszycie wewnętrzne i zewnętrzne centrali należy wykonać jako malowane proszkowo w kolorze RAL 7035 DS. </w:t>
      </w:r>
    </w:p>
    <w:p w14:paraId="23464CC4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 xml:space="preserve">Powierzchnie </w:t>
      </w:r>
      <w:r w:rsidRPr="00941299">
        <w:rPr>
          <w:rFonts w:cstheme="minorHAnsi"/>
          <w:color w:val="000000" w:themeColor="text1"/>
          <w:shd w:val="clear" w:color="auto" w:fill="FFFFFF"/>
        </w:rPr>
        <w:t>wewnętrzne w wykonaniu basenowym / antykorozyjnym powinny być odporne na warunki eksploatacyjne.</w:t>
      </w:r>
    </w:p>
    <w:p w14:paraId="5481A46B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Prowadnice elementów wewnętrznych, ramki nagrzewnic i chłodnic wodnych lub freonowych oraz elementy narażone na wilgoć i kondensat powinny być wykonane ze stali nierdzewnej 304.</w:t>
      </w:r>
    </w:p>
    <w:p w14:paraId="6348058F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Elementy złączne wewnątrz centrali powinny być wykonane ze stali nierdzewnej lub zabezpieczone powłoką proszkową.</w:t>
      </w:r>
    </w:p>
    <w:p w14:paraId="7ABD6D47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lastRenderedPageBreak/>
        <w:t>Wymienniki wodne, freonowe, przeciwprądowe oraz wymienniki odzysku glikolowego muszą mieć zabezpieczenie epoksydowe po stronie kontaktu z powietrzem.</w:t>
      </w:r>
    </w:p>
    <w:p w14:paraId="2329E0D9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Przepustnice aluminiowe w wykonaniu basenowym / antykorozyjnym muszą być malowane proszkowo.</w:t>
      </w:r>
    </w:p>
    <w:p w14:paraId="2C197616" w14:textId="2CF8520B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Wnętrze centrali powinno być wykonane tak, aby izolacja nie miała kontaktu ze</w:t>
      </w:r>
      <w:r w:rsidR="007163E2">
        <w:rPr>
          <w:rFonts w:cstheme="minorHAnsi"/>
          <w:color w:val="000000" w:themeColor="text1"/>
          <w:shd w:val="clear" w:color="auto" w:fill="FFFFFF"/>
        </w:rPr>
        <w:t> </w:t>
      </w:r>
      <w:r w:rsidRPr="00941299">
        <w:rPr>
          <w:rFonts w:cstheme="minorHAnsi"/>
          <w:color w:val="000000" w:themeColor="text1"/>
          <w:shd w:val="clear" w:color="auto" w:fill="FFFFFF"/>
        </w:rPr>
        <w:t>strumieniem powietrza, a elementy narażone na kondensat były łatwe do czyszczenia i</w:t>
      </w:r>
      <w:r w:rsidR="007163E2">
        <w:rPr>
          <w:rFonts w:cstheme="minorHAnsi"/>
          <w:color w:val="000000" w:themeColor="text1"/>
          <w:shd w:val="clear" w:color="auto" w:fill="FFFFFF"/>
        </w:rPr>
        <w:t> </w:t>
      </w:r>
      <w:r w:rsidRPr="00941299">
        <w:rPr>
          <w:rFonts w:cstheme="minorHAnsi"/>
          <w:color w:val="000000" w:themeColor="text1"/>
          <w:shd w:val="clear" w:color="auto" w:fill="FFFFFF"/>
        </w:rPr>
        <w:t>odporne na korozję.</w:t>
      </w:r>
    </w:p>
    <w:p w14:paraId="37572F24" w14:textId="607B766A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Centrala musi być wyposażona w oświetlenie wewnętrzne oraz wizjery w sekcjach wymagających kontroli eksploatacyjnej, w szczególności w sekcjach filtrów i</w:t>
      </w:r>
      <w:r w:rsidR="007163E2">
        <w:rPr>
          <w:rFonts w:cstheme="minorHAnsi"/>
          <w:color w:val="000000" w:themeColor="text1"/>
          <w:shd w:val="clear" w:color="auto" w:fill="FFFFFF"/>
        </w:rPr>
        <w:t> </w:t>
      </w:r>
      <w:r w:rsidRPr="00941299">
        <w:rPr>
          <w:rFonts w:cstheme="minorHAnsi"/>
          <w:color w:val="000000" w:themeColor="text1"/>
          <w:shd w:val="clear" w:color="auto" w:fill="FFFFFF"/>
        </w:rPr>
        <w:t>wentylatorów.</w:t>
      </w:r>
    </w:p>
    <w:p w14:paraId="368E6A8F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Prefabrykacja, montaż i okablowanie</w:t>
      </w:r>
      <w:r w:rsidR="00941299">
        <w:rPr>
          <w:rFonts w:cstheme="minorHAnsi"/>
          <w:color w:val="000000" w:themeColor="text1"/>
          <w:shd w:val="clear" w:color="auto" w:fill="FFFFFF"/>
        </w:rPr>
        <w:t>:</w:t>
      </w:r>
    </w:p>
    <w:p w14:paraId="0C36A6C9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Centrala musi być dostarczona jako kompletne urządzenie prefabrykowane, fabrycznie okablowane i przygotowane do uruchomienia po wykonaniu podłączeń instalacyjnych przewidzianych w projekcie.</w:t>
      </w:r>
    </w:p>
    <w:p w14:paraId="62AD8468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Wymaga się fabrycznego okablowania również w centralach wielosekcyjnych.</w:t>
      </w:r>
    </w:p>
    <w:p w14:paraId="7E0E6436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Połączenia elektryczne między sekcjami muszą być zakończone opisanymi, szczelnymi, rozłącznymi mufami kablowymi o stopniu ochrony IP65.</w:t>
      </w:r>
    </w:p>
    <w:p w14:paraId="38F4E37D" w14:textId="66A275DD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Nie dopuszcza się wykonywania okablowania międzysekcyjnego centrali na obiekcie. Na</w:t>
      </w:r>
      <w:r w:rsidR="007163E2">
        <w:rPr>
          <w:rFonts w:cstheme="minorHAnsi"/>
          <w:color w:val="000000" w:themeColor="text1"/>
          <w:shd w:val="clear" w:color="auto" w:fill="FFFFFF"/>
        </w:rPr>
        <w:t> </w:t>
      </w:r>
      <w:r w:rsidRPr="00941299">
        <w:rPr>
          <w:rFonts w:cstheme="minorHAnsi"/>
          <w:color w:val="000000" w:themeColor="text1"/>
          <w:shd w:val="clear" w:color="auto" w:fill="FFFFFF"/>
        </w:rPr>
        <w:t>budowie dopuszcza się wyłącznie połączenie</w:t>
      </w:r>
      <w:r w:rsidR="00941299">
        <w:rPr>
          <w:rFonts w:cstheme="minorHAnsi"/>
          <w:color w:val="000000" w:themeColor="text1"/>
          <w:shd w:val="clear" w:color="auto" w:fill="FFFFFF"/>
        </w:rPr>
        <w:t xml:space="preserve"> </w:t>
      </w:r>
      <w:r w:rsidRPr="00941299">
        <w:rPr>
          <w:rFonts w:cstheme="minorHAnsi"/>
          <w:color w:val="000000" w:themeColor="text1"/>
          <w:shd w:val="clear" w:color="auto" w:fill="FFFFFF"/>
        </w:rPr>
        <w:t>przygotowanych złączy, podłączenie zasilania, BMS oraz sygnałów zewnętrznych zgodnie z dokumentacją producenta.</w:t>
      </w:r>
    </w:p>
    <w:p w14:paraId="7B77A23F" w14:textId="51DAA9E1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Sekcje centrali powinny być łączone mechanicznie z wykorzystaniem aluminiowych łączników sekcyjnych o stabilnym docisku i geometrii zapewniającej zachowanie szczelności połączenia.</w:t>
      </w:r>
    </w:p>
    <w:p w14:paraId="00656642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Filtracja</w:t>
      </w:r>
    </w:p>
    <w:p w14:paraId="7AE8125C" w14:textId="7E4CD7DC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Sekcje filtracyjne nawiewu i wywiewu należy wyposażyć w filtry klasy co najmniej M5 / ePM10 55%, chyba że projekt wymaga klasy wyższej.</w:t>
      </w:r>
    </w:p>
    <w:p w14:paraId="2DA3DC00" w14:textId="04B4517F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 xml:space="preserve">Filtry powinny być montowane w ramach zapewniających stabilne osadzenie, z kontrolą stopnia zabrudzenia przez presostat lub </w:t>
      </w:r>
      <w:r w:rsidRPr="00941299">
        <w:rPr>
          <w:rFonts w:cstheme="minorHAnsi"/>
          <w:color w:val="000000" w:themeColor="text1"/>
          <w:shd w:val="clear" w:color="auto" w:fill="FFFFFF"/>
        </w:rPr>
        <w:t>przetwornik różnicy ciśnień.</w:t>
      </w:r>
    </w:p>
    <w:p w14:paraId="5116E0A5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Odzysk ciepła</w:t>
      </w:r>
      <w:r w:rsidR="00941299">
        <w:rPr>
          <w:rFonts w:cstheme="minorHAnsi"/>
          <w:color w:val="000000" w:themeColor="text1"/>
          <w:shd w:val="clear" w:color="auto" w:fill="FFFFFF"/>
        </w:rPr>
        <w:t>:</w:t>
      </w:r>
    </w:p>
    <w:p w14:paraId="270AF5AF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Odzysk ciepła należy realizować przez płytowy wymiennik krzyżowy z bypassem.</w:t>
      </w:r>
    </w:p>
    <w:p w14:paraId="18DC726C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Wymiennik krzyżowy musi zapewniać odzysk bez mieszania strumieni powietrza nawiewanego i wywiewanego.</w:t>
      </w:r>
    </w:p>
    <w:p w14:paraId="131A19CC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Sekcja wymiennika musi posiadać dostęp serwisowy oraz tacę ociekową ze stali nierdzewnej z odpływem kondensatu.</w:t>
      </w:r>
    </w:p>
    <w:p w14:paraId="67E12B11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lastRenderedPageBreak/>
        <w:t>Automatyka centrali musi sterować obejściem wymiennika i zabezpieczać wymiennik przed szronieniem.</w:t>
      </w:r>
    </w:p>
    <w:p w14:paraId="208B5893" w14:textId="2BC962D4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W wykonaniu basenowym / antykorozyjnym wymiennik krzyżowy musi mieć zabezpieczenie epoksydowe.</w:t>
      </w:r>
    </w:p>
    <w:p w14:paraId="37D7F0D1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 xml:space="preserve">Pompa </w:t>
      </w:r>
      <w:r w:rsidR="00941299">
        <w:rPr>
          <w:rFonts w:cstheme="minorHAnsi"/>
          <w:color w:val="000000" w:themeColor="text1"/>
          <w:shd w:val="clear" w:color="auto" w:fill="FFFFFF"/>
        </w:rPr>
        <w:t>ciepła:</w:t>
      </w:r>
    </w:p>
    <w:p w14:paraId="6D73AC75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Centrala </w:t>
      </w:r>
      <w:r w:rsidR="00941299" w:rsidRPr="00941299">
        <w:rPr>
          <w:rFonts w:cstheme="minorHAnsi"/>
          <w:color w:val="000000" w:themeColor="text1"/>
          <w:shd w:val="clear" w:color="auto" w:fill="FFFFFF"/>
        </w:rPr>
        <w:t>zawiera wysoce</w:t>
      </w:r>
      <w:r w:rsidRPr="00941299">
        <w:rPr>
          <w:rFonts w:cstheme="minorHAnsi"/>
          <w:color w:val="000000" w:themeColor="text1"/>
          <w:shd w:val="clear" w:color="auto" w:fill="FFFFFF"/>
        </w:rPr>
        <w:t xml:space="preserve"> sprawną odwracalną pompę ciepła o współczynniku COP zbliżonym do 6. </w:t>
      </w:r>
    </w:p>
    <w:p w14:paraId="25ED14B5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Pompa ciepła musi pracować efektywnie w zakresie - 24°C do +35°C, przy limitowanej do 50% ilości świeżego powietrza. </w:t>
      </w:r>
    </w:p>
    <w:p w14:paraId="5E01B703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Fabrycznie zmontowana, gotowa do pracy sekcja pompy ciepła wraz z napełnieniem czynnikiem chłodniczym i olejem. </w:t>
      </w:r>
    </w:p>
    <w:p w14:paraId="1CC85765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Elementy pompy ciepła: sprężarka(i) typu </w:t>
      </w:r>
      <w:proofErr w:type="spellStart"/>
      <w:r w:rsidRPr="00941299">
        <w:rPr>
          <w:rFonts w:cstheme="minorHAnsi"/>
          <w:color w:val="000000" w:themeColor="text1"/>
          <w:shd w:val="clear" w:color="auto" w:fill="FFFFFF"/>
        </w:rPr>
        <w:t>scroll</w:t>
      </w:r>
      <w:proofErr w:type="spellEnd"/>
      <w:r w:rsidRPr="00941299">
        <w:rPr>
          <w:rFonts w:cstheme="minorHAnsi"/>
          <w:color w:val="000000" w:themeColor="text1"/>
          <w:shd w:val="clear" w:color="auto" w:fill="FFFFFF"/>
        </w:rPr>
        <w:t xml:space="preserve">, zawór 4 drogowy, automatyka chłodnicza, zbiornik ciekłego czynnika wraz z zaworem bezpieczeństwa, wysoko sprawne odkraplacze powietrza, </w:t>
      </w:r>
    </w:p>
    <w:p w14:paraId="7B0167AB" w14:textId="3B40937B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manometry wysokiego i niskiego </w:t>
      </w:r>
      <w:r w:rsidR="007163E2" w:rsidRPr="00941299">
        <w:rPr>
          <w:rFonts w:cstheme="minorHAnsi"/>
          <w:color w:val="000000" w:themeColor="text1"/>
          <w:shd w:val="clear" w:color="auto" w:fill="FFFFFF"/>
        </w:rPr>
        <w:t>ciśnienia wyprowadzone</w:t>
      </w:r>
      <w:r w:rsidRPr="00941299">
        <w:rPr>
          <w:rFonts w:cstheme="minorHAnsi"/>
          <w:color w:val="000000" w:themeColor="text1"/>
          <w:shd w:val="clear" w:color="auto" w:fill="FFFFFF"/>
        </w:rPr>
        <w:t xml:space="preserve"> na zewnętrzną stronę obudowy centrali w celu wizualnej kontroli stanu pracy urządzenia podczas pracy układu chłodniczego. </w:t>
      </w:r>
    </w:p>
    <w:p w14:paraId="4AB172D1" w14:textId="5A3D415D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Całkowicie zabezpieczony przeciw warunkom basenowym parownik i skraplacz.</w:t>
      </w:r>
    </w:p>
    <w:p w14:paraId="3DF5C62A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Nagrzewnice i tace ociekowe</w:t>
      </w:r>
      <w:r w:rsidR="00941299">
        <w:rPr>
          <w:rFonts w:cstheme="minorHAnsi"/>
          <w:color w:val="000000" w:themeColor="text1"/>
          <w:shd w:val="clear" w:color="auto" w:fill="FFFFFF"/>
        </w:rPr>
        <w:t>:</w:t>
      </w:r>
    </w:p>
    <w:p w14:paraId="3D3A6D63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W zależności od funkcji centrali należy przewidzieć nagrzewnice wodne lub elektryczne,</w:t>
      </w:r>
    </w:p>
    <w:p w14:paraId="6AF74766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Wymienniki wodne i freonowe muszą posiadać ramki ze stali nierdzewnej 304 oraz lamele zabezpieczone epoksydowo.</w:t>
      </w:r>
    </w:p>
    <w:p w14:paraId="14F71D80" w14:textId="2EBB8558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Nagrzewnice wodne muszą posiadać zabezpieczenie </w:t>
      </w:r>
      <w:proofErr w:type="spellStart"/>
      <w:r w:rsidRPr="00941299">
        <w:rPr>
          <w:rFonts w:cstheme="minorHAnsi"/>
          <w:color w:val="000000" w:themeColor="text1"/>
          <w:shd w:val="clear" w:color="auto" w:fill="FFFFFF"/>
        </w:rPr>
        <w:t>przeciwzamrożeniowe</w:t>
      </w:r>
      <w:proofErr w:type="spellEnd"/>
      <w:r w:rsidRPr="00941299">
        <w:rPr>
          <w:rFonts w:cstheme="minorHAnsi"/>
          <w:color w:val="000000" w:themeColor="text1"/>
          <w:shd w:val="clear" w:color="auto" w:fill="FFFFFF"/>
        </w:rPr>
        <w:t xml:space="preserve"> realizowane przez automatykę centrali.</w:t>
      </w:r>
    </w:p>
    <w:p w14:paraId="67F7BE7D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Wentylatory</w:t>
      </w:r>
      <w:r w:rsidR="00941299">
        <w:rPr>
          <w:rFonts w:cstheme="minorHAnsi"/>
          <w:color w:val="000000" w:themeColor="text1"/>
          <w:shd w:val="clear" w:color="auto" w:fill="FFFFFF"/>
        </w:rPr>
        <w:t>:</w:t>
      </w:r>
    </w:p>
    <w:p w14:paraId="13FC28A1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Wentylatory powinny być promieniowe, z napędem bezpośrednim i silnikami EC, wyważone statycznie i dynamicznie oraz zgodne z wymaganiami </w:t>
      </w:r>
      <w:proofErr w:type="spellStart"/>
      <w:r w:rsidRPr="00941299">
        <w:rPr>
          <w:rFonts w:cstheme="minorHAnsi"/>
          <w:color w:val="000000" w:themeColor="text1"/>
          <w:shd w:val="clear" w:color="auto" w:fill="FFFFFF"/>
        </w:rPr>
        <w:t>ErP</w:t>
      </w:r>
      <w:proofErr w:type="spellEnd"/>
      <w:r w:rsidRPr="00941299">
        <w:rPr>
          <w:rFonts w:cstheme="minorHAnsi"/>
          <w:color w:val="000000" w:themeColor="text1"/>
          <w:shd w:val="clear" w:color="auto" w:fill="FFFFFF"/>
        </w:rPr>
        <w:t>.</w:t>
      </w:r>
    </w:p>
    <w:p w14:paraId="178E1C9B" w14:textId="3455BD9A" w:rsidR="00B54BA8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Układ wentylatorowy musi umożliwiać płynną regulację wydajności, pracę według zadanego wydatku, ciśnienia lub sygnału zapotrzebowania oraz kompensację wzrostu oporów filtrów.</w:t>
      </w:r>
    </w:p>
    <w:p w14:paraId="02F460D2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426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Przepustnice</w:t>
      </w:r>
      <w:r w:rsidR="00941299">
        <w:rPr>
          <w:rFonts w:cstheme="minorHAnsi"/>
          <w:color w:val="000000" w:themeColor="text1"/>
          <w:shd w:val="clear" w:color="auto" w:fill="FFFFFF"/>
        </w:rPr>
        <w:t>:</w:t>
      </w:r>
    </w:p>
    <w:p w14:paraId="12ED0DC1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Przepustnice wielopłaszczyznowe muszą być wykonane jako aluminiowe, z</w:t>
      </w:r>
      <w:r w:rsidR="00941299">
        <w:rPr>
          <w:rFonts w:cstheme="minorHAnsi"/>
          <w:color w:val="000000" w:themeColor="text1"/>
          <w:shd w:val="clear" w:color="auto" w:fill="FFFFFF"/>
        </w:rPr>
        <w:t> </w:t>
      </w:r>
      <w:r w:rsidRPr="00941299">
        <w:rPr>
          <w:rFonts w:cstheme="minorHAnsi"/>
          <w:color w:val="000000" w:themeColor="text1"/>
          <w:shd w:val="clear" w:color="auto" w:fill="FFFFFF"/>
        </w:rPr>
        <w:t xml:space="preserve">mechanizmami przeniesienia napędu ukrytymi w profilach piór lub ramy. Rozwiązanie </w:t>
      </w:r>
      <w:r w:rsidRPr="00941299">
        <w:rPr>
          <w:rFonts w:cstheme="minorHAnsi"/>
          <w:color w:val="000000" w:themeColor="text1"/>
          <w:shd w:val="clear" w:color="auto" w:fill="FFFFFF"/>
        </w:rPr>
        <w:lastRenderedPageBreak/>
        <w:t>to ma ograniczać zabrudzenie, zużycie i ekspozycję mechanizmu na warunki eksploatacyjne.</w:t>
      </w:r>
    </w:p>
    <w:p w14:paraId="24889482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Pióra przepustnic powinny mieć kształt ograniczający opór przepływu w pozycji otwartej oraz uszczelnienia zapewniające wysoką szczelność po zamknięciu.</w:t>
      </w:r>
    </w:p>
    <w:p w14:paraId="78A1E0BF" w14:textId="1D2AA891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Nie dopuszcza się przepustnic z odkrytymi mechanizmami przeniesienia napędu narażonymi na zabrudzenie, wilgoć lub warunki atmosferyczne.</w:t>
      </w:r>
    </w:p>
    <w:p w14:paraId="1B606F28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426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Automatyka</w:t>
      </w:r>
    </w:p>
    <w:p w14:paraId="78C17AE4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Centrala w wykonaniu basenowym / antykorozyjnym musi być wyposażona w fabryczny sterownik producenta centrali z panelem dotykowym 7 cali i wbudowanym </w:t>
      </w:r>
      <w:proofErr w:type="spellStart"/>
      <w:r w:rsidRPr="00941299">
        <w:rPr>
          <w:rFonts w:cstheme="minorHAnsi"/>
          <w:color w:val="000000" w:themeColor="text1"/>
          <w:shd w:val="clear" w:color="auto" w:fill="FFFFFF"/>
        </w:rPr>
        <w:t>webserverem</w:t>
      </w:r>
      <w:proofErr w:type="spellEnd"/>
      <w:r w:rsidRPr="00941299">
        <w:rPr>
          <w:rFonts w:cstheme="minorHAnsi"/>
          <w:color w:val="000000" w:themeColor="text1"/>
          <w:shd w:val="clear" w:color="auto" w:fill="FFFFFF"/>
        </w:rPr>
        <w:t>.</w:t>
      </w:r>
    </w:p>
    <w:p w14:paraId="70058EF7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Automatyka musi umożliwiać włączenie i wyłączenie centrali, ustawienie harmonogramu pracy, podgląd wejść i wyjść, podgląd alarmów, wizualizację pracy centrali, aktualizację konfiguracji oraz zmianę parametrów regulacji zabezpieczoną hasłem.</w:t>
      </w:r>
    </w:p>
    <w:p w14:paraId="6A868C3F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Wymaga się co najmniej 3 poziomów logowania z różnymi uprawnieniami użytkownika oraz zapisu historii alarmów.</w:t>
      </w:r>
    </w:p>
    <w:p w14:paraId="2F0F55CD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Komunikacja z systemem nadrzędnym powinna być zapewniona co najmniej przez MODBUS RTU oraz MODBUS TCP/IP. </w:t>
      </w:r>
    </w:p>
    <w:p w14:paraId="4D926A99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Sterownik musi umożliwiać rozszerzenie komunikacji o dodatkowe moduły, w</w:t>
      </w:r>
      <w:r w:rsidR="00941299">
        <w:rPr>
          <w:rFonts w:cstheme="minorHAnsi"/>
          <w:color w:val="000000" w:themeColor="text1"/>
          <w:shd w:val="clear" w:color="auto" w:fill="FFFFFF"/>
        </w:rPr>
        <w:t> </w:t>
      </w:r>
      <w:r w:rsidRPr="00941299">
        <w:rPr>
          <w:rFonts w:cstheme="minorHAnsi"/>
          <w:color w:val="000000" w:themeColor="text1"/>
          <w:shd w:val="clear" w:color="auto" w:fill="FFFFFF"/>
        </w:rPr>
        <w:t xml:space="preserve">szczególności </w:t>
      </w:r>
      <w:proofErr w:type="spellStart"/>
      <w:r w:rsidRPr="00941299">
        <w:rPr>
          <w:rFonts w:cstheme="minorHAnsi"/>
          <w:color w:val="000000" w:themeColor="text1"/>
          <w:shd w:val="clear" w:color="auto" w:fill="FFFFFF"/>
        </w:rPr>
        <w:t>BACnet</w:t>
      </w:r>
      <w:proofErr w:type="spellEnd"/>
      <w:r w:rsidRPr="00941299">
        <w:rPr>
          <w:rFonts w:cstheme="minorHAnsi"/>
          <w:color w:val="000000" w:themeColor="text1"/>
          <w:shd w:val="clear" w:color="auto" w:fill="FFFFFF"/>
        </w:rPr>
        <w:t xml:space="preserve"> lub KNX.</w:t>
      </w:r>
    </w:p>
    <w:p w14:paraId="5114BAB9" w14:textId="30D2EB2D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Sterownik powinien umożliwiać obsługę przetworników ciśnienia, wilgotności i CO2, regulację wentylatorów EC, sterowanie nagrzewnicą, chłodnicą, przepustnicami, odzyskiem ciepła, obejściem wymiennika, komorą mieszania, układami VAV oraz układami utrzymania różnicy ciśnień</w:t>
      </w:r>
      <w:r w:rsidR="007163E2">
        <w:rPr>
          <w:rFonts w:cstheme="minorHAnsi"/>
          <w:color w:val="000000" w:themeColor="text1"/>
          <w:shd w:val="clear" w:color="auto" w:fill="FFFFFF"/>
        </w:rPr>
        <w:t>.</w:t>
      </w:r>
    </w:p>
    <w:p w14:paraId="0023E04D" w14:textId="55A25E9E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Automatyka musi umożliwiać niezależne wysterowanie dwóch stopni grzewczych.</w:t>
      </w:r>
    </w:p>
    <w:p w14:paraId="2776ADE6" w14:textId="77777777" w:rsidR="00941299" w:rsidRDefault="00F67585" w:rsidP="00941299">
      <w:pPr>
        <w:pStyle w:val="Akapitzlist"/>
        <w:numPr>
          <w:ilvl w:val="0"/>
          <w:numId w:val="33"/>
        </w:numPr>
        <w:spacing w:line="360" w:lineRule="auto"/>
        <w:ind w:left="993" w:hanging="426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Dostęp serwisowy i czyszczenie</w:t>
      </w:r>
      <w:r w:rsidR="00941299">
        <w:rPr>
          <w:rFonts w:cstheme="minorHAnsi"/>
          <w:color w:val="000000" w:themeColor="text1"/>
          <w:shd w:val="clear" w:color="auto" w:fill="FFFFFF"/>
        </w:rPr>
        <w:t>:</w:t>
      </w:r>
    </w:p>
    <w:p w14:paraId="7E845ADA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Panele serwisowe muszą być </w:t>
      </w:r>
      <w:proofErr w:type="spellStart"/>
      <w:r w:rsidRPr="00941299">
        <w:rPr>
          <w:rFonts w:cstheme="minorHAnsi"/>
          <w:color w:val="000000" w:themeColor="text1"/>
          <w:shd w:val="clear" w:color="auto" w:fill="FFFFFF"/>
        </w:rPr>
        <w:t>demontowalne</w:t>
      </w:r>
      <w:proofErr w:type="spellEnd"/>
      <w:r w:rsidRPr="00941299">
        <w:rPr>
          <w:rFonts w:cstheme="minorHAnsi"/>
          <w:color w:val="000000" w:themeColor="text1"/>
          <w:shd w:val="clear" w:color="auto" w:fill="FFFFFF"/>
        </w:rPr>
        <w:t xml:space="preserve"> od strony obsługowej. </w:t>
      </w:r>
    </w:p>
    <w:p w14:paraId="3A210E56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Przy zastosowaniu więcej niż jednego wentylatora w danym torze powietrza wymaga się dostępu rewizyjnego z obu stron centrali.</w:t>
      </w:r>
    </w:p>
    <w:p w14:paraId="47502E43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 xml:space="preserve">Wymienniki ciepła, nagrzewnice i chłodnice powinny być wysuwane lub </w:t>
      </w:r>
      <w:proofErr w:type="spellStart"/>
      <w:r w:rsidRPr="00941299">
        <w:rPr>
          <w:rFonts w:cstheme="minorHAnsi"/>
          <w:color w:val="000000" w:themeColor="text1"/>
          <w:shd w:val="clear" w:color="auto" w:fill="FFFFFF"/>
        </w:rPr>
        <w:t>demontowalne</w:t>
      </w:r>
      <w:proofErr w:type="spellEnd"/>
      <w:r w:rsidRPr="00941299">
        <w:rPr>
          <w:rFonts w:cstheme="minorHAnsi"/>
          <w:color w:val="000000" w:themeColor="text1"/>
          <w:shd w:val="clear" w:color="auto" w:fill="FFFFFF"/>
        </w:rPr>
        <w:t xml:space="preserve"> w sposób umożliwiający czyszczenie, kontrolę i wymianę bez rozbierania sąsiednich sekcji urządzenia.</w:t>
      </w:r>
    </w:p>
    <w:p w14:paraId="4B3659CB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Nie dopuszcza się odkrytej izolacji termicznej w strumieniu powietrza ani rozwiązań tworzących niekontrolowane przestrzenie gromadzenia pyłu lub wilgoci.</w:t>
      </w:r>
    </w:p>
    <w:p w14:paraId="7D09A0AD" w14:textId="77777777" w:rsid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lastRenderedPageBreak/>
        <w:t xml:space="preserve">Tace ociekowe, wanny kondensatu i elementy odprowadzające skropliny muszą być wykonane ze stali nierdzewnej. </w:t>
      </w:r>
    </w:p>
    <w:p w14:paraId="7348CFC8" w14:textId="59129B45" w:rsidR="00F67585" w:rsidRPr="00941299" w:rsidRDefault="00F67585" w:rsidP="00941299">
      <w:pPr>
        <w:pStyle w:val="Akapitzlist"/>
        <w:numPr>
          <w:ilvl w:val="1"/>
          <w:numId w:val="33"/>
        </w:numPr>
        <w:spacing w:line="360" w:lineRule="auto"/>
        <w:ind w:left="1276" w:hanging="283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Nie dopuszcza się tac ociekowych z materiałów podatnych na korozję.</w:t>
      </w:r>
    </w:p>
    <w:p w14:paraId="7AEEC071" w14:textId="77777777" w:rsidR="00941299" w:rsidRDefault="00F67585" w:rsidP="00941299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Wymagania dodatkowe</w:t>
      </w:r>
    </w:p>
    <w:p w14:paraId="23DAB1DD" w14:textId="77777777" w:rsidR="00941299" w:rsidRDefault="00F67585" w:rsidP="00941299">
      <w:pPr>
        <w:pStyle w:val="Akapitzlist"/>
        <w:numPr>
          <w:ilvl w:val="0"/>
          <w:numId w:val="34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Automatyka centrali musi umożliwiać regulację wilgotności na podstawie pomiaru po stronie wywiewu lub lokalnych czujników wilgotności, zgodnie z ustaleniami projektowymi i zamówieniem.</w:t>
      </w:r>
    </w:p>
    <w:p w14:paraId="56A102F8" w14:textId="0CEEE6A1" w:rsidR="00F67585" w:rsidRPr="00941299" w:rsidRDefault="00F67585" w:rsidP="00941299">
      <w:pPr>
        <w:pStyle w:val="Akapitzlist"/>
        <w:numPr>
          <w:ilvl w:val="0"/>
          <w:numId w:val="34"/>
        </w:numPr>
        <w:spacing w:line="360" w:lineRule="auto"/>
        <w:ind w:left="993" w:hanging="284"/>
        <w:jc w:val="both"/>
        <w:rPr>
          <w:rFonts w:cstheme="minorHAnsi"/>
          <w:color w:val="000000" w:themeColor="text1"/>
          <w:shd w:val="clear" w:color="auto" w:fill="FFFFFF"/>
        </w:rPr>
      </w:pPr>
      <w:r w:rsidRPr="00941299">
        <w:rPr>
          <w:rFonts w:cstheme="minorHAnsi"/>
          <w:color w:val="000000" w:themeColor="text1"/>
          <w:shd w:val="clear" w:color="auto" w:fill="FFFFFF"/>
        </w:rPr>
        <w:t>Centrala może współpracować z komorą mieszania i recyrkulacją powietrza</w:t>
      </w:r>
      <w:r w:rsidR="007163E2">
        <w:rPr>
          <w:rFonts w:cstheme="minorHAnsi"/>
          <w:color w:val="000000" w:themeColor="text1"/>
          <w:shd w:val="clear" w:color="auto" w:fill="FFFFFF"/>
        </w:rPr>
        <w:t>.</w:t>
      </w:r>
    </w:p>
    <w:p w14:paraId="14604714" w14:textId="316E1E99" w:rsidR="00F67585" w:rsidRDefault="00F67585" w:rsidP="00941299">
      <w:pPr>
        <w:pStyle w:val="Akapitzlist"/>
        <w:numPr>
          <w:ilvl w:val="0"/>
          <w:numId w:val="32"/>
        </w:numPr>
        <w:spacing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F67585">
        <w:rPr>
          <w:rFonts w:cstheme="minorHAnsi"/>
          <w:color w:val="000000" w:themeColor="text1"/>
          <w:shd w:val="clear" w:color="auto" w:fill="FFFFFF"/>
        </w:rPr>
        <w:t>Wymagania niedopuszczające</w:t>
      </w:r>
      <w:r w:rsidR="00941299">
        <w:rPr>
          <w:rFonts w:cstheme="minorHAnsi"/>
          <w:color w:val="000000" w:themeColor="text1"/>
          <w:shd w:val="clear" w:color="auto" w:fill="FFFFFF"/>
        </w:rPr>
        <w:t xml:space="preserve">: </w:t>
      </w:r>
      <w:r w:rsidRPr="00941299">
        <w:rPr>
          <w:rFonts w:cstheme="minorHAnsi"/>
          <w:color w:val="000000" w:themeColor="text1"/>
          <w:shd w:val="clear" w:color="auto" w:fill="FFFFFF"/>
        </w:rPr>
        <w:t>Nie dopuszcza się central bez certyfikatu według PN-EN 1886:2025 potwierdzającego wymagane klasy obudowy</w:t>
      </w:r>
      <w:r w:rsidR="00941299">
        <w:rPr>
          <w:rFonts w:cstheme="minorHAnsi"/>
          <w:color w:val="000000" w:themeColor="text1"/>
          <w:shd w:val="clear" w:color="auto" w:fill="FFFFFF"/>
        </w:rPr>
        <w:t>.</w:t>
      </w:r>
    </w:p>
    <w:p w14:paraId="4161FB04" w14:textId="77777777" w:rsidR="00941299" w:rsidRPr="00941299" w:rsidRDefault="00941299" w:rsidP="00941299">
      <w:pPr>
        <w:pStyle w:val="Akapitzlist"/>
        <w:spacing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</w:p>
    <w:p w14:paraId="487D1546" w14:textId="77777777" w:rsidR="00A00BCC" w:rsidRPr="005226C6" w:rsidRDefault="00A00BCC" w:rsidP="00A00BC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/>
          <w:bCs/>
          <w:shd w:val="clear" w:color="auto" w:fill="FFFFFF"/>
        </w:rPr>
      </w:pPr>
      <w:r w:rsidRPr="005226C6">
        <w:rPr>
          <w:rFonts w:cstheme="minorHAnsi"/>
          <w:b/>
          <w:bCs/>
          <w:shd w:val="clear" w:color="auto" w:fill="FFFFFF"/>
        </w:rPr>
        <w:t>CEL ZAMÓWIENIA</w:t>
      </w:r>
    </w:p>
    <w:p w14:paraId="0ECE76EE" w14:textId="1F877824" w:rsidR="001F150F" w:rsidRPr="005226C6" w:rsidRDefault="00941299" w:rsidP="007131BF">
      <w:pPr>
        <w:spacing w:line="36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941299">
        <w:rPr>
          <w:rFonts w:asciiTheme="minorHAnsi" w:hAnsiTheme="minorHAnsi" w:cstheme="minorHAnsi"/>
          <w:shd w:val="clear" w:color="auto" w:fill="FFFFFF"/>
        </w:rPr>
        <w:t>Celem zamówienia jest wymiana dotychczasowej, niewydolnej i wyeksploatowanej technicznie centrali wentylacyjnej na nowoczesne urządzenie w wykonaniu basenowym z efektywnym odzyskiem ciepła. Inwestycja ma na celu zabezpieczenie konstrukcji budynku pływalni przed negatywnym wpływem nadmiernej wilgoci oraz przywrócenie prawidłowych, zgodnych z normami parametrów mikroklimatu i wymiany powietrza na hali basenowej, co bezpośrednio przełoży się na bezpieczeństwo i komfort osób korzystających z obiektu</w:t>
      </w:r>
      <w:r w:rsidR="00CE0B32" w:rsidRPr="005226C6">
        <w:rPr>
          <w:rFonts w:asciiTheme="minorHAnsi" w:hAnsiTheme="minorHAnsi" w:cstheme="minorHAnsi"/>
          <w:shd w:val="clear" w:color="auto" w:fill="FFFFFF"/>
        </w:rPr>
        <w:t xml:space="preserve">. </w:t>
      </w:r>
    </w:p>
    <w:p w14:paraId="50E1EF24" w14:textId="77777777" w:rsidR="00BF7615" w:rsidRPr="005226C6" w:rsidRDefault="00BF7615" w:rsidP="00B54BA8">
      <w:pPr>
        <w:spacing w:line="360" w:lineRule="auto"/>
        <w:jc w:val="both"/>
        <w:rPr>
          <w:rFonts w:asciiTheme="minorHAnsi" w:hAnsiTheme="minorHAnsi" w:cstheme="minorHAnsi"/>
          <w:shd w:val="clear" w:color="auto" w:fill="FFFFFF"/>
        </w:rPr>
      </w:pPr>
    </w:p>
    <w:p w14:paraId="3659C1E4" w14:textId="1423AA24" w:rsidR="00FD08AE" w:rsidRPr="007163E2" w:rsidRDefault="00A00BCC" w:rsidP="00FD08AE">
      <w:pPr>
        <w:pStyle w:val="Akapitzlist"/>
        <w:numPr>
          <w:ilvl w:val="0"/>
          <w:numId w:val="1"/>
        </w:numPr>
        <w:spacing w:after="0" w:line="360" w:lineRule="auto"/>
        <w:ind w:left="993" w:hanging="142"/>
        <w:jc w:val="both"/>
        <w:rPr>
          <w:rFonts w:cstheme="minorHAnsi"/>
          <w:b/>
          <w:bCs/>
          <w:shd w:val="clear" w:color="auto" w:fill="FFFFFF"/>
        </w:rPr>
      </w:pPr>
      <w:r w:rsidRPr="007163E2">
        <w:rPr>
          <w:rFonts w:cstheme="minorHAnsi"/>
          <w:b/>
          <w:bCs/>
          <w:shd w:val="clear" w:color="auto" w:fill="FFFFFF"/>
        </w:rPr>
        <w:t xml:space="preserve">  INFORMACJE DODATKOWE</w:t>
      </w:r>
    </w:p>
    <w:p w14:paraId="01706FB1" w14:textId="4492C5D2" w:rsidR="002011B7" w:rsidRDefault="002011B7" w:rsidP="007163E2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7163E2">
        <w:rPr>
          <w:rFonts w:asciiTheme="minorHAnsi" w:hAnsiTheme="minorHAnsi" w:cstheme="minorHAnsi"/>
          <w:b/>
          <w:bCs/>
        </w:rPr>
        <w:t xml:space="preserve">Wykonawca zobowiązany jest do wykonania na własny koszt i ryzyko wszelkich niezbędnych prac technologicznych umożliwiających wprowadzenie nowej centrali i urządzeń do </w:t>
      </w:r>
      <w:r w:rsidR="007163E2" w:rsidRPr="007163E2">
        <w:rPr>
          <w:rFonts w:asciiTheme="minorHAnsi" w:hAnsiTheme="minorHAnsi" w:cstheme="minorHAnsi"/>
          <w:b/>
          <w:bCs/>
        </w:rPr>
        <w:t>pomieszczenia technicznego,</w:t>
      </w:r>
      <w:r w:rsidRPr="007163E2">
        <w:rPr>
          <w:rFonts w:asciiTheme="minorHAnsi" w:hAnsiTheme="minorHAnsi" w:cstheme="minorHAnsi"/>
          <w:b/>
          <w:bCs/>
        </w:rPr>
        <w:t xml:space="preserve"> w tym w szczególności do demontażu (otwarcia) luku technicznego oraz jego ponownego montażu (zamknięcia) i uszczelnienia po zakończeniu operacji transportowych, w</w:t>
      </w:r>
      <w:r w:rsidR="007163E2">
        <w:rPr>
          <w:rFonts w:asciiTheme="minorHAnsi" w:hAnsiTheme="minorHAnsi" w:cstheme="minorHAnsi"/>
          <w:b/>
          <w:bCs/>
        </w:rPr>
        <w:t> </w:t>
      </w:r>
      <w:r w:rsidRPr="007163E2">
        <w:rPr>
          <w:rFonts w:asciiTheme="minorHAnsi" w:hAnsiTheme="minorHAnsi" w:cstheme="minorHAnsi"/>
          <w:b/>
          <w:bCs/>
        </w:rPr>
        <w:t>sposób gwarantujący przywrócenie stanu pierwotnego obiektu.</w:t>
      </w:r>
    </w:p>
    <w:p w14:paraId="4A2B1F90" w14:textId="3AC9E0DF" w:rsidR="007163E2" w:rsidRPr="007163E2" w:rsidRDefault="007163E2" w:rsidP="007163E2">
      <w:pPr>
        <w:spacing w:line="360" w:lineRule="auto"/>
        <w:jc w:val="both"/>
        <w:rPr>
          <w:rFonts w:asciiTheme="minorHAnsi" w:hAnsiTheme="minorHAnsi" w:cstheme="minorHAnsi"/>
          <w:b/>
          <w:bCs/>
          <w:shd w:val="clear" w:color="auto" w:fill="FFFFFF"/>
        </w:rPr>
      </w:pPr>
      <w:r w:rsidRPr="007163E2">
        <w:rPr>
          <w:rFonts w:asciiTheme="minorHAnsi" w:hAnsiTheme="minorHAnsi" w:cstheme="minorHAnsi"/>
          <w:b/>
          <w:bCs/>
          <w:shd w:val="clear" w:color="auto" w:fill="FFFFFF"/>
        </w:rPr>
        <w:t>Wykonawca oświadcza, że zapoznał się ze stanem technicznym, konstrukcją oraz lokalizacją przedmiotowego luku technicznego podczas obowiązkowej wizji lokalnej na obiekcie przed złożeniem oferty i uwzględnił pełny koszt tych prac w cenie ryczałtowej zamówienia</w:t>
      </w:r>
      <w:r>
        <w:rPr>
          <w:rFonts w:asciiTheme="minorHAnsi" w:hAnsiTheme="minorHAnsi" w:cstheme="minorHAnsi"/>
          <w:b/>
          <w:bCs/>
          <w:shd w:val="clear" w:color="auto" w:fill="FFFFFF"/>
        </w:rPr>
        <w:t>.</w:t>
      </w:r>
    </w:p>
    <w:p w14:paraId="086CDC41" w14:textId="77777777" w:rsidR="00A00BCC" w:rsidRPr="005226C6" w:rsidRDefault="00A00BCC" w:rsidP="00BF7615">
      <w:pPr>
        <w:spacing w:line="360" w:lineRule="auto"/>
        <w:jc w:val="both"/>
        <w:rPr>
          <w:rFonts w:asciiTheme="minorHAnsi" w:hAnsiTheme="minorHAnsi" w:cstheme="minorHAnsi"/>
          <w:color w:val="EE0000"/>
          <w:shd w:val="clear" w:color="auto" w:fill="FFFFFF"/>
        </w:rPr>
      </w:pPr>
    </w:p>
    <w:p w14:paraId="34B4284D" w14:textId="68F1D965" w:rsidR="00675F03" w:rsidRPr="002011B7" w:rsidRDefault="00675F03" w:rsidP="002011B7">
      <w:pPr>
        <w:spacing w:line="360" w:lineRule="auto"/>
        <w:jc w:val="both"/>
        <w:rPr>
          <w:rFonts w:cstheme="minorHAnsi"/>
          <w:color w:val="EE0000"/>
          <w:shd w:val="clear" w:color="auto" w:fill="FFFFFF"/>
        </w:rPr>
      </w:pPr>
    </w:p>
    <w:sectPr w:rsidR="00675F03" w:rsidRPr="002011B7" w:rsidSect="00F675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417" w:footer="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8A99" w14:textId="77777777" w:rsidR="000C6471" w:rsidRDefault="000C6471" w:rsidP="00727D64">
      <w:r>
        <w:separator/>
      </w:r>
    </w:p>
  </w:endnote>
  <w:endnote w:type="continuationSeparator" w:id="0">
    <w:p w14:paraId="39447C99" w14:textId="77777777" w:rsidR="000C6471" w:rsidRDefault="000C6471" w:rsidP="0072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02D3" w14:textId="77777777" w:rsidR="00994B87" w:rsidRDefault="00994B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3E8FE" w14:textId="77777777" w:rsidR="008603EA" w:rsidRDefault="008603EA" w:rsidP="00CD20D6">
    <w:pPr>
      <w:pStyle w:val="Bezodstpw"/>
      <w:ind w:left="-709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1"/>
      <w:gridCol w:w="4431"/>
    </w:tblGrid>
    <w:tr w:rsidR="008603EA" w:rsidRPr="00217A0A" w14:paraId="50B909ED" w14:textId="77777777" w:rsidTr="00CC562C">
      <w:trPr>
        <w:trHeight w:hRule="exact" w:val="567"/>
      </w:trPr>
      <w:tc>
        <w:tcPr>
          <w:tcW w:w="4753" w:type="dxa"/>
          <w:tcBorders>
            <w:top w:val="single" w:sz="4" w:space="0" w:color="auto"/>
          </w:tcBorders>
          <w:vAlign w:val="center"/>
        </w:tcPr>
        <w:p w14:paraId="73DFB592" w14:textId="2CF31872" w:rsidR="008603EA" w:rsidRPr="00217A0A" w:rsidRDefault="008603EA" w:rsidP="00F95435">
          <w:pPr>
            <w:pStyle w:val="UM-stopka"/>
            <w:ind w:left="-113"/>
          </w:pPr>
        </w:p>
      </w:tc>
      <w:tc>
        <w:tcPr>
          <w:tcW w:w="4535" w:type="dxa"/>
          <w:tcBorders>
            <w:top w:val="single" w:sz="4" w:space="0" w:color="auto"/>
          </w:tcBorders>
          <w:vAlign w:val="center"/>
        </w:tcPr>
        <w:p w14:paraId="684596DA" w14:textId="77777777" w:rsidR="008603EA" w:rsidRPr="00217A0A" w:rsidRDefault="00A719F5" w:rsidP="005F4AF5">
          <w:pPr>
            <w:spacing w:line="240" w:lineRule="auto"/>
            <w:ind w:right="-113"/>
            <w:jc w:val="right"/>
            <w:rPr>
              <w:rFonts w:ascii="Times New Roman" w:hAnsi="Times New Roman" w:cs="Times New Roman"/>
            </w:rPr>
          </w:pPr>
          <w:r w:rsidRPr="00217A0A">
            <w:rPr>
              <w:rStyle w:val="Numerstrony"/>
            </w:rPr>
            <w:fldChar w:fldCharType="begin"/>
          </w:r>
          <w:r w:rsidR="008603EA" w:rsidRPr="00217A0A">
            <w:rPr>
              <w:rStyle w:val="Numerstrony"/>
            </w:rPr>
            <w:instrText xml:space="preserve"> PAGE </w:instrText>
          </w:r>
          <w:r w:rsidRPr="00217A0A">
            <w:rPr>
              <w:rStyle w:val="Numerstrony"/>
            </w:rPr>
            <w:fldChar w:fldCharType="separate"/>
          </w:r>
          <w:r w:rsidR="00F95435">
            <w:rPr>
              <w:rStyle w:val="Numerstrony"/>
              <w:noProof/>
            </w:rPr>
            <w:t>2</w:t>
          </w:r>
          <w:r w:rsidRPr="00217A0A">
            <w:rPr>
              <w:rStyle w:val="Numerstrony"/>
            </w:rPr>
            <w:fldChar w:fldCharType="end"/>
          </w:r>
          <w:r w:rsidR="008603EA" w:rsidRPr="00217A0A">
            <w:rPr>
              <w:rStyle w:val="Numerstrony"/>
            </w:rPr>
            <w:t>/</w:t>
          </w:r>
          <w:r w:rsidRPr="00217A0A">
            <w:rPr>
              <w:rStyle w:val="Numerstrony"/>
            </w:rPr>
            <w:fldChar w:fldCharType="begin"/>
          </w:r>
          <w:r w:rsidR="008603EA" w:rsidRPr="00217A0A">
            <w:rPr>
              <w:rStyle w:val="Numerstrony"/>
            </w:rPr>
            <w:instrText xml:space="preserve"> NUMPAGES </w:instrText>
          </w:r>
          <w:r w:rsidRPr="00217A0A">
            <w:rPr>
              <w:rStyle w:val="Numerstrony"/>
            </w:rPr>
            <w:fldChar w:fldCharType="separate"/>
          </w:r>
          <w:r w:rsidR="00F95435">
            <w:rPr>
              <w:rStyle w:val="Numerstrony"/>
              <w:noProof/>
            </w:rPr>
            <w:t>2</w:t>
          </w:r>
          <w:r w:rsidRPr="00217A0A">
            <w:rPr>
              <w:rStyle w:val="Numerstrony"/>
            </w:rPr>
            <w:fldChar w:fldCharType="end"/>
          </w:r>
        </w:p>
      </w:tc>
    </w:tr>
  </w:tbl>
  <w:p w14:paraId="65BEB60B" w14:textId="77777777" w:rsidR="00DF0209" w:rsidRPr="008603EA" w:rsidRDefault="00DF0209" w:rsidP="00CD20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2C07" w14:textId="77777777" w:rsidR="008603EA" w:rsidRDefault="008603EA" w:rsidP="005F4AF5">
    <w:pPr>
      <w:pStyle w:val="Bezodstpw"/>
      <w:ind w:left="-709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3"/>
      <w:gridCol w:w="4319"/>
    </w:tblGrid>
    <w:tr w:rsidR="008603EA" w:rsidRPr="00217A0A" w14:paraId="36A30FC1" w14:textId="77777777" w:rsidTr="00CC562C">
      <w:trPr>
        <w:trHeight w:hRule="exact" w:val="567"/>
      </w:trPr>
      <w:tc>
        <w:tcPr>
          <w:tcW w:w="4753" w:type="dxa"/>
          <w:tcBorders>
            <w:top w:val="single" w:sz="4" w:space="0" w:color="auto"/>
          </w:tcBorders>
          <w:vAlign w:val="center"/>
        </w:tcPr>
        <w:p w14:paraId="53F5CDC7" w14:textId="223F5808" w:rsidR="008603EA" w:rsidRPr="00217A0A" w:rsidRDefault="008603EA" w:rsidP="00A00BCC">
          <w:pPr>
            <w:pStyle w:val="UM-stopka"/>
            <w:rPr>
              <w:rStyle w:val="Numerstrony"/>
            </w:rPr>
          </w:pPr>
          <w:r w:rsidRPr="00217A0A">
            <w:tab/>
          </w:r>
          <w:r w:rsidRPr="00217A0A">
            <w:tab/>
          </w:r>
        </w:p>
        <w:p w14:paraId="17E41ED7" w14:textId="5A83A3E1" w:rsidR="008603EA" w:rsidRPr="00217A0A" w:rsidRDefault="008603EA" w:rsidP="00F67585">
          <w:pPr>
            <w:pStyle w:val="UM-stopka"/>
          </w:pPr>
        </w:p>
      </w:tc>
      <w:tc>
        <w:tcPr>
          <w:tcW w:w="4535" w:type="dxa"/>
          <w:tcBorders>
            <w:top w:val="single" w:sz="4" w:space="0" w:color="auto"/>
          </w:tcBorders>
          <w:vAlign w:val="center"/>
        </w:tcPr>
        <w:p w14:paraId="257FE5E4" w14:textId="77777777" w:rsidR="008603EA" w:rsidRPr="00217A0A" w:rsidRDefault="00A719F5" w:rsidP="005F4AF5">
          <w:pPr>
            <w:spacing w:line="240" w:lineRule="auto"/>
            <w:ind w:right="-113"/>
            <w:jc w:val="right"/>
            <w:rPr>
              <w:rFonts w:ascii="Times New Roman" w:hAnsi="Times New Roman" w:cs="Times New Roman"/>
            </w:rPr>
          </w:pPr>
          <w:r w:rsidRPr="00217A0A">
            <w:rPr>
              <w:rStyle w:val="Numerstrony"/>
            </w:rPr>
            <w:fldChar w:fldCharType="begin"/>
          </w:r>
          <w:r w:rsidR="008603EA" w:rsidRPr="00217A0A">
            <w:rPr>
              <w:rStyle w:val="Numerstrony"/>
            </w:rPr>
            <w:instrText xml:space="preserve"> PAGE </w:instrText>
          </w:r>
          <w:r w:rsidRPr="00217A0A">
            <w:rPr>
              <w:rStyle w:val="Numerstrony"/>
            </w:rPr>
            <w:fldChar w:fldCharType="separate"/>
          </w:r>
          <w:r w:rsidR="00461B39">
            <w:rPr>
              <w:rStyle w:val="Numerstrony"/>
              <w:noProof/>
            </w:rPr>
            <w:t>1</w:t>
          </w:r>
          <w:r w:rsidRPr="00217A0A">
            <w:rPr>
              <w:rStyle w:val="Numerstrony"/>
            </w:rPr>
            <w:fldChar w:fldCharType="end"/>
          </w:r>
          <w:r w:rsidR="008603EA" w:rsidRPr="00217A0A">
            <w:rPr>
              <w:rStyle w:val="Numerstrony"/>
            </w:rPr>
            <w:t>/</w:t>
          </w:r>
          <w:r w:rsidRPr="00217A0A">
            <w:rPr>
              <w:rStyle w:val="Numerstrony"/>
            </w:rPr>
            <w:fldChar w:fldCharType="begin"/>
          </w:r>
          <w:r w:rsidR="008603EA" w:rsidRPr="00217A0A">
            <w:rPr>
              <w:rStyle w:val="Numerstrony"/>
            </w:rPr>
            <w:instrText xml:space="preserve"> NUMPAGES </w:instrText>
          </w:r>
          <w:r w:rsidRPr="00217A0A">
            <w:rPr>
              <w:rStyle w:val="Numerstrony"/>
            </w:rPr>
            <w:fldChar w:fldCharType="separate"/>
          </w:r>
          <w:r w:rsidR="00461B39">
            <w:rPr>
              <w:rStyle w:val="Numerstrony"/>
              <w:noProof/>
            </w:rPr>
            <w:t>1</w:t>
          </w:r>
          <w:r w:rsidRPr="00217A0A">
            <w:rPr>
              <w:rStyle w:val="Numerstrony"/>
            </w:rPr>
            <w:fldChar w:fldCharType="end"/>
          </w:r>
        </w:p>
      </w:tc>
    </w:tr>
  </w:tbl>
  <w:p w14:paraId="28A0343C" w14:textId="77777777" w:rsidR="00E11A6E" w:rsidRDefault="00E11A6E" w:rsidP="008603E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5029B" w14:textId="77777777" w:rsidR="000C6471" w:rsidRDefault="000C6471" w:rsidP="00727D64">
      <w:r>
        <w:separator/>
      </w:r>
    </w:p>
  </w:footnote>
  <w:footnote w:type="continuationSeparator" w:id="0">
    <w:p w14:paraId="1E6AF2D4" w14:textId="77777777" w:rsidR="000C6471" w:rsidRDefault="000C6471" w:rsidP="00727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E8DA" w14:textId="77777777" w:rsidR="00994B87" w:rsidRDefault="00994B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F61B" w14:textId="77777777" w:rsidR="00994B87" w:rsidRDefault="00994B8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00" w:firstRow="0" w:lastRow="0" w:firstColumn="0" w:lastColumn="0" w:noHBand="0" w:noVBand="0"/>
    </w:tblPr>
    <w:tblGrid>
      <w:gridCol w:w="5211"/>
      <w:gridCol w:w="1706"/>
      <w:gridCol w:w="2155"/>
    </w:tblGrid>
    <w:tr w:rsidR="009925D1" w:rsidRPr="00AA1DD9" w14:paraId="54BC6BBA" w14:textId="77777777" w:rsidTr="0026161B">
      <w:trPr>
        <w:trHeight w:hRule="exact" w:val="1106"/>
      </w:trPr>
      <w:tc>
        <w:tcPr>
          <w:tcW w:w="5211" w:type="dxa"/>
        </w:tcPr>
        <w:p w14:paraId="1001256F" w14:textId="77777777" w:rsidR="009925D1" w:rsidRPr="00AA1DD9" w:rsidRDefault="007B0476" w:rsidP="00E9437A">
          <w:pPr>
            <w:pStyle w:val="UM-nagwek"/>
            <w:ind w:left="-108"/>
          </w:pPr>
          <w:r>
            <w:rPr>
              <w:noProof/>
            </w:rPr>
            <w:drawing>
              <wp:inline distT="0" distB="0" distL="0" distR="0" wp14:anchorId="5F213B97" wp14:editId="18F7F9A8">
                <wp:extent cx="542925" cy="609600"/>
                <wp:effectExtent l="19050" t="0" r="9525" b="0"/>
                <wp:docPr id="1382883868" name="Obraz 13828838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1" w:type="dxa"/>
          <w:gridSpan w:val="2"/>
        </w:tcPr>
        <w:p w14:paraId="1705CDFF" w14:textId="77777777" w:rsidR="009925D1" w:rsidRPr="004323C5" w:rsidRDefault="009925D1" w:rsidP="009F2E29">
          <w:pPr>
            <w:spacing w:line="240" w:lineRule="auto"/>
            <w:ind w:left="-70"/>
            <w:rPr>
              <w:sz w:val="16"/>
              <w:szCs w:val="16"/>
            </w:rPr>
          </w:pPr>
        </w:p>
      </w:tc>
    </w:tr>
    <w:tr w:rsidR="00E30055" w:rsidRPr="00994B87" w14:paraId="3378DA7C" w14:textId="77777777" w:rsidTr="0026161B">
      <w:trPr>
        <w:trHeight w:val="312"/>
      </w:trPr>
      <w:tc>
        <w:tcPr>
          <w:tcW w:w="5211" w:type="dxa"/>
          <w:vAlign w:val="bottom"/>
        </w:tcPr>
        <w:p w14:paraId="5B7DB255" w14:textId="5AA9D666" w:rsidR="00DA6A8B" w:rsidRPr="00AA1DD9" w:rsidRDefault="004673DA" w:rsidP="0026161B">
          <w:pPr>
            <w:pStyle w:val="UM-nagwek"/>
          </w:pPr>
          <w:r>
            <w:t xml:space="preserve">Miejski Ośrodek Sportu i Rekreacji </w:t>
          </w:r>
        </w:p>
      </w:tc>
      <w:tc>
        <w:tcPr>
          <w:tcW w:w="3861" w:type="dxa"/>
          <w:gridSpan w:val="2"/>
          <w:vAlign w:val="bottom"/>
        </w:tcPr>
        <w:p w14:paraId="002F5913" w14:textId="15B4C473" w:rsidR="00E30055" w:rsidRPr="00994B87" w:rsidRDefault="00A00BCC" w:rsidP="00A00BCC">
          <w:pPr>
            <w:pStyle w:val="UM-nagwek"/>
            <w:jc w:val="right"/>
          </w:pPr>
          <w:r w:rsidRPr="00994B87">
            <w:t xml:space="preserve">Załącznik </w:t>
          </w:r>
          <w:r w:rsidR="003E1626" w:rsidRPr="00994B87">
            <w:t xml:space="preserve">do </w:t>
          </w:r>
          <w:r w:rsidR="004C1A27">
            <w:t>6</w:t>
          </w:r>
          <w:r w:rsidR="00B92FC0">
            <w:t xml:space="preserve"> </w:t>
          </w:r>
          <w:r w:rsidR="003E1626" w:rsidRPr="00994B87">
            <w:t>SWZ</w:t>
          </w:r>
          <w:r w:rsidR="00B92FC0">
            <w:t>/</w:t>
          </w:r>
          <w:r w:rsidR="004C1A27">
            <w:t xml:space="preserve">nr 3 do </w:t>
          </w:r>
          <w:r w:rsidR="00B92FC0">
            <w:t>umowy</w:t>
          </w:r>
        </w:p>
      </w:tc>
    </w:tr>
    <w:tr w:rsidR="00DA6A8B" w:rsidRPr="00994B87" w14:paraId="10545AF4" w14:textId="77777777" w:rsidTr="0026161B">
      <w:trPr>
        <w:trHeight w:val="1582"/>
      </w:trPr>
      <w:tc>
        <w:tcPr>
          <w:tcW w:w="5211" w:type="dxa"/>
        </w:tcPr>
        <w:p w14:paraId="3E62A3CF" w14:textId="5513C3A7" w:rsidR="00DA6A8B" w:rsidRPr="004673DA" w:rsidRDefault="004673DA" w:rsidP="004673DA">
          <w:pPr>
            <w:pStyle w:val="Legenda"/>
            <w:spacing w:line="288" w:lineRule="auto"/>
            <w:ind w:left="-113"/>
            <w:jc w:val="left"/>
            <w:rPr>
              <w:b w:val="0"/>
              <w:sz w:val="18"/>
              <w:szCs w:val="18"/>
            </w:rPr>
          </w:pPr>
          <w:bookmarkStart w:id="2" w:name="PISMO_ADRES"/>
          <w:r>
            <w:t>w Rybniku</w:t>
          </w:r>
          <w:r w:rsidR="00DA6A8B" w:rsidRPr="00AA1DD9">
            <w:rPr>
              <w:b w:val="0"/>
              <w:sz w:val="18"/>
              <w:szCs w:val="18"/>
            </w:rPr>
            <w:br/>
            <w:t xml:space="preserve">  </w:t>
          </w:r>
          <w:r w:rsidR="00DA6A8B" w:rsidRPr="00AA1DD9">
            <w:rPr>
              <w:b w:val="0"/>
              <w:sz w:val="18"/>
              <w:szCs w:val="18"/>
            </w:rPr>
            <w:br/>
            <w:t>44-200 Rybnik, ul.</w:t>
          </w:r>
          <w:r>
            <w:rPr>
              <w:b w:val="0"/>
              <w:sz w:val="18"/>
              <w:szCs w:val="18"/>
            </w:rPr>
            <w:t xml:space="preserve"> </w:t>
          </w:r>
          <w:r w:rsidRPr="004673DA">
            <w:rPr>
              <w:b w:val="0"/>
              <w:sz w:val="18"/>
              <w:szCs w:val="18"/>
            </w:rPr>
            <w:t>Gliwicka</w:t>
          </w:r>
          <w:r>
            <w:rPr>
              <w:b w:val="0"/>
              <w:sz w:val="18"/>
              <w:szCs w:val="18"/>
            </w:rPr>
            <w:t xml:space="preserve"> 72</w:t>
          </w:r>
          <w:r w:rsidR="00DA6A8B" w:rsidRPr="004673DA">
            <w:rPr>
              <w:b w:val="0"/>
              <w:sz w:val="18"/>
              <w:szCs w:val="18"/>
            </w:rPr>
            <w:br/>
            <w:t xml:space="preserve">t </w:t>
          </w:r>
          <w:r w:rsidRPr="004673DA">
            <w:rPr>
              <w:b w:val="0"/>
              <w:sz w:val="18"/>
              <w:szCs w:val="18"/>
            </w:rPr>
            <w:t>+48 32 422 78 53</w:t>
          </w:r>
          <w:r w:rsidR="00DA6A8B" w:rsidRPr="004673DA">
            <w:rPr>
              <w:b w:val="0"/>
              <w:sz w:val="18"/>
              <w:szCs w:val="18"/>
            </w:rPr>
            <w:br/>
          </w:r>
          <w:r w:rsidRPr="004673DA">
            <w:rPr>
              <w:b w:val="0"/>
              <w:sz w:val="18"/>
              <w:szCs w:val="18"/>
            </w:rPr>
            <w:t>sekretariat@mosir.rybnik.pl</w:t>
          </w:r>
          <w:bookmarkEnd w:id="2"/>
        </w:p>
        <w:p w14:paraId="69331F7A" w14:textId="77777777" w:rsidR="009F2E29" w:rsidRPr="004673DA" w:rsidRDefault="009F2E29" w:rsidP="002062D1">
          <w:pPr>
            <w:pStyle w:val="UM-nagwek"/>
          </w:pPr>
        </w:p>
      </w:tc>
      <w:tc>
        <w:tcPr>
          <w:tcW w:w="3861" w:type="dxa"/>
          <w:gridSpan w:val="2"/>
        </w:tcPr>
        <w:p w14:paraId="694B7F02" w14:textId="77777777" w:rsidR="00DA6A8B" w:rsidRPr="00994B87" w:rsidRDefault="00B5617E" w:rsidP="002E0D6A">
          <w:pPr>
            <w:pStyle w:val="Nagwek"/>
            <w:spacing w:before="60" w:line="288" w:lineRule="auto"/>
            <w:ind w:left="-113" w:right="-74"/>
            <w:rPr>
              <w:b/>
              <w:sz w:val="18"/>
              <w:szCs w:val="18"/>
            </w:rPr>
          </w:pPr>
          <w:r w:rsidRPr="00994B87">
            <w:rPr>
              <w:b/>
              <w:sz w:val="18"/>
              <w:szCs w:val="18"/>
            </w:rPr>
            <w:br/>
          </w:r>
          <w:bookmarkStart w:id="3" w:name="PISMO_ADRESAT"/>
          <w:bookmarkEnd w:id="3"/>
        </w:p>
      </w:tc>
    </w:tr>
    <w:tr w:rsidR="00422233" w:rsidRPr="0026161B" w14:paraId="7320E2AE" w14:textId="77777777" w:rsidTr="0026161B">
      <w:trPr>
        <w:trHeight w:hRule="exact" w:val="397"/>
      </w:trPr>
      <w:tc>
        <w:tcPr>
          <w:tcW w:w="5211" w:type="dxa"/>
          <w:vAlign w:val="center"/>
        </w:tcPr>
        <w:p w14:paraId="0F31F359" w14:textId="77777777" w:rsidR="00422233" w:rsidRPr="004673DA" w:rsidRDefault="00422233" w:rsidP="0026161B">
          <w:pPr>
            <w:pStyle w:val="UM-nagwek"/>
            <w:rPr>
              <w:rFonts w:ascii="Times New Roman" w:hAnsi="Times New Roman" w:cs="Times New Roman"/>
              <w:sz w:val="20"/>
              <w:szCs w:val="20"/>
            </w:rPr>
          </w:pPr>
          <w:bookmarkStart w:id="4" w:name="PISMO_ZNAK_SPRAWY"/>
          <w:bookmarkEnd w:id="4"/>
        </w:p>
      </w:tc>
      <w:tc>
        <w:tcPr>
          <w:tcW w:w="1706" w:type="dxa"/>
          <w:vAlign w:val="center"/>
        </w:tcPr>
        <w:p w14:paraId="0A51535C" w14:textId="5EAE4F9C" w:rsidR="00431135" w:rsidRPr="0026161B" w:rsidRDefault="00431135" w:rsidP="009D60FF">
          <w:pPr>
            <w:pStyle w:val="UM-nagwek"/>
            <w:ind w:left="0" w:right="-103"/>
            <w:rPr>
              <w:rFonts w:ascii="Times New Roman" w:hAnsi="Times New Roman" w:cs="Times New Roman"/>
              <w:b w:val="0"/>
              <w:sz w:val="20"/>
              <w:szCs w:val="20"/>
            </w:rPr>
          </w:pPr>
        </w:p>
      </w:tc>
      <w:tc>
        <w:tcPr>
          <w:tcW w:w="2155" w:type="dxa"/>
          <w:vAlign w:val="center"/>
        </w:tcPr>
        <w:p w14:paraId="6CF7A279" w14:textId="665ED215" w:rsidR="00422233" w:rsidRPr="0026161B" w:rsidRDefault="00422233" w:rsidP="009B4063">
          <w:pPr>
            <w:pStyle w:val="UM-nagwek"/>
            <w:ind w:right="-75"/>
            <w:jc w:val="right"/>
            <w:rPr>
              <w:rFonts w:ascii="Times New Roman" w:hAnsi="Times New Roman" w:cs="Times New Roman"/>
              <w:b w:val="0"/>
              <w:sz w:val="20"/>
              <w:szCs w:val="20"/>
            </w:rPr>
          </w:pPr>
        </w:p>
      </w:tc>
    </w:tr>
    <w:tr w:rsidR="00EA5BE5" w:rsidRPr="00D54260" w14:paraId="298BF539" w14:textId="77777777" w:rsidTr="00141996">
      <w:trPr>
        <w:trHeight w:hRule="exact" w:val="584"/>
      </w:trPr>
      <w:tc>
        <w:tcPr>
          <w:tcW w:w="9072" w:type="dxa"/>
          <w:gridSpan w:val="3"/>
        </w:tcPr>
        <w:p w14:paraId="4FA52E9D" w14:textId="77777777" w:rsidR="0026161B" w:rsidRDefault="0026161B" w:rsidP="00853100">
          <w:pPr>
            <w:pStyle w:val="Legenda"/>
            <w:spacing w:line="240" w:lineRule="auto"/>
            <w:ind w:left="-113"/>
            <w:jc w:val="left"/>
            <w:rPr>
              <w:sz w:val="18"/>
              <w:szCs w:val="18"/>
            </w:rPr>
          </w:pPr>
        </w:p>
        <w:p w14:paraId="0EFA0B30" w14:textId="77777777" w:rsidR="00EA5BE5" w:rsidRPr="0026161B" w:rsidRDefault="0026161B" w:rsidP="0026161B">
          <w:pPr>
            <w:tabs>
              <w:tab w:val="left" w:pos="5310"/>
            </w:tabs>
          </w:pPr>
          <w:r>
            <w:tab/>
          </w:r>
        </w:p>
      </w:tc>
    </w:tr>
  </w:tbl>
  <w:p w14:paraId="3BB1DE03" w14:textId="77777777" w:rsidR="005D6C0C" w:rsidRPr="00D54260" w:rsidRDefault="005D6C0C" w:rsidP="00727D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822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5FFC"/>
    <w:multiLevelType w:val="hybridMultilevel"/>
    <w:tmpl w:val="6944B94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B97CF7"/>
    <w:multiLevelType w:val="hybridMultilevel"/>
    <w:tmpl w:val="4EDEF20E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21ADD"/>
    <w:multiLevelType w:val="hybridMultilevel"/>
    <w:tmpl w:val="6944B948"/>
    <w:lvl w:ilvl="0" w:tplc="BCE8B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C3AA2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506E8"/>
    <w:multiLevelType w:val="hybridMultilevel"/>
    <w:tmpl w:val="78445A74"/>
    <w:lvl w:ilvl="0" w:tplc="998884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89696D"/>
    <w:multiLevelType w:val="hybridMultilevel"/>
    <w:tmpl w:val="7DE8BA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CA156D"/>
    <w:multiLevelType w:val="hybridMultilevel"/>
    <w:tmpl w:val="AC8E712A"/>
    <w:lvl w:ilvl="0" w:tplc="0340E8A6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EB95757"/>
    <w:multiLevelType w:val="hybridMultilevel"/>
    <w:tmpl w:val="90B85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A436D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444A7"/>
    <w:multiLevelType w:val="hybridMultilevel"/>
    <w:tmpl w:val="20FA7AC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7319E"/>
    <w:multiLevelType w:val="hybridMultilevel"/>
    <w:tmpl w:val="2BC46D06"/>
    <w:lvl w:ilvl="0" w:tplc="8DA217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CC6EF2"/>
    <w:multiLevelType w:val="hybridMultilevel"/>
    <w:tmpl w:val="07FA4C5E"/>
    <w:lvl w:ilvl="0" w:tplc="BD6C82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3D2A5E"/>
    <w:multiLevelType w:val="hybridMultilevel"/>
    <w:tmpl w:val="971239D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D65D90"/>
    <w:multiLevelType w:val="hybridMultilevel"/>
    <w:tmpl w:val="638A19E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BBC7D4B"/>
    <w:multiLevelType w:val="hybridMultilevel"/>
    <w:tmpl w:val="B5E2437E"/>
    <w:lvl w:ilvl="0" w:tplc="8DA217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0D0567"/>
    <w:multiLevelType w:val="hybridMultilevel"/>
    <w:tmpl w:val="553649A2"/>
    <w:lvl w:ilvl="0" w:tplc="C00C2B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630B67"/>
    <w:multiLevelType w:val="hybridMultilevel"/>
    <w:tmpl w:val="454AA1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91CFF"/>
    <w:multiLevelType w:val="hybridMultilevel"/>
    <w:tmpl w:val="4EDEF20E"/>
    <w:lvl w:ilvl="0" w:tplc="62F4C7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44D7C32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349E1"/>
    <w:multiLevelType w:val="hybridMultilevel"/>
    <w:tmpl w:val="6944B94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8E7800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602C4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D2790"/>
    <w:multiLevelType w:val="hybridMultilevel"/>
    <w:tmpl w:val="AC8E712A"/>
    <w:lvl w:ilvl="0" w:tplc="FFFFFFFF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52647BA6"/>
    <w:multiLevelType w:val="hybridMultilevel"/>
    <w:tmpl w:val="971239D0"/>
    <w:lvl w:ilvl="0" w:tplc="8DA217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3045A5"/>
    <w:multiLevelType w:val="hybridMultilevel"/>
    <w:tmpl w:val="06B0F854"/>
    <w:lvl w:ilvl="0" w:tplc="4A945F7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656222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77D93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1013A"/>
    <w:multiLevelType w:val="hybridMultilevel"/>
    <w:tmpl w:val="DCD8DD0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9437FE"/>
    <w:multiLevelType w:val="hybridMultilevel"/>
    <w:tmpl w:val="3DF422C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450D72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9042A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636D0"/>
    <w:multiLevelType w:val="hybridMultilevel"/>
    <w:tmpl w:val="B2AE584E"/>
    <w:lvl w:ilvl="0" w:tplc="521C5C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6B77F8"/>
    <w:multiLevelType w:val="hybridMultilevel"/>
    <w:tmpl w:val="49A0EB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E490F2B"/>
    <w:multiLevelType w:val="hybridMultilevel"/>
    <w:tmpl w:val="10B67D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7745">
    <w:abstractNumId w:val="17"/>
  </w:num>
  <w:num w:numId="2" w16cid:durableId="627668252">
    <w:abstractNumId w:val="7"/>
  </w:num>
  <w:num w:numId="3" w16cid:durableId="2060547993">
    <w:abstractNumId w:val="26"/>
  </w:num>
  <w:num w:numId="4" w16cid:durableId="1233127130">
    <w:abstractNumId w:val="22"/>
  </w:num>
  <w:num w:numId="5" w16cid:durableId="1273436512">
    <w:abstractNumId w:val="27"/>
  </w:num>
  <w:num w:numId="6" w16cid:durableId="121389731">
    <w:abstractNumId w:val="34"/>
  </w:num>
  <w:num w:numId="7" w16cid:durableId="55785520">
    <w:abstractNumId w:val="30"/>
  </w:num>
  <w:num w:numId="8" w16cid:durableId="327289146">
    <w:abstractNumId w:val="4"/>
  </w:num>
  <w:num w:numId="9" w16cid:durableId="185875482">
    <w:abstractNumId w:val="16"/>
  </w:num>
  <w:num w:numId="10" w16cid:durableId="1511944871">
    <w:abstractNumId w:val="5"/>
  </w:num>
  <w:num w:numId="11" w16cid:durableId="144055883">
    <w:abstractNumId w:val="3"/>
  </w:num>
  <w:num w:numId="12" w16cid:durableId="417291852">
    <w:abstractNumId w:val="8"/>
  </w:num>
  <w:num w:numId="13" w16cid:durableId="1067456465">
    <w:abstractNumId w:val="28"/>
  </w:num>
  <w:num w:numId="14" w16cid:durableId="1697122697">
    <w:abstractNumId w:val="9"/>
  </w:num>
  <w:num w:numId="15" w16cid:durableId="1783842781">
    <w:abstractNumId w:val="23"/>
  </w:num>
  <w:num w:numId="16" w16cid:durableId="1676422040">
    <w:abstractNumId w:val="21"/>
  </w:num>
  <w:num w:numId="17" w16cid:durableId="2107537329">
    <w:abstractNumId w:val="31"/>
  </w:num>
  <w:num w:numId="18" w16cid:durableId="1872180840">
    <w:abstractNumId w:val="19"/>
  </w:num>
  <w:num w:numId="19" w16cid:durableId="1866626593">
    <w:abstractNumId w:val="32"/>
  </w:num>
  <w:num w:numId="20" w16cid:durableId="84308433">
    <w:abstractNumId w:val="18"/>
  </w:num>
  <w:num w:numId="21" w16cid:durableId="1472595071">
    <w:abstractNumId w:val="25"/>
  </w:num>
  <w:num w:numId="22" w16cid:durableId="580918125">
    <w:abstractNumId w:val="12"/>
  </w:num>
  <w:num w:numId="23" w16cid:durableId="1954939931">
    <w:abstractNumId w:val="2"/>
  </w:num>
  <w:num w:numId="24" w16cid:durableId="1947271379">
    <w:abstractNumId w:val="24"/>
  </w:num>
  <w:num w:numId="25" w16cid:durableId="185099124">
    <w:abstractNumId w:val="13"/>
  </w:num>
  <w:num w:numId="26" w16cid:durableId="2030134540">
    <w:abstractNumId w:val="15"/>
  </w:num>
  <w:num w:numId="27" w16cid:durableId="879973411">
    <w:abstractNumId w:val="11"/>
  </w:num>
  <w:num w:numId="28" w16cid:durableId="111747314">
    <w:abstractNumId w:val="20"/>
  </w:num>
  <w:num w:numId="29" w16cid:durableId="76101810">
    <w:abstractNumId w:val="1"/>
  </w:num>
  <w:num w:numId="30" w16cid:durableId="1945532814">
    <w:abstractNumId w:val="29"/>
  </w:num>
  <w:num w:numId="31" w16cid:durableId="991717656">
    <w:abstractNumId w:val="10"/>
  </w:num>
  <w:num w:numId="32" w16cid:durableId="108665838">
    <w:abstractNumId w:val="0"/>
  </w:num>
  <w:num w:numId="33" w16cid:durableId="659847864">
    <w:abstractNumId w:val="14"/>
  </w:num>
  <w:num w:numId="34" w16cid:durableId="1026053432">
    <w:abstractNumId w:val="33"/>
  </w:num>
  <w:num w:numId="35" w16cid:durableId="1311639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CE"/>
    <w:rsid w:val="00007745"/>
    <w:rsid w:val="00014EE0"/>
    <w:rsid w:val="00015B62"/>
    <w:rsid w:val="00016A86"/>
    <w:rsid w:val="000459A5"/>
    <w:rsid w:val="000476FD"/>
    <w:rsid w:val="00054DB1"/>
    <w:rsid w:val="00063A4C"/>
    <w:rsid w:val="00070047"/>
    <w:rsid w:val="000808CE"/>
    <w:rsid w:val="000A7006"/>
    <w:rsid w:val="000B5F94"/>
    <w:rsid w:val="000C14A7"/>
    <w:rsid w:val="000C6471"/>
    <w:rsid w:val="000E2E8D"/>
    <w:rsid w:val="000E5380"/>
    <w:rsid w:val="000E5CF8"/>
    <w:rsid w:val="000F315D"/>
    <w:rsid w:val="000F6DA6"/>
    <w:rsid w:val="00120807"/>
    <w:rsid w:val="0012359C"/>
    <w:rsid w:val="00141996"/>
    <w:rsid w:val="001430D0"/>
    <w:rsid w:val="00150DCF"/>
    <w:rsid w:val="00152D6F"/>
    <w:rsid w:val="0015485D"/>
    <w:rsid w:val="001630BB"/>
    <w:rsid w:val="00183E1E"/>
    <w:rsid w:val="001A0256"/>
    <w:rsid w:val="001B0FB4"/>
    <w:rsid w:val="001B11C2"/>
    <w:rsid w:val="001B355C"/>
    <w:rsid w:val="001C2C36"/>
    <w:rsid w:val="001D2B50"/>
    <w:rsid w:val="001D2CFF"/>
    <w:rsid w:val="001D5B2B"/>
    <w:rsid w:val="001F150F"/>
    <w:rsid w:val="001F4C08"/>
    <w:rsid w:val="001F4EF2"/>
    <w:rsid w:val="002011B7"/>
    <w:rsid w:val="002062D1"/>
    <w:rsid w:val="00216D58"/>
    <w:rsid w:val="00217A0A"/>
    <w:rsid w:val="0022051A"/>
    <w:rsid w:val="00253ED1"/>
    <w:rsid w:val="0026161B"/>
    <w:rsid w:val="00267A24"/>
    <w:rsid w:val="00274CF3"/>
    <w:rsid w:val="002810D6"/>
    <w:rsid w:val="00286E84"/>
    <w:rsid w:val="002937F2"/>
    <w:rsid w:val="0029650E"/>
    <w:rsid w:val="002A231C"/>
    <w:rsid w:val="002B1E86"/>
    <w:rsid w:val="002B66F9"/>
    <w:rsid w:val="002D0355"/>
    <w:rsid w:val="002D1D25"/>
    <w:rsid w:val="002E0D6A"/>
    <w:rsid w:val="002E5C9C"/>
    <w:rsid w:val="002F2D22"/>
    <w:rsid w:val="0030259D"/>
    <w:rsid w:val="00315C32"/>
    <w:rsid w:val="00316E5A"/>
    <w:rsid w:val="00326ACE"/>
    <w:rsid w:val="00340513"/>
    <w:rsid w:val="00352399"/>
    <w:rsid w:val="003533DE"/>
    <w:rsid w:val="00371FCE"/>
    <w:rsid w:val="00375A0F"/>
    <w:rsid w:val="00390EB5"/>
    <w:rsid w:val="003A2C1B"/>
    <w:rsid w:val="003A776C"/>
    <w:rsid w:val="003D24FE"/>
    <w:rsid w:val="003D356A"/>
    <w:rsid w:val="003E1626"/>
    <w:rsid w:val="003F1DDE"/>
    <w:rsid w:val="0040265E"/>
    <w:rsid w:val="00405027"/>
    <w:rsid w:val="00411C7B"/>
    <w:rsid w:val="00422233"/>
    <w:rsid w:val="004225FF"/>
    <w:rsid w:val="00431135"/>
    <w:rsid w:val="004323C5"/>
    <w:rsid w:val="004357AD"/>
    <w:rsid w:val="00442AE8"/>
    <w:rsid w:val="00447B91"/>
    <w:rsid w:val="0045761F"/>
    <w:rsid w:val="00461B39"/>
    <w:rsid w:val="0046545C"/>
    <w:rsid w:val="004673DA"/>
    <w:rsid w:val="00471C4F"/>
    <w:rsid w:val="00494D89"/>
    <w:rsid w:val="004A0ADB"/>
    <w:rsid w:val="004C1A27"/>
    <w:rsid w:val="004E0E4B"/>
    <w:rsid w:val="004E19BD"/>
    <w:rsid w:val="005226C6"/>
    <w:rsid w:val="00526C17"/>
    <w:rsid w:val="0055234C"/>
    <w:rsid w:val="00573A9C"/>
    <w:rsid w:val="00573F8F"/>
    <w:rsid w:val="00581B06"/>
    <w:rsid w:val="00584930"/>
    <w:rsid w:val="00591F56"/>
    <w:rsid w:val="00591FF6"/>
    <w:rsid w:val="005929DB"/>
    <w:rsid w:val="00594809"/>
    <w:rsid w:val="005B7D63"/>
    <w:rsid w:val="005C043A"/>
    <w:rsid w:val="005C3784"/>
    <w:rsid w:val="005D6C0C"/>
    <w:rsid w:val="005F4A94"/>
    <w:rsid w:val="005F4AF5"/>
    <w:rsid w:val="005F7559"/>
    <w:rsid w:val="006371FE"/>
    <w:rsid w:val="006608CD"/>
    <w:rsid w:val="00675F03"/>
    <w:rsid w:val="00682597"/>
    <w:rsid w:val="006C0621"/>
    <w:rsid w:val="006D012A"/>
    <w:rsid w:val="006D4985"/>
    <w:rsid w:val="006D6224"/>
    <w:rsid w:val="006E021D"/>
    <w:rsid w:val="007038E2"/>
    <w:rsid w:val="007131BF"/>
    <w:rsid w:val="007163E2"/>
    <w:rsid w:val="00727D64"/>
    <w:rsid w:val="00733AAD"/>
    <w:rsid w:val="00736BE8"/>
    <w:rsid w:val="00750031"/>
    <w:rsid w:val="00755FD8"/>
    <w:rsid w:val="00773093"/>
    <w:rsid w:val="00785A54"/>
    <w:rsid w:val="007923C2"/>
    <w:rsid w:val="007968AB"/>
    <w:rsid w:val="007A0771"/>
    <w:rsid w:val="007B0476"/>
    <w:rsid w:val="007B2627"/>
    <w:rsid w:val="007C1CF4"/>
    <w:rsid w:val="007C3559"/>
    <w:rsid w:val="007D5CCD"/>
    <w:rsid w:val="007F144F"/>
    <w:rsid w:val="008001C0"/>
    <w:rsid w:val="00820ECF"/>
    <w:rsid w:val="00822256"/>
    <w:rsid w:val="00830445"/>
    <w:rsid w:val="008377D0"/>
    <w:rsid w:val="00853100"/>
    <w:rsid w:val="008549DB"/>
    <w:rsid w:val="008603EA"/>
    <w:rsid w:val="0086463E"/>
    <w:rsid w:val="00864DEA"/>
    <w:rsid w:val="00864FB7"/>
    <w:rsid w:val="008735B3"/>
    <w:rsid w:val="00882D88"/>
    <w:rsid w:val="00894563"/>
    <w:rsid w:val="0089726F"/>
    <w:rsid w:val="008A0971"/>
    <w:rsid w:val="008D302E"/>
    <w:rsid w:val="008E2D28"/>
    <w:rsid w:val="008E6533"/>
    <w:rsid w:val="0090260A"/>
    <w:rsid w:val="009036E2"/>
    <w:rsid w:val="0090684D"/>
    <w:rsid w:val="00907D53"/>
    <w:rsid w:val="00911E4E"/>
    <w:rsid w:val="00931FB7"/>
    <w:rsid w:val="00932F82"/>
    <w:rsid w:val="00937C52"/>
    <w:rsid w:val="00941299"/>
    <w:rsid w:val="0095667E"/>
    <w:rsid w:val="0097597E"/>
    <w:rsid w:val="0099042C"/>
    <w:rsid w:val="009925D1"/>
    <w:rsid w:val="0099409D"/>
    <w:rsid w:val="00994B87"/>
    <w:rsid w:val="009B4063"/>
    <w:rsid w:val="009C4687"/>
    <w:rsid w:val="009C516A"/>
    <w:rsid w:val="009D60FF"/>
    <w:rsid w:val="009E6BFD"/>
    <w:rsid w:val="009F2E29"/>
    <w:rsid w:val="00A00BCC"/>
    <w:rsid w:val="00A2315B"/>
    <w:rsid w:val="00A44032"/>
    <w:rsid w:val="00A45C28"/>
    <w:rsid w:val="00A45F89"/>
    <w:rsid w:val="00A71906"/>
    <w:rsid w:val="00A719F5"/>
    <w:rsid w:val="00A77EBA"/>
    <w:rsid w:val="00A84B80"/>
    <w:rsid w:val="00A8690F"/>
    <w:rsid w:val="00AA1DD9"/>
    <w:rsid w:val="00AA64C0"/>
    <w:rsid w:val="00AA6CF5"/>
    <w:rsid w:val="00AA7914"/>
    <w:rsid w:val="00AB4546"/>
    <w:rsid w:val="00AB5668"/>
    <w:rsid w:val="00AC2E88"/>
    <w:rsid w:val="00AD4877"/>
    <w:rsid w:val="00AE38B4"/>
    <w:rsid w:val="00AF1574"/>
    <w:rsid w:val="00AF384C"/>
    <w:rsid w:val="00B10AB0"/>
    <w:rsid w:val="00B31527"/>
    <w:rsid w:val="00B31659"/>
    <w:rsid w:val="00B54BA8"/>
    <w:rsid w:val="00B5617E"/>
    <w:rsid w:val="00B6570E"/>
    <w:rsid w:val="00B7013A"/>
    <w:rsid w:val="00B70DDD"/>
    <w:rsid w:val="00B72EC6"/>
    <w:rsid w:val="00B77A1C"/>
    <w:rsid w:val="00B77F08"/>
    <w:rsid w:val="00B81596"/>
    <w:rsid w:val="00B85CD7"/>
    <w:rsid w:val="00B92946"/>
    <w:rsid w:val="00B92FC0"/>
    <w:rsid w:val="00B93A84"/>
    <w:rsid w:val="00B94327"/>
    <w:rsid w:val="00B95EFB"/>
    <w:rsid w:val="00BB14B6"/>
    <w:rsid w:val="00BC0DF7"/>
    <w:rsid w:val="00BD24C7"/>
    <w:rsid w:val="00BD5566"/>
    <w:rsid w:val="00BE57B1"/>
    <w:rsid w:val="00BF7615"/>
    <w:rsid w:val="00C16D72"/>
    <w:rsid w:val="00C42EA3"/>
    <w:rsid w:val="00C45DAE"/>
    <w:rsid w:val="00C55339"/>
    <w:rsid w:val="00C604E0"/>
    <w:rsid w:val="00C7353B"/>
    <w:rsid w:val="00C74C97"/>
    <w:rsid w:val="00C94A6E"/>
    <w:rsid w:val="00CA23EE"/>
    <w:rsid w:val="00CB1D81"/>
    <w:rsid w:val="00CC562C"/>
    <w:rsid w:val="00CC6978"/>
    <w:rsid w:val="00CD20D6"/>
    <w:rsid w:val="00CE0B32"/>
    <w:rsid w:val="00D131E5"/>
    <w:rsid w:val="00D158C4"/>
    <w:rsid w:val="00D313B2"/>
    <w:rsid w:val="00D437DF"/>
    <w:rsid w:val="00D43E07"/>
    <w:rsid w:val="00D51502"/>
    <w:rsid w:val="00D54260"/>
    <w:rsid w:val="00D54EB6"/>
    <w:rsid w:val="00D76DC6"/>
    <w:rsid w:val="00D80BA3"/>
    <w:rsid w:val="00D81874"/>
    <w:rsid w:val="00D85CC6"/>
    <w:rsid w:val="00D908BD"/>
    <w:rsid w:val="00DA6A8B"/>
    <w:rsid w:val="00DB789D"/>
    <w:rsid w:val="00DB7B90"/>
    <w:rsid w:val="00DD053A"/>
    <w:rsid w:val="00DD62FC"/>
    <w:rsid w:val="00DF0209"/>
    <w:rsid w:val="00DF0573"/>
    <w:rsid w:val="00DF0CBB"/>
    <w:rsid w:val="00E11A6E"/>
    <w:rsid w:val="00E30055"/>
    <w:rsid w:val="00E347B3"/>
    <w:rsid w:val="00E40051"/>
    <w:rsid w:val="00E568A6"/>
    <w:rsid w:val="00E6496F"/>
    <w:rsid w:val="00E654EB"/>
    <w:rsid w:val="00E919F7"/>
    <w:rsid w:val="00E9437A"/>
    <w:rsid w:val="00E97878"/>
    <w:rsid w:val="00EA5BE5"/>
    <w:rsid w:val="00EB0D21"/>
    <w:rsid w:val="00EC1875"/>
    <w:rsid w:val="00EC2DFD"/>
    <w:rsid w:val="00ED0EB1"/>
    <w:rsid w:val="00ED7B66"/>
    <w:rsid w:val="00EE0C08"/>
    <w:rsid w:val="00EE3DAC"/>
    <w:rsid w:val="00EE4DC4"/>
    <w:rsid w:val="00EF55F3"/>
    <w:rsid w:val="00F06E07"/>
    <w:rsid w:val="00F07615"/>
    <w:rsid w:val="00F076D0"/>
    <w:rsid w:val="00F07B8D"/>
    <w:rsid w:val="00F35F04"/>
    <w:rsid w:val="00F51D49"/>
    <w:rsid w:val="00F54963"/>
    <w:rsid w:val="00F67585"/>
    <w:rsid w:val="00F749D1"/>
    <w:rsid w:val="00F95435"/>
    <w:rsid w:val="00F96505"/>
    <w:rsid w:val="00FB7BD4"/>
    <w:rsid w:val="00FC1788"/>
    <w:rsid w:val="00FC622E"/>
    <w:rsid w:val="00FD08AE"/>
    <w:rsid w:val="00FD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D9A85C"/>
  <w15:docId w15:val="{15750BE7-D38C-48C1-BA43-DE5439DD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/>
    <w:lsdException w:name="footer" w:semiHidden="1"/>
    <w:lsdException w:name="caption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AF5"/>
    <w:pPr>
      <w:spacing w:after="0" w:line="389" w:lineRule="exact"/>
    </w:pPr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719F5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719F5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19F5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F4AF5"/>
    <w:pPr>
      <w:keepNext/>
      <w:spacing w:before="240" w:after="60"/>
      <w:outlineLvl w:val="3"/>
    </w:pPr>
    <w:rPr>
      <w:rFonts w:asciiTheme="minorHAnsi" w:hAnsiTheme="minorHAns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719F5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A719F5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A719F5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5F4AF5"/>
    <w:rPr>
      <w:rFonts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719F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719F5"/>
    <w:rPr>
      <w:rFonts w:ascii="Times New Roman" w:hAnsi="Times New Roman" w:cs="Times New Roman"/>
      <w:sz w:val="24"/>
      <w:szCs w:val="24"/>
    </w:rPr>
  </w:style>
  <w:style w:type="paragraph" w:customStyle="1" w:styleId="Pieczatka">
    <w:name w:val="Pieczatka"/>
    <w:basedOn w:val="Normalny"/>
    <w:uiPriority w:val="99"/>
    <w:rsid w:val="00A719F5"/>
    <w:pPr>
      <w:jc w:val="center"/>
    </w:pPr>
    <w:rPr>
      <w:b/>
      <w:bCs/>
      <w:sz w:val="14"/>
      <w:szCs w:val="14"/>
    </w:rPr>
  </w:style>
  <w:style w:type="character" w:styleId="Numerstrony">
    <w:name w:val="page number"/>
    <w:basedOn w:val="Domylnaczcionkaakapitu"/>
    <w:uiPriority w:val="99"/>
    <w:rsid w:val="00A719F5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A71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719F5"/>
    <w:rPr>
      <w:rFonts w:ascii="Times New Roman" w:hAnsi="Times New Roman" w:cs="Times New Roman"/>
      <w:sz w:val="24"/>
      <w:szCs w:val="24"/>
    </w:rPr>
  </w:style>
  <w:style w:type="paragraph" w:styleId="Legenda">
    <w:name w:val="caption"/>
    <w:basedOn w:val="Normalny"/>
    <w:next w:val="Normalny"/>
    <w:link w:val="LegendaZnak"/>
    <w:uiPriority w:val="99"/>
    <w:qFormat/>
    <w:rsid w:val="00A719F5"/>
    <w:pPr>
      <w:jc w:val="right"/>
    </w:pPr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A719F5"/>
    <w:rPr>
      <w:sz w:val="12"/>
      <w:szCs w:val="1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719F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D542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D5426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6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-nagwek">
    <w:name w:val="UM-nagłówek"/>
    <w:basedOn w:val="Legenda"/>
    <w:link w:val="UM-nagwekZnak"/>
    <w:qFormat/>
    <w:rsid w:val="0026161B"/>
    <w:pPr>
      <w:spacing w:line="240" w:lineRule="auto"/>
      <w:ind w:left="-113"/>
      <w:jc w:val="left"/>
    </w:pPr>
    <w:rPr>
      <w:sz w:val="18"/>
      <w:szCs w:val="18"/>
    </w:rPr>
  </w:style>
  <w:style w:type="paragraph" w:customStyle="1" w:styleId="UM-stopka">
    <w:name w:val="UM-stopka"/>
    <w:basedOn w:val="Stopka"/>
    <w:link w:val="UM-stopkaZnak"/>
    <w:qFormat/>
    <w:rsid w:val="005F4AF5"/>
    <w:pPr>
      <w:spacing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LegendaZnak">
    <w:name w:val="Legenda Znak"/>
    <w:basedOn w:val="Domylnaczcionkaakapitu"/>
    <w:link w:val="Legenda"/>
    <w:uiPriority w:val="99"/>
    <w:locked/>
    <w:rsid w:val="0026161B"/>
    <w:rPr>
      <w:rFonts w:ascii="Arial" w:hAnsi="Arial" w:cs="Arial"/>
      <w:b/>
      <w:bCs/>
      <w:sz w:val="20"/>
      <w:szCs w:val="20"/>
    </w:rPr>
  </w:style>
  <w:style w:type="character" w:customStyle="1" w:styleId="UM-nagwekZnak">
    <w:name w:val="UM-nagłówek Znak"/>
    <w:basedOn w:val="LegendaZnak"/>
    <w:link w:val="UM-nagwek"/>
    <w:locked/>
    <w:rsid w:val="0026161B"/>
    <w:rPr>
      <w:rFonts w:ascii="Arial" w:hAnsi="Arial" w:cs="Arial"/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F4AF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5F4AF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UM-stopkaZnak">
    <w:name w:val="UM-stopka Znak"/>
    <w:basedOn w:val="StopkaZnak"/>
    <w:link w:val="UM-stopka"/>
    <w:locked/>
    <w:rsid w:val="005F4AF5"/>
    <w:rPr>
      <w:rFonts w:ascii="Times New Roman" w:hAnsi="Times New Roman" w:cs="Times New Roman"/>
      <w:sz w:val="16"/>
      <w:szCs w:val="16"/>
    </w:rPr>
  </w:style>
  <w:style w:type="paragraph" w:styleId="Bezodstpw">
    <w:name w:val="No Spacing"/>
    <w:uiPriority w:val="1"/>
    <w:qFormat/>
    <w:rsid w:val="005F4AF5"/>
    <w:pPr>
      <w:spacing w:after="0" w:line="240" w:lineRule="auto"/>
    </w:pPr>
    <w:rPr>
      <w:rFonts w:ascii="Arial" w:hAnsi="Arial" w:cs="Aria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"/>
    <w:basedOn w:val="Normalny"/>
    <w:link w:val="AkapitzlistZnak"/>
    <w:uiPriority w:val="34"/>
    <w:qFormat/>
    <w:rsid w:val="00A00B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"/>
    <w:link w:val="Akapitzlist"/>
    <w:uiPriority w:val="34"/>
    <w:qFormat/>
    <w:locked/>
    <w:rsid w:val="00A00BCC"/>
    <w:rPr>
      <w:rFonts w:eastAsiaTheme="minorHAnsi" w:cstheme="minorBidi"/>
      <w:lang w:eastAsia="en-US"/>
    </w:rPr>
  </w:style>
  <w:style w:type="paragraph" w:customStyle="1" w:styleId="Standard">
    <w:name w:val="Standard"/>
    <w:rsid w:val="0040265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rsid w:val="009412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412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29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412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41299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6</Pages>
  <Words>1461</Words>
  <Characters>8768</Characters>
  <Application>Microsoft Office Word</Application>
  <DocSecurity>0</DocSecurity>
  <Lines>73</Lines>
  <Paragraphs>20</Paragraphs>
  <ScaleCrop>false</ScaleCrop>
  <Company>Urząd Miasta Rybnik</Company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#DMAREKczy</dc:title>
  <dc:creator>NowakM</dc:creator>
  <dc:description>Identyfikator dokumentu: 634</dc:description>
  <cp:lastModifiedBy>Mosir Office 2</cp:lastModifiedBy>
  <cp:revision>40</cp:revision>
  <cp:lastPrinted>2026-08-20T09:17:00Z</cp:lastPrinted>
  <dcterms:created xsi:type="dcterms:W3CDTF">2026-03-05T13:35:00Z</dcterms:created>
  <dcterms:modified xsi:type="dcterms:W3CDTF">2026-08-24T06:57:00Z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 dokumentu" linkTarget="Dokument">
    <vt:lpwstr>#Dokument</vt:lpwstr>
  </property>
  <property fmtid="{D5CDD505-2E9C-101B-9397-08002B2CF9AE}" pid="3" name="Autor" linkTarget="Autor">
    <vt:lpwstr>#Autor</vt:lpwstr>
  </property>
</Properties>
</file>