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Fonts w:ascii="Cambria" w:hAnsi="Cambria" w:cs="Cambria"/>
          <w:sz w:val="24"/>
          <w:szCs w:val="24"/>
        </w:rPr>
      </w:pPr>
      <w:r>
        <w:rPr>
          <w:rFonts w:cs="Cambria" w:ascii="Cambria" w:hAnsi="Cambria"/>
          <w:sz w:val="24"/>
          <w:szCs w:val="24"/>
        </w:rPr>
      </w:r>
    </w:p>
    <w:p>
      <w:pPr>
        <w:pStyle w:val="Normal"/>
        <w:spacing w:lineRule="auto" w:line="240" w:before="0" w:after="0"/>
        <w:jc w:val="right"/>
        <w:rPr>
          <w:rFonts w:ascii="Cambria" w:hAnsi="Cambria" w:cs="Cambria"/>
          <w:sz w:val="24"/>
          <w:szCs w:val="24"/>
        </w:rPr>
      </w:pPr>
      <w:r>
        <w:rPr>
          <w:rFonts w:cs="Cambria" w:ascii="Cambria" w:hAnsi="Cambria"/>
          <w:sz w:val="24"/>
          <w:szCs w:val="24"/>
        </w:rPr>
        <w:t>Załącznik Nr 2 do SWZ</w:t>
      </w:r>
    </w:p>
    <w:p>
      <w:pPr>
        <w:pStyle w:val="Normal"/>
        <w:spacing w:lineRule="auto" w:line="240" w:before="0" w:after="0"/>
        <w:jc w:val="right"/>
        <w:rPr>
          <w:rFonts w:ascii="Cambria" w:hAnsi="Cambria" w:cs="Cambria"/>
          <w:sz w:val="10"/>
          <w:szCs w:val="10"/>
        </w:rPr>
      </w:pPr>
      <w:r>
        <w:rPr>
          <w:rFonts w:cs="Cambria" w:ascii="Cambria" w:hAnsi="Cambria"/>
          <w:sz w:val="10"/>
          <w:szCs w:val="10"/>
        </w:rPr>
      </w:r>
    </w:p>
    <w:p>
      <w:pPr>
        <w:pStyle w:val="BodyText"/>
        <w:pBdr>
          <w:bottom w:val="single" w:sz="4" w:space="1" w:color="000000"/>
        </w:pBdr>
        <w:spacing w:before="0" w:after="0"/>
        <w:jc w:val="center"/>
        <w:rPr>
          <w:rFonts w:ascii="Cambria" w:hAnsi="Cambria" w:cs="Cambria"/>
          <w:b/>
          <w:bCs/>
          <w:sz w:val="24"/>
          <w:szCs w:val="24"/>
        </w:rPr>
      </w:pPr>
      <w:bookmarkStart w:id="0" w:name="_Hlk90223831"/>
      <w:bookmarkEnd w:id="0"/>
      <w:r>
        <w:rPr>
          <w:rFonts w:cs="Times New Roman" w:ascii="Cambria" w:hAnsi="Cambria"/>
          <w:b/>
          <w:bCs/>
          <w:sz w:val="24"/>
          <w:szCs w:val="24"/>
        </w:rPr>
        <w:t xml:space="preserve">Projekt umowy </w:t>
      </w:r>
    </w:p>
    <w:p>
      <w:pPr>
        <w:pStyle w:val="Normal"/>
        <w:tabs>
          <w:tab w:val="clear" w:pos="708"/>
          <w:tab w:val="left" w:pos="567" w:leader="none"/>
        </w:tabs>
        <w:spacing w:before="0" w:after="0"/>
        <w:jc w:val="center"/>
        <w:rPr>
          <w:rFonts w:ascii="Cambria" w:hAnsi="Cambria" w:cs="Cambria"/>
          <w:b/>
          <w:bCs/>
          <w:color w:val="000000"/>
          <w:sz w:val="24"/>
          <w:szCs w:val="24"/>
        </w:rPr>
      </w:pPr>
      <w:r>
        <w:rPr>
          <w:rFonts w:cs="Cambria" w:ascii="Cambria" w:hAnsi="Cambria"/>
          <w:color w:val="000000"/>
          <w:sz w:val="24"/>
          <w:szCs w:val="24"/>
        </w:rPr>
        <w:t>(Numer referencyjny: PZZ.251.__.2026)</w:t>
      </w:r>
    </w:p>
    <w:p>
      <w:pPr>
        <w:pStyle w:val="Normal"/>
        <w:spacing w:lineRule="auto" w:line="240" w:before="0" w:after="0"/>
        <w:jc w:val="center"/>
        <w:rPr>
          <w:rFonts w:ascii="Cambria" w:hAnsi="Cambria" w:cs="Cambria"/>
          <w:b/>
          <w:bCs/>
          <w:color w:val="000000"/>
          <w:sz w:val="26"/>
          <w:szCs w:val="26"/>
        </w:rPr>
      </w:pPr>
      <w:r>
        <w:rPr>
          <w:rFonts w:cs="Cambria" w:ascii="Cambria" w:hAnsi="Cambria"/>
          <w:b/>
          <w:bCs/>
          <w:color w:val="000000"/>
          <w:sz w:val="26"/>
          <w:szCs w:val="26"/>
        </w:rPr>
      </w:r>
    </w:p>
    <w:p>
      <w:pPr>
        <w:pStyle w:val="Normal"/>
        <w:spacing w:lineRule="auto" w:line="240" w:before="0" w:after="0"/>
        <w:jc w:val="center"/>
        <w:rPr>
          <w:rFonts w:ascii="Cambria" w:hAnsi="Cambria" w:cs="Cambria"/>
          <w:b/>
          <w:sz w:val="26"/>
          <w:szCs w:val="26"/>
        </w:rPr>
      </w:pPr>
      <w:r>
        <w:rPr>
          <w:rFonts w:cs="Cambria" w:ascii="Cambria" w:hAnsi="Cambria"/>
          <w:b/>
          <w:sz w:val="26"/>
          <w:szCs w:val="26"/>
        </w:rPr>
        <w:t>Umowa Nr ……………………..</w:t>
      </w:r>
    </w:p>
    <w:p>
      <w:pPr>
        <w:pStyle w:val="Normal"/>
        <w:spacing w:lineRule="auto" w:line="240" w:before="0" w:after="0"/>
        <w:jc w:val="center"/>
        <w:rPr>
          <w:rFonts w:ascii="Cambria" w:hAnsi="Cambria" w:cs="Cambria"/>
          <w:b/>
          <w:sz w:val="10"/>
          <w:szCs w:val="10"/>
        </w:rPr>
      </w:pPr>
      <w:r>
        <w:rPr>
          <w:rFonts w:cs="Cambria" w:ascii="Cambria" w:hAnsi="Cambria"/>
          <w:b/>
          <w:sz w:val="10"/>
          <w:szCs w:val="10"/>
        </w:rPr>
      </w:r>
    </w:p>
    <w:p>
      <w:pPr>
        <w:pStyle w:val="Normal"/>
        <w:spacing w:lineRule="auto" w:line="240" w:before="0" w:after="0"/>
        <w:jc w:val="center"/>
        <w:rPr>
          <w:rFonts w:ascii="Cambria" w:hAnsi="Cambria" w:cs="Cambria"/>
          <w:b/>
          <w:sz w:val="10"/>
          <w:szCs w:val="10"/>
        </w:rPr>
      </w:pPr>
      <w:r>
        <w:rPr>
          <w:rFonts w:cs="Cambria" w:ascii="Cambria" w:hAnsi="Cambria"/>
          <w:b/>
          <w:sz w:val="10"/>
          <w:szCs w:val="10"/>
        </w:rPr>
      </w:r>
    </w:p>
    <w:p>
      <w:pPr>
        <w:pStyle w:val="Normal"/>
        <w:spacing w:before="0" w:after="0"/>
        <w:rPr/>
      </w:pPr>
      <w:r>
        <w:rPr>
          <w:rFonts w:cs="Cambria" w:ascii="Cambria" w:hAnsi="Cambria"/>
          <w:sz w:val="24"/>
          <w:szCs w:val="24"/>
          <w:lang w:eastAsia="pl-PL"/>
        </w:rPr>
        <w:t xml:space="preserve">z dnia </w:t>
      </w:r>
      <w:r>
        <w:rPr>
          <w:rFonts w:cs="Cambria" w:ascii="Cambria" w:hAnsi="Cambria"/>
          <w:b/>
          <w:sz w:val="24"/>
          <w:szCs w:val="24"/>
          <w:lang w:eastAsia="pl-PL"/>
        </w:rPr>
        <w:t>……………………………..</w:t>
      </w:r>
      <w:r>
        <w:rPr>
          <w:rFonts w:cs="Cambria" w:ascii="Cambria" w:hAnsi="Cambria"/>
          <w:sz w:val="24"/>
          <w:szCs w:val="24"/>
          <w:lang w:eastAsia="pl-PL"/>
        </w:rPr>
        <w:t xml:space="preserve"> zawarta w Lublinie,</w:t>
      </w:r>
    </w:p>
    <w:p>
      <w:pPr>
        <w:pStyle w:val="Normal"/>
        <w:spacing w:before="0" w:after="0"/>
        <w:rPr>
          <w:rFonts w:ascii="Cambria" w:hAnsi="Cambria" w:cs="Cambria"/>
          <w:sz w:val="24"/>
          <w:szCs w:val="24"/>
          <w:lang w:eastAsia="pl-PL"/>
        </w:rPr>
      </w:pPr>
      <w:r>
        <w:rPr>
          <w:rFonts w:cs="Cambria" w:ascii="Cambria" w:hAnsi="Cambria"/>
          <w:sz w:val="24"/>
          <w:szCs w:val="24"/>
          <w:lang w:eastAsia="pl-PL"/>
        </w:rPr>
        <w:t>pomiędzy:</w:t>
      </w:r>
    </w:p>
    <w:p>
      <w:pPr>
        <w:pStyle w:val="Normal"/>
        <w:spacing w:before="0" w:after="0"/>
        <w:jc w:val="both"/>
        <w:rPr>
          <w:rFonts w:ascii="Cambria" w:hAnsi="Cambria" w:cs="Cambria"/>
          <w:b/>
          <w:bCs/>
          <w:sz w:val="24"/>
          <w:szCs w:val="24"/>
        </w:rPr>
      </w:pPr>
      <w:r>
        <w:rPr>
          <w:rFonts w:cs="Cambria" w:ascii="Cambria" w:hAnsi="Cambria"/>
          <w:b/>
          <w:bCs/>
          <w:sz w:val="24"/>
          <w:szCs w:val="24"/>
        </w:rPr>
        <w:t>POLSKIE RADIO – REGIONALNA ROZGŁOŚNIA W LUBLINIE „RADIO LUBLIN” S.A. w likwidacji, z siedzibą w Lublinie, 20-030 Lublin, ul. Obrońców Pokoju 2, NIP: 7120165888, REGON: 430368738, wpisaną do Rejestru Przedsiębiorców Krajowego Rejestru Sądowego pod numerem KRS 0000130672, o kapitale zakładowym 1.217.300,00 zł, w całości wpłaconym,</w:t>
      </w:r>
    </w:p>
    <w:p>
      <w:pPr>
        <w:pStyle w:val="Normal"/>
        <w:spacing w:before="0" w:after="0"/>
        <w:jc w:val="both"/>
        <w:rPr>
          <w:rFonts w:ascii="Cambria" w:hAnsi="Cambria" w:cs="Cambria"/>
          <w:b/>
          <w:bCs/>
          <w:sz w:val="24"/>
          <w:szCs w:val="24"/>
        </w:rPr>
      </w:pPr>
      <w:r>
        <w:rPr>
          <w:rFonts w:cs="Cambria" w:ascii="Cambria" w:hAnsi="Cambria"/>
          <w:b/>
          <w:bCs/>
          <w:sz w:val="24"/>
          <w:szCs w:val="24"/>
        </w:rPr>
        <w:t>zwaną w dalszej części umowy „Zamawiającym”,</w:t>
      </w:r>
    </w:p>
    <w:p>
      <w:pPr>
        <w:pStyle w:val="Normal"/>
        <w:spacing w:before="0" w:after="0"/>
        <w:jc w:val="both"/>
        <w:rPr>
          <w:rFonts w:ascii="Cambria" w:hAnsi="Cambria" w:cs="Cambria"/>
          <w:b/>
          <w:bCs/>
          <w:sz w:val="24"/>
          <w:szCs w:val="24"/>
        </w:rPr>
      </w:pPr>
      <w:r>
        <w:rPr>
          <w:rFonts w:cs="Cambria" w:ascii="Cambria" w:hAnsi="Cambria"/>
          <w:b/>
          <w:bCs/>
          <w:sz w:val="24"/>
          <w:szCs w:val="24"/>
        </w:rPr>
        <w:t>reprezentowaną przez Mirosława Kasprzaka – Likwidatora Spółki,</w:t>
      </w:r>
    </w:p>
    <w:p>
      <w:pPr>
        <w:pStyle w:val="Normal"/>
        <w:spacing w:before="0" w:after="0"/>
        <w:jc w:val="both"/>
        <w:rPr>
          <w:rFonts w:ascii="Cambria" w:hAnsi="Cambria" w:cs="Cambria"/>
          <w:sz w:val="24"/>
          <w:szCs w:val="24"/>
          <w:lang w:eastAsia="pl-PL"/>
        </w:rPr>
      </w:pPr>
      <w:r>
        <w:rPr>
          <w:rFonts w:cs="Cambria" w:ascii="Cambria" w:hAnsi="Cambria"/>
          <w:sz w:val="24"/>
          <w:szCs w:val="24"/>
          <w:lang w:eastAsia="pl-PL"/>
        </w:rPr>
        <w:t>a</w:t>
      </w:r>
      <w:r>
        <w:rPr>
          <w:rFonts w:cs="Arial" w:ascii="Cambria" w:hAnsi="Cambria"/>
          <w:sz w:val="24"/>
          <w:szCs w:val="24"/>
        </w:rPr>
        <w:t xml:space="preserve"> </w:t>
      </w:r>
    </w:p>
    <w:p>
      <w:pPr>
        <w:pStyle w:val="Normal"/>
        <w:spacing w:before="0" w:after="0"/>
        <w:jc w:val="both"/>
        <w:rPr>
          <w:rFonts w:ascii="Cambria" w:hAnsi="Cambria" w:cs="Arial"/>
          <w:sz w:val="24"/>
          <w:szCs w:val="24"/>
        </w:rPr>
      </w:pPr>
      <w:r>
        <w:rPr>
          <w:rFonts w:cs="Arial" w:ascii="Cambria" w:hAnsi="Cambria"/>
          <w:i/>
          <w:iCs/>
          <w:sz w:val="24"/>
          <w:szCs w:val="24"/>
        </w:rPr>
        <w:t xml:space="preserve">*gdy kontrahentem jest spółka prawa handlowego: </w:t>
      </w:r>
    </w:p>
    <w:p>
      <w:pPr>
        <w:pStyle w:val="Normal"/>
        <w:spacing w:before="0" w:after="0"/>
        <w:jc w:val="both"/>
        <w:rPr/>
      </w:pPr>
      <w:r>
        <w:rPr>
          <w:rFonts w:cs="Arial" w:ascii="Cambria" w:hAnsi="Cambria"/>
          <w:b/>
          <w:bCs/>
          <w:sz w:val="24"/>
          <w:szCs w:val="24"/>
        </w:rPr>
        <w:t xml:space="preserve">spółką pod firmą „…” </w:t>
      </w:r>
      <w:r>
        <w:rPr>
          <w:rFonts w:cs="Arial" w:ascii="Cambria" w:hAnsi="Cambria"/>
          <w:sz w:val="24"/>
          <w:szCs w:val="24"/>
        </w:rPr>
        <w:t xml:space="preserve">z siedzibą w ... </w:t>
      </w:r>
      <w:r>
        <w:rPr>
          <w:rFonts w:cs="Arial" w:ascii="Cambria" w:hAnsi="Cambria"/>
          <w:i/>
          <w:iCs/>
          <w:sz w:val="24"/>
          <w:szCs w:val="24"/>
        </w:rPr>
        <w:t xml:space="preserve">(wpisać </w:t>
      </w:r>
      <w:r>
        <w:rPr>
          <w:rFonts w:cs="Arial" w:ascii="Cambria" w:hAnsi="Cambria"/>
          <w:b/>
          <w:bCs/>
          <w:i/>
          <w:iCs/>
          <w:sz w:val="24"/>
          <w:szCs w:val="24"/>
        </w:rPr>
        <w:t xml:space="preserve">tylko </w:t>
      </w:r>
      <w:r>
        <w:rPr>
          <w:rFonts w:cs="Arial" w:ascii="Cambria" w:hAnsi="Cambria"/>
          <w:i/>
          <w:iCs/>
          <w:sz w:val="24"/>
          <w:szCs w:val="24"/>
        </w:rPr>
        <w:t>nazwę miasta/miejscowości)</w:t>
      </w:r>
      <w:r>
        <w:rPr>
          <w:rFonts w:cs="Arial" w:ascii="Cambria" w:hAnsi="Cambria"/>
          <w:sz w:val="24"/>
          <w:szCs w:val="24"/>
        </w:rPr>
        <w:t xml:space="preserve">, </w:t>
        <w:br/>
        <w:t xml:space="preserve">ul. ………., ………………. </w:t>
      </w:r>
      <w:r>
        <w:rPr>
          <w:rFonts w:cs="Arial" w:ascii="Cambria" w:hAnsi="Cambria"/>
          <w:i/>
          <w:iCs/>
          <w:sz w:val="24"/>
          <w:szCs w:val="24"/>
        </w:rPr>
        <w:t>(wpisać adres)</w:t>
      </w:r>
      <w:r>
        <w:rPr>
          <w:rFonts w:cs="Arial" w:ascii="Cambria" w:hAnsi="Cambria"/>
          <w:sz w:val="24"/>
          <w:szCs w:val="24"/>
        </w:rPr>
        <w:t xml:space="preserve">, wpisaną do Rejestru Przedsiębiorców Krajowego Rejestru Sądowego pod numerem KRS ... – zgodnie z wydrukiem z Centralnej Informacji Krajowego Rejestru Sądowego, stanowiącym załącznik do umowy, NIP ……………….., REGON …………………….., zwaną dalej </w:t>
      </w:r>
      <w:r>
        <w:rPr>
          <w:rFonts w:cs="Arial" w:ascii="Cambria" w:hAnsi="Cambria"/>
          <w:b/>
          <w:bCs/>
          <w:sz w:val="24"/>
          <w:szCs w:val="24"/>
        </w:rPr>
        <w:t>„Wykonawcą”</w:t>
      </w:r>
      <w:r>
        <w:rPr>
          <w:rFonts w:cs="Arial" w:ascii="Cambria" w:hAnsi="Cambria"/>
          <w:sz w:val="24"/>
          <w:szCs w:val="24"/>
        </w:rPr>
        <w:t>, reprezentowaną przez ..........</w:t>
      </w:r>
      <w:r>
        <w:rPr>
          <w:rStyle w:val="FootnoteReference"/>
          <w:rFonts w:cs="Arial" w:ascii="Cambria" w:hAnsi="Cambria"/>
          <w:sz w:val="24"/>
          <w:szCs w:val="24"/>
          <w:vertAlign w:val="superscript"/>
        </w:rPr>
        <w:footnoteReference w:id="2"/>
      </w:r>
      <w:r>
        <w:rPr>
          <w:rFonts w:cs="Arial" w:ascii="Cambria" w:hAnsi="Cambria"/>
          <w:sz w:val="24"/>
          <w:szCs w:val="24"/>
        </w:rPr>
        <w:t>/reprezentowaną przez … działającą/-ego na podstawie pełnomocnictwa, stanowiącego załącznik do umowy</w:t>
      </w:r>
      <w:r>
        <w:rPr>
          <w:rStyle w:val="FootnoteReference"/>
          <w:rFonts w:cs="Arial" w:ascii="Cambria" w:hAnsi="Cambria"/>
          <w:sz w:val="24"/>
          <w:szCs w:val="24"/>
          <w:vertAlign w:val="superscript"/>
        </w:rPr>
        <w:footnoteReference w:id="3"/>
      </w:r>
      <w:r>
        <w:rPr>
          <w:rFonts w:cs="Arial" w:ascii="Cambria" w:hAnsi="Cambria"/>
          <w:sz w:val="24"/>
          <w:szCs w:val="24"/>
        </w:rPr>
        <w:t xml:space="preserve">, </w:t>
      </w:r>
    </w:p>
    <w:p>
      <w:pPr>
        <w:pStyle w:val="Normal"/>
        <w:spacing w:before="0" w:after="0"/>
        <w:jc w:val="both"/>
        <w:rPr/>
      </w:pPr>
      <w:r>
        <w:rPr>
          <w:rFonts w:cs="Arial" w:ascii="Cambria" w:hAnsi="Cambria"/>
          <w:i/>
          <w:iCs/>
          <w:sz w:val="24"/>
          <w:szCs w:val="24"/>
        </w:rPr>
        <w:t>*gdy kontrahentem jest osoba fizyczna prowadząca działalność gospodarczą</w:t>
      </w:r>
      <w:r>
        <w:rPr>
          <w:rFonts w:cs="Arial" w:ascii="Cambria" w:hAnsi="Cambria"/>
          <w:sz w:val="24"/>
          <w:szCs w:val="24"/>
        </w:rPr>
        <w:t xml:space="preserve">: </w:t>
      </w:r>
    </w:p>
    <w:p>
      <w:pPr>
        <w:pStyle w:val="Normal"/>
        <w:spacing w:before="0" w:after="0"/>
        <w:jc w:val="both"/>
        <w:rPr/>
      </w:pPr>
      <w:r>
        <w:rPr>
          <w:rFonts w:cs="Arial" w:ascii="Cambria" w:hAnsi="Cambria"/>
          <w:b/>
          <w:bCs/>
          <w:sz w:val="24"/>
          <w:szCs w:val="24"/>
        </w:rPr>
        <w:t>Panią/Panem …………</w:t>
      </w:r>
      <w:r>
        <w:rPr>
          <w:rFonts w:cs="Arial" w:ascii="Cambria" w:hAnsi="Cambria"/>
          <w:sz w:val="24"/>
          <w:szCs w:val="24"/>
        </w:rPr>
        <w:t xml:space="preserve">, prowadzącą/-ym działalność gospodarczą pod firmą „…” zamieszkałą/ym w … </w:t>
      </w:r>
      <w:r>
        <w:rPr>
          <w:rFonts w:cs="Arial" w:ascii="Cambria" w:hAnsi="Cambria"/>
          <w:i/>
          <w:iCs/>
          <w:sz w:val="24"/>
          <w:szCs w:val="24"/>
        </w:rPr>
        <w:t xml:space="preserve">(wpisać </w:t>
      </w:r>
      <w:r>
        <w:rPr>
          <w:rFonts w:cs="Arial" w:ascii="Cambria" w:hAnsi="Cambria"/>
          <w:b/>
          <w:bCs/>
          <w:i/>
          <w:iCs/>
          <w:sz w:val="24"/>
          <w:szCs w:val="24"/>
        </w:rPr>
        <w:t xml:space="preserve">tylko </w:t>
      </w:r>
      <w:r>
        <w:rPr>
          <w:rFonts w:cs="Arial" w:ascii="Cambria" w:hAnsi="Cambria"/>
          <w:i/>
          <w:iCs/>
          <w:sz w:val="24"/>
          <w:szCs w:val="24"/>
        </w:rPr>
        <w:t>nazwę miasta/miejscowości)</w:t>
      </w:r>
      <w:r>
        <w:rPr>
          <w:rFonts w:cs="Arial" w:ascii="Cambria" w:hAnsi="Cambria"/>
          <w:sz w:val="24"/>
          <w:szCs w:val="24"/>
        </w:rPr>
        <w:t xml:space="preserve">, ul. ……………….. </w:t>
      </w:r>
      <w:r>
        <w:rPr>
          <w:rFonts w:cs="Arial" w:ascii="Cambria" w:hAnsi="Cambria"/>
          <w:i/>
          <w:iCs/>
          <w:sz w:val="24"/>
          <w:szCs w:val="24"/>
        </w:rPr>
        <w:t>(wpisać adres)</w:t>
      </w:r>
      <w:r>
        <w:rPr>
          <w:rFonts w:cs="Arial" w:ascii="Cambria" w:hAnsi="Cambria"/>
          <w:sz w:val="24"/>
          <w:szCs w:val="24"/>
        </w:rPr>
        <w:t xml:space="preserve">, – zgodnie z wydrukiem z Centralnej Ewidencji i Informacji o Działalności Gospodarczej, stanowiącym załącznik do umowy, NIP ……………, REGON …………., zwaną/-ym dalej </w:t>
      </w:r>
      <w:r>
        <w:rPr>
          <w:rFonts w:cs="Arial" w:ascii="Cambria" w:hAnsi="Cambria"/>
          <w:b/>
          <w:bCs/>
          <w:sz w:val="24"/>
          <w:szCs w:val="24"/>
        </w:rPr>
        <w:t>„Wykonawcą”</w:t>
      </w:r>
      <w:r>
        <w:rPr>
          <w:rFonts w:cs="Arial" w:ascii="Cambria" w:hAnsi="Cambria"/>
          <w:b/>
          <w:bCs/>
          <w:i/>
          <w:iCs/>
          <w:sz w:val="24"/>
          <w:szCs w:val="24"/>
        </w:rPr>
        <w:t xml:space="preserve">, </w:t>
      </w:r>
      <w:r>
        <w:rPr>
          <w:rFonts w:cs="Arial" w:ascii="Cambria" w:hAnsi="Cambria"/>
          <w:sz w:val="24"/>
          <w:szCs w:val="24"/>
        </w:rPr>
        <w:t>reprezentowaną/-ym przez … działającą/-ego na podstawie pełnomocnictwa, stanowiącego załącznik do umowy</w:t>
      </w:r>
      <w:r>
        <w:rPr>
          <w:rStyle w:val="FootnoteReference"/>
          <w:rFonts w:cs="Arial" w:ascii="Cambria" w:hAnsi="Cambria"/>
          <w:sz w:val="24"/>
          <w:szCs w:val="24"/>
          <w:vertAlign w:val="superscript"/>
        </w:rPr>
        <w:footnoteReference w:id="4"/>
      </w:r>
      <w:r>
        <w:rPr>
          <w:rFonts w:cs="Arial" w:ascii="Cambria" w:hAnsi="Cambria"/>
          <w:sz w:val="24"/>
          <w:szCs w:val="24"/>
        </w:rPr>
        <w:t xml:space="preserve">, </w:t>
      </w:r>
    </w:p>
    <w:p>
      <w:pPr>
        <w:pStyle w:val="Normal"/>
        <w:spacing w:before="0" w:after="0"/>
        <w:jc w:val="both"/>
        <w:rPr>
          <w:rStyle w:val="s1"/>
          <w:rFonts w:ascii="Cambria" w:hAnsi="Cambria" w:cs="Cambria"/>
          <w:b/>
          <w:sz w:val="24"/>
          <w:szCs w:val="24"/>
        </w:rPr>
      </w:pPr>
      <w:r>
        <w:rPr>
          <w:rFonts w:cs="Arial" w:ascii="Cambria" w:hAnsi="Cambria"/>
          <w:sz w:val="24"/>
          <w:szCs w:val="24"/>
        </w:rPr>
        <w:t xml:space="preserve">wspólnie zwanymi dalej </w:t>
      </w:r>
      <w:r>
        <w:rPr>
          <w:rFonts w:cs="Arial" w:ascii="Cambria" w:hAnsi="Cambria"/>
          <w:b/>
          <w:bCs/>
          <w:sz w:val="24"/>
          <w:szCs w:val="24"/>
        </w:rPr>
        <w:t>„Stronami”</w:t>
      </w:r>
      <w:r>
        <w:rPr>
          <w:rFonts w:cs="Arial" w:ascii="Cambria" w:hAnsi="Cambria"/>
          <w:sz w:val="24"/>
          <w:szCs w:val="24"/>
        </w:rPr>
        <w:t xml:space="preserve">, </w:t>
      </w:r>
      <w:r>
        <w:rPr>
          <w:rFonts w:cs="Cambria" w:ascii="Cambria" w:hAnsi="Cambria"/>
          <w:sz w:val="24"/>
          <w:szCs w:val="24"/>
        </w:rPr>
        <w:t>o następującej treści:</w:t>
      </w:r>
    </w:p>
    <w:p>
      <w:pPr>
        <w:pStyle w:val="p2"/>
        <w:spacing w:lineRule="auto" w:line="276"/>
        <w:jc w:val="center"/>
        <w:rPr>
          <w:rStyle w:val="s1"/>
          <w:rFonts w:ascii="Cambria" w:hAnsi="Cambria" w:cs="Cambria"/>
          <w:b/>
          <w:sz w:val="24"/>
          <w:szCs w:val="24"/>
        </w:rPr>
      </w:pPr>
      <w:r>
        <w:rPr/>
      </w:r>
    </w:p>
    <w:p>
      <w:pPr>
        <w:pStyle w:val="p2"/>
        <w:spacing w:lineRule="auto" w:line="276"/>
        <w:jc w:val="center"/>
        <w:rPr>
          <w:rFonts w:ascii="Cambria" w:hAnsi="Cambria" w:cs="Cambria"/>
        </w:rPr>
      </w:pPr>
      <w:r>
        <w:rPr>
          <w:rStyle w:val="s1"/>
          <w:rFonts w:cs="Cambria" w:ascii="Cambria" w:hAnsi="Cambria"/>
          <w:b/>
          <w:sz w:val="24"/>
          <w:szCs w:val="24"/>
        </w:rPr>
        <w:t xml:space="preserve">§ </w:t>
      </w:r>
      <w:r>
        <w:rPr>
          <w:rFonts w:cs="Cambria" w:ascii="Cambria" w:hAnsi="Cambria"/>
          <w:b/>
          <w:sz w:val="24"/>
          <w:szCs w:val="24"/>
        </w:rPr>
        <w:t>1</w:t>
      </w:r>
    </w:p>
    <w:p>
      <w:pPr>
        <w:pStyle w:val="Normal"/>
        <w:spacing w:before="0" w:after="0"/>
        <w:jc w:val="center"/>
        <w:rPr>
          <w:rFonts w:ascii="Cambria" w:hAnsi="Cambria" w:cs="Cambria"/>
          <w:sz w:val="24"/>
          <w:szCs w:val="24"/>
        </w:rPr>
      </w:pPr>
      <w:r>
        <w:rPr>
          <w:rFonts w:cs="Cambria" w:ascii="Cambria" w:hAnsi="Cambria"/>
          <w:b/>
          <w:sz w:val="24"/>
          <w:szCs w:val="24"/>
        </w:rPr>
        <w:t>Oświadczenia Stron</w:t>
      </w:r>
    </w:p>
    <w:p>
      <w:pPr>
        <w:pStyle w:val="Normal"/>
        <w:numPr>
          <w:ilvl w:val="0"/>
          <w:numId w:val="10"/>
        </w:numPr>
        <w:spacing w:before="0" w:after="0"/>
        <w:ind w:hanging="426" w:left="426" w:right="0"/>
        <w:contextualSpacing/>
        <w:jc w:val="both"/>
        <w:rPr>
          <w:rFonts w:ascii="Cambria" w:hAnsi="Cambria" w:cs="Cambria"/>
          <w:bCs/>
          <w:sz w:val="24"/>
          <w:szCs w:val="24"/>
        </w:rPr>
      </w:pPr>
      <w:r>
        <w:rPr>
          <w:rFonts w:cs="Cambria" w:ascii="Cambria" w:hAnsi="Cambria"/>
          <w:sz w:val="24"/>
          <w:szCs w:val="24"/>
        </w:rPr>
        <w:t>Strony oświadczają, że niniejsza umowa, zwana dalej „umową”, została zawarta w wyniku udzielenia zamówienia publicznego w trybie podstawowym z możliwością negocjacji, na podstawie art. 275 pkt 2 ustawy z dnia 11 września 2019 r. – Prawo zamówień publicznych (t.j. Dz. U. z 2026 r. poz. 793 z późn. zm.), zwanej dalej „ustawą Pzp”.</w:t>
      </w:r>
    </w:p>
    <w:p>
      <w:pPr>
        <w:pStyle w:val="Normal"/>
        <w:spacing w:before="0" w:after="0"/>
        <w:ind w:left="426" w:right="0"/>
        <w:contextualSpacing/>
        <w:jc w:val="both"/>
        <w:rPr>
          <w:rFonts w:ascii="Cambria" w:hAnsi="Cambria" w:cs="Cambria"/>
          <w:bCs/>
          <w:sz w:val="24"/>
          <w:szCs w:val="24"/>
        </w:rPr>
      </w:pPr>
      <w:r>
        <w:rPr>
          <w:rFonts w:cs="Cambria" w:ascii="Cambria" w:hAnsi="Cambria"/>
          <w:bCs/>
          <w:sz w:val="24"/>
          <w:szCs w:val="24"/>
        </w:rPr>
      </w:r>
      <w:bookmarkStart w:id="2" w:name="_Hlk90221839"/>
      <w:bookmarkStart w:id="3" w:name="_Hlk90221839"/>
      <w:bookmarkEnd w:id="3"/>
    </w:p>
    <w:p>
      <w:pPr>
        <w:pStyle w:val="p2"/>
        <w:spacing w:lineRule="auto" w:line="276"/>
        <w:jc w:val="center"/>
        <w:rPr>
          <w:rFonts w:ascii="Cambria" w:hAnsi="Cambria" w:cs="Cambria"/>
          <w:b/>
          <w:sz w:val="24"/>
          <w:szCs w:val="24"/>
        </w:rPr>
      </w:pPr>
      <w:r>
        <w:rPr>
          <w:rFonts w:cs="Cambria" w:ascii="Cambria" w:hAnsi="Cambria"/>
          <w:b/>
          <w:sz w:val="24"/>
          <w:szCs w:val="24"/>
        </w:rPr>
      </w:r>
    </w:p>
    <w:p>
      <w:pPr>
        <w:pStyle w:val="p2"/>
        <w:spacing w:lineRule="auto" w:line="276"/>
        <w:jc w:val="center"/>
        <w:rPr>
          <w:rFonts w:ascii="Cambria" w:hAnsi="Cambria" w:cs="Cambria"/>
          <w:b/>
          <w:sz w:val="24"/>
          <w:szCs w:val="24"/>
        </w:rPr>
      </w:pPr>
      <w:r>
        <w:rPr>
          <w:rFonts w:cs="Cambria" w:ascii="Cambria" w:hAnsi="Cambria"/>
          <w:b/>
          <w:sz w:val="24"/>
          <w:szCs w:val="24"/>
        </w:rPr>
        <w:t>§ 2</w:t>
      </w:r>
    </w:p>
    <w:p>
      <w:pPr>
        <w:pStyle w:val="p2"/>
        <w:spacing w:lineRule="auto" w:line="276"/>
        <w:jc w:val="center"/>
        <w:rPr>
          <w:rFonts w:ascii="Cambria" w:hAnsi="Cambria" w:cs="Cambria"/>
          <w:b/>
          <w:sz w:val="24"/>
          <w:szCs w:val="24"/>
        </w:rPr>
      </w:pPr>
      <w:bookmarkStart w:id="4" w:name="_Hlk90221839"/>
      <w:bookmarkEnd w:id="4"/>
      <w:r>
        <w:rPr>
          <w:rFonts w:cs="Cambria" w:ascii="Cambria" w:hAnsi="Cambria"/>
          <w:b/>
          <w:sz w:val="24"/>
          <w:szCs w:val="24"/>
        </w:rPr>
        <w:t>Przedmiot umowy</w:t>
      </w:r>
    </w:p>
    <w:p>
      <w:pPr>
        <w:pStyle w:val="Normal"/>
        <w:numPr>
          <w:ilvl w:val="1"/>
          <w:numId w:val="26"/>
        </w:numPr>
        <w:spacing w:before="0" w:after="0"/>
        <w:jc w:val="both"/>
        <w:rPr>
          <w:rFonts w:ascii="Cambria" w:hAnsi="Cambria" w:cs="Cambria"/>
          <w:sz w:val="24"/>
          <w:szCs w:val="24"/>
        </w:rPr>
      </w:pPr>
      <w:r>
        <w:rPr>
          <w:rFonts w:cs="Cambria" w:ascii="Cambria" w:hAnsi="Cambria"/>
          <w:sz w:val="24"/>
          <w:szCs w:val="24"/>
        </w:rPr>
        <w:t>Zamawiający powierza, a Wykonawca przyjmuje do wykonania dostawę urządzeń do obsługi sieci typu Audio-over-IP (AoIP), wraz z niezbędnym oprogramowaniem, licencjami, okablowaniem i akcesoriami, w zakresie Części nr ………………… zamówienia:</w:t>
      </w:r>
    </w:p>
    <w:p>
      <w:pPr>
        <w:pStyle w:val="Normal"/>
        <w:spacing w:before="0" w:after="0"/>
        <w:ind w:hanging="0" w:left="426" w:right="0"/>
        <w:jc w:val="both"/>
        <w:rPr>
          <w:rFonts w:ascii="Cambria" w:hAnsi="Cambria" w:eastAsia="SimSun;宋体" w:cs="Cambria"/>
        </w:rPr>
      </w:pPr>
      <w:r>
        <w:rPr>
          <w:rFonts w:eastAsia="SimSun;宋体" w:cs="Cambria" w:ascii="Cambria" w:hAnsi="Cambria"/>
          <w:b/>
        </w:rPr>
        <w:t>Część I – Krosownice i procesory sygnałów AoIP – jeżeli część jest objęta umową:</w:t>
      </w:r>
    </w:p>
    <w:p>
      <w:pPr>
        <w:pStyle w:val="Normal"/>
        <w:spacing w:before="0" w:after="0"/>
        <w:ind w:left="425" w:right="0" w:hanging="255"/>
        <w:jc w:val="both"/>
        <w:rPr>
          <w:rFonts w:ascii="Cambria" w:hAnsi="Cambria" w:eastAsia="SimSun;宋体" w:cs="Cambria"/>
        </w:rPr>
      </w:pPr>
      <w:r>
        <w:rPr>
          <w:rFonts w:eastAsia="SimSun;宋体" w:cs="Cambria" w:ascii="Cambria" w:hAnsi="Cambria"/>
        </w:rPr>
        <w:t>1) urządzenie centralne – procesor/krosownica sieciowa AoIP przeznaczone do zarządzania sieciami AoIP rozgłośni i spoza niej – 1 zestaw;</w:t>
      </w:r>
    </w:p>
    <w:p>
      <w:pPr>
        <w:pStyle w:val="Normal"/>
        <w:spacing w:before="0" w:after="0"/>
        <w:ind w:left="425" w:right="0" w:hanging="255"/>
        <w:jc w:val="both"/>
        <w:rPr>
          <w:rFonts w:ascii="Cambria" w:hAnsi="Cambria" w:eastAsia="SimSun;宋体" w:cs="Cambria"/>
        </w:rPr>
      </w:pPr>
      <w:r>
        <w:rPr>
          <w:rFonts w:eastAsia="SimSun;宋体" w:cs="Cambria" w:ascii="Cambria" w:hAnsi="Cambria"/>
        </w:rPr>
        <w:t>2) urządzenie do bezpiecznego integrowania sieci AoIP Zamawiającego z urządzeniami nagraniowymi, odsłuchowymi i urządzeniami typu DSP – 1 zestaw;</w:t>
      </w:r>
    </w:p>
    <w:p>
      <w:pPr>
        <w:pStyle w:val="Normal"/>
        <w:spacing w:before="0" w:after="0"/>
        <w:ind w:left="425" w:right="0" w:hanging="255"/>
        <w:jc w:val="both"/>
        <w:rPr>
          <w:rFonts w:ascii="Cambria" w:hAnsi="Cambria" w:eastAsia="SimSun;宋体" w:cs="Cambria"/>
        </w:rPr>
      </w:pPr>
      <w:r>
        <w:rPr>
          <w:rFonts w:eastAsia="SimSun;宋体" w:cs="Cambria" w:ascii="Cambria" w:hAnsi="Cambria"/>
        </w:rPr>
        <w:t>3) urządzenie do podłączania zewnętrznych urządzeń do radiowych sieci AoIP, przeznaczone do dwukierunkowej konwersji i routingu sygnałów na potrzeby nagrań i transmisji spoza rozgłośni – 1 zestaw;</w:t>
      </w:r>
    </w:p>
    <w:p>
      <w:pPr>
        <w:pStyle w:val="Normal"/>
        <w:spacing w:before="0" w:after="0"/>
        <w:ind w:left="425" w:right="0" w:hanging="255"/>
        <w:jc w:val="both"/>
        <w:rPr>
          <w:rFonts w:ascii="Cambria" w:hAnsi="Cambria" w:eastAsia="SimSun;宋体" w:cs="Cambria"/>
        </w:rPr>
      </w:pPr>
      <w:r>
        <w:rPr>
          <w:rFonts w:eastAsia="SimSun;宋体" w:cs="Cambria" w:ascii="Cambria" w:hAnsi="Cambria"/>
        </w:rPr>
        <w:t>4) komplet wymaganych modułów, konwerterów, licencji, oprogramowania, zasilaczy, uchwytów, okablowania i akcesoriów, zgodnie z OPZ i ofertą Wykonawcy.</w:t>
      </w:r>
    </w:p>
    <w:p>
      <w:pPr>
        <w:pStyle w:val="Normal"/>
        <w:spacing w:before="0" w:after="0"/>
        <w:ind w:hanging="0" w:left="426" w:right="0"/>
        <w:jc w:val="both"/>
        <w:rPr>
          <w:rFonts w:ascii="Cambria" w:hAnsi="Cambria" w:eastAsia="SimSun;宋体" w:cs="Cambria"/>
        </w:rPr>
      </w:pPr>
      <w:r>
        <w:rPr>
          <w:rFonts w:eastAsia="SimSun;宋体" w:cs="Cambria" w:ascii="Cambria" w:hAnsi="Cambria"/>
          <w:b/>
        </w:rPr>
        <w:t>Część II – Przedwzmacniacz mikrofonowy (stagebox) współpracujący z sieciami w standardzie Dante – jeżeli część jest objęta umową:</w:t>
      </w:r>
    </w:p>
    <w:p>
      <w:pPr>
        <w:pStyle w:val="Normal"/>
        <w:spacing w:before="0" w:after="0"/>
        <w:ind w:left="425" w:right="0" w:hanging="255"/>
        <w:jc w:val="both"/>
        <w:rPr>
          <w:rFonts w:ascii="Cambria" w:hAnsi="Cambria" w:eastAsia="SimSun;宋体" w:cs="Cambria"/>
        </w:rPr>
      </w:pPr>
      <w:r>
        <w:rPr>
          <w:rFonts w:eastAsia="SimSun;宋体" w:cs="Cambria" w:ascii="Cambria" w:hAnsi="Cambria"/>
        </w:rPr>
        <w:t>1) sieciowy interfejs wejść/wyjść z przedwzmacniaczami mikrofonowymi typu stagebox – 1 sztuka;</w:t>
      </w:r>
    </w:p>
    <w:p>
      <w:pPr>
        <w:pStyle w:val="Normal"/>
        <w:spacing w:before="0" w:after="0"/>
        <w:ind w:left="425" w:right="0" w:hanging="255"/>
        <w:jc w:val="both"/>
        <w:rPr>
          <w:rFonts w:ascii="Cambria" w:hAnsi="Cambria" w:eastAsia="SimSun;宋体" w:cs="Cambria"/>
        </w:rPr>
      </w:pPr>
      <w:r>
        <w:rPr>
          <w:rFonts w:eastAsia="SimSun;宋体" w:cs="Cambria" w:ascii="Cambria" w:hAnsi="Cambria"/>
        </w:rPr>
        <w:t>2) przewód wieloparowy zakończony z jednej strony złączem współpracującym ze złączem splittera mikrofonowego posiadanym przez Zamawiającego, a z drugiej strony 32 oznaczonymi wtykami XLR3M – zgodnie z pinoutem, długością i pozostałymi wymaganiami OPZ;</w:t>
      </w:r>
    </w:p>
    <w:p>
      <w:pPr>
        <w:pStyle w:val="Normal"/>
        <w:spacing w:before="0" w:after="0"/>
        <w:ind w:left="425" w:right="0" w:hanging="255"/>
        <w:jc w:val="both"/>
        <w:rPr>
          <w:rFonts w:ascii="Cambria" w:hAnsi="Cambria" w:eastAsia="SimSun;宋体" w:cs="Cambria"/>
        </w:rPr>
      </w:pPr>
      <w:r>
        <w:rPr>
          <w:rFonts w:eastAsia="SimSun;宋体" w:cs="Cambria" w:ascii="Cambria" w:hAnsi="Cambria"/>
        </w:rPr>
        <w:t>3) skrzynia transportowa typu flightcase z szynami rack 19”, pokrywami, uchwytami, zamknięciami, wentylacją i miejscem na okablowanie;</w:t>
      </w:r>
    </w:p>
    <w:p>
      <w:pPr>
        <w:pStyle w:val="Normal"/>
        <w:spacing w:before="0" w:after="0"/>
        <w:ind w:left="425" w:right="0" w:hanging="255"/>
        <w:jc w:val="both"/>
        <w:rPr>
          <w:rFonts w:ascii="Cambria" w:hAnsi="Cambria" w:eastAsia="SimSun;宋体" w:cs="Cambria"/>
        </w:rPr>
      </w:pPr>
      <w:r>
        <w:rPr>
          <w:rFonts w:eastAsia="SimSun;宋体" w:cs="Cambria" w:ascii="Cambria" w:hAnsi="Cambria"/>
        </w:rPr>
        <w:t>4) komplet licencji, oprogramowania, przewodów, paneli, adapterów i akcesoriów niezbędnych do uzyskania funkcjonalności określonej w OPZ.</w:t>
      </w:r>
    </w:p>
    <w:p>
      <w:pPr>
        <w:pStyle w:val="Normal"/>
        <w:spacing w:before="0" w:after="0"/>
        <w:ind w:hanging="0" w:left="426" w:right="0"/>
        <w:jc w:val="both"/>
        <w:rPr>
          <w:rFonts w:ascii="Cambria" w:hAnsi="Cambria" w:eastAsia="SimSun;宋体" w:cs="Cambria"/>
        </w:rPr>
      </w:pPr>
      <w:r>
        <w:rPr>
          <w:rFonts w:eastAsia="SimSun;宋体" w:cs="Cambria" w:ascii="Cambria" w:hAnsi="Cambria"/>
          <w:b/>
        </w:rPr>
        <w:t>Część III – Urządzenia zegarowe GPS, PTPv2 i Word Clock – jeżeli część jest objęta umową:</w:t>
      </w:r>
    </w:p>
    <w:p>
      <w:pPr>
        <w:pStyle w:val="Normal"/>
        <w:spacing w:before="0" w:after="0"/>
        <w:ind w:left="425" w:right="0" w:hanging="255"/>
        <w:jc w:val="both"/>
        <w:rPr>
          <w:rFonts w:ascii="Cambria" w:hAnsi="Cambria" w:eastAsia="SimSun;宋体" w:cs="Cambria"/>
        </w:rPr>
      </w:pPr>
      <w:r>
        <w:rPr>
          <w:rFonts w:eastAsia="SimSun;宋体" w:cs="Cambria" w:ascii="Cambria" w:hAnsi="Cambria"/>
        </w:rPr>
        <w:t>1) urządzenia zegarowe typu grandmaster do synchronizacji sieci AoIP, umożliwiające utworzenie niezależnych lokalizacyjnie, zsynchronizowanych stref zegarowych – 2 sztuki;</w:t>
      </w:r>
    </w:p>
    <w:p>
      <w:pPr>
        <w:pStyle w:val="Normal"/>
        <w:spacing w:before="0" w:after="0"/>
        <w:ind w:left="425" w:right="0" w:hanging="255"/>
        <w:jc w:val="both"/>
        <w:rPr>
          <w:rFonts w:ascii="Cambria" w:hAnsi="Cambria" w:eastAsia="SimSun;宋体" w:cs="Cambria"/>
        </w:rPr>
      </w:pPr>
      <w:r>
        <w:rPr>
          <w:rFonts w:eastAsia="SimSun;宋体" w:cs="Cambria" w:ascii="Cambria" w:hAnsi="Cambria"/>
        </w:rPr>
        <w:t>2) komplet anten, przewodów, zasilaczy, elementów montażowych i akcesoriów wymaganych do pracy urządzeń i ich podłączenia do infrastruktury Zamawiającego;</w:t>
      </w:r>
    </w:p>
    <w:p>
      <w:pPr>
        <w:pStyle w:val="Normal"/>
        <w:spacing w:before="0" w:after="0"/>
        <w:ind w:left="425" w:right="0" w:hanging="255"/>
        <w:jc w:val="both"/>
        <w:rPr>
          <w:rFonts w:ascii="Cambria" w:hAnsi="Cambria" w:eastAsia="SimSun;宋体" w:cs="Cambria"/>
        </w:rPr>
      </w:pPr>
      <w:r>
        <w:rPr>
          <w:rFonts w:eastAsia="SimSun;宋体" w:cs="Cambria" w:ascii="Cambria" w:hAnsi="Cambria"/>
        </w:rPr>
        <w:t>3) wymagane licencje i oprogramowanie służące do konfiguracji, monitorowania i eksploatacji urządzeń.</w:t>
      </w:r>
    </w:p>
    <w:p>
      <w:pPr>
        <w:pStyle w:val="Normal"/>
        <w:spacing w:before="0" w:after="0"/>
        <w:ind w:hanging="0" w:left="426" w:right="0"/>
        <w:jc w:val="both"/>
        <w:rPr>
          <w:rFonts w:ascii="Cambria" w:hAnsi="Cambria" w:eastAsia="SimSun;宋体" w:cs="Cambria"/>
        </w:rPr>
      </w:pPr>
      <w:r>
        <w:rPr>
          <w:rFonts w:eastAsia="SimSun;宋体" w:cs="Cambria" w:ascii="Cambria" w:hAnsi="Cambria"/>
        </w:rPr>
        <w:t>Szczegółowy zakres, parametry i wymagania dotyczące części objętej umową określa OPZ stanowiący Załącznik nr 1 do umowy oraz oferta Wykonawcy stanowiąca Załącznik nr 2 do umowy.</w:t>
      </w:r>
    </w:p>
    <w:p>
      <w:pPr>
        <w:pStyle w:val="Normal"/>
        <w:spacing w:before="0" w:after="0"/>
        <w:ind w:hanging="0" w:left="426" w:right="0"/>
        <w:jc w:val="both"/>
        <w:rPr>
          <w:rFonts w:ascii="Cambria" w:hAnsi="Cambria" w:eastAsia="SimSun;宋体" w:cs="Cambria"/>
        </w:rPr>
      </w:pPr>
      <w:r>
        <w:rPr>
          <w:rFonts w:eastAsia="SimSun;宋体" w:cs="Cambria" w:ascii="Cambria" w:hAnsi="Cambria"/>
        </w:rPr>
        <w:t>Jeżeli umowa obejmuje więcej niż jedną część, każda część stanowi wyodrębniony zakres rzeczowy i rozliczeniowy, podlegający odrębnemu odbiorowi, z zastrzeżeniem możliwości sporządzenia jednego dokumentu obejmującego kilka odbiorów.</w:t>
      </w:r>
    </w:p>
    <w:p>
      <w:pPr>
        <w:pStyle w:val="Normal"/>
        <w:suppressAutoHyphens w:val="false"/>
        <w:spacing w:before="0" w:after="0"/>
        <w:ind w:left="426" w:right="0"/>
        <w:jc w:val="both"/>
        <w:rPr>
          <w:rFonts w:ascii="Cambria" w:hAnsi="Cambria" w:cs="Cambria"/>
          <w:sz w:val="24"/>
          <w:szCs w:val="24"/>
        </w:rPr>
      </w:pPr>
      <w:r>
        <w:rPr>
          <w:rFonts w:eastAsia="Cambria" w:cs="Cambria" w:ascii="Cambria" w:hAnsi="Cambria"/>
          <w:b/>
          <w:bCs/>
          <w:sz w:val="24"/>
          <w:szCs w:val="24"/>
        </w:rPr>
        <w:t>Przedmiot zamówienia, przedmiot umowy, urządzenia lub zestawy – oznaczają urządzenia, oprogramowanie, licencje, okablowanie, akcesoria oraz wszystkie świadczenia objęte częścią albo częściami wskazanymi w ust. 1.</w:t>
      </w:r>
    </w:p>
    <w:p>
      <w:pPr>
        <w:pStyle w:val="Normal"/>
        <w:numPr>
          <w:ilvl w:val="0"/>
          <w:numId w:val="28"/>
        </w:numPr>
        <w:suppressAutoHyphens w:val="false"/>
        <w:spacing w:before="0" w:after="0"/>
        <w:ind w:hanging="360" w:left="426" w:right="0"/>
        <w:contextualSpacing/>
        <w:jc w:val="both"/>
        <w:rPr>
          <w:rFonts w:ascii="Cambria" w:hAnsi="Cambria" w:cs="Cambria"/>
          <w:b/>
          <w:sz w:val="24"/>
          <w:szCs w:val="24"/>
        </w:rPr>
      </w:pPr>
      <w:r>
        <w:rPr>
          <w:rFonts w:cs="Arial" w:ascii="Cambria" w:hAnsi="Cambria"/>
          <w:sz w:val="24"/>
          <w:szCs w:val="24"/>
        </w:rPr>
        <w:t>Zakres rzeczowy przedmiotu zamówienia obejmuje w szczególności:</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dostawę urządzeń fabrycznie nowych, niepochodzących z rynku wtórnego, z bieżącej produkcji, nieużywanych przed dostarczeniem z wyjątkiem testów producenta, kompletnych, wolnych od wad oraz pochodzących z legalnego i autoryzowanego kanału dystrybucji, wraz z transportem, ubezpieczeniem, wniesieniem i montażem w miejscu wskazanym przez Zamawiającego,</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dostarczenie instrukcji obsługi, konfiguracji i bezpieczeństwa w języku polskim, a jeżeli producent nie udostępnia instrukcji w języku polskim – w języku angielskim,</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dostarczenie kompletnej dokumentacji technicznej i użytkowej, kart katalogowych, informacji serwisowych, konfiguracji oraz dokumentów potwierdzających zgodność urządzeń z wymaganiami OPZ,</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dostarczenie dokumentów gwarancyjnych, deklaracji zgodności, wymaganych certyfikatów, wszystkich licencji, kluczy aktywacyjnych, kont, danych dostępowych, modułów, zasilaczy, uchwytów, przewodów, kabli, złączy i pozostałych elementów niezbędnych do prawidłowego działania,</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montaż urządzeń w szafach rack, podłączenie, uruchomienie, aktualizację oprogramowania układowego do stabilnej wersji, konfigurację oraz przeprowadzenie testów funkcjonalnych i interoperacyjności w zakresie wymaganym przez OPZ,</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eastAsia="Times New Roman" w:cs="Cambria" w:ascii="Cambria" w:hAnsi="Cambria"/>
          <w:lang w:eastAsia="pl-PL"/>
        </w:rPr>
        <w:t>poniesienie przez Wykonawcę wszystkich kosztów transportu, ubezpieczenia, opakowania, wniesienia, montażu, podłączenia, konfiguracji, testów, dokumentacji, licencji i innych świadczeń niezbędnych do kompletnej realizacji umowy,</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zapewnienie zgodności elementów elektrycznych i zasilających z polskim standardem zasilania oraz bezpieczeństwa użytkowania,</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Cambria" w:ascii="Cambria" w:hAnsi="Cambria"/>
        </w:rPr>
        <w:t>zapewnienie, że Wykonawca jest uprawniony do wprowadzenia do obrotu i udzielenia Zamawiającemu prawa do korzystania z oprogramowania i licencji dostarczanych wraz z urządzeniami, bez naruszenia praw osób trzecich,</w:t>
      </w:r>
    </w:p>
    <w:p>
      <w:pPr>
        <w:pStyle w:val="Akapitzlist"/>
        <w:numPr>
          <w:ilvl w:val="1"/>
          <w:numId w:val="23"/>
        </w:numPr>
        <w:tabs>
          <w:tab w:val="clear" w:pos="708"/>
          <w:tab w:val="left" w:pos="1701" w:leader="none"/>
        </w:tabs>
        <w:spacing w:lineRule="auto" w:line="276" w:before="20" w:after="40"/>
        <w:ind w:hanging="425" w:left="1701" w:right="0"/>
        <w:contextualSpacing/>
        <w:jc w:val="both"/>
        <w:rPr>
          <w:rFonts w:ascii="Cambria" w:hAnsi="Cambria" w:cs="Cambria"/>
        </w:rPr>
      </w:pPr>
      <w:r>
        <w:rPr>
          <w:rFonts w:cs="Arial" w:ascii="Cambria" w:hAnsi="Cambria"/>
        </w:rPr>
        <w:t>odpowiedzialność za całokształt realizacji, terminowość, kompletność, jakość, zgodność z OPZ, ofertą, normami, dokumentacją producenta i obowiązującymi przepisami prawa.</w:t>
      </w:r>
    </w:p>
    <w:p>
      <w:pPr>
        <w:pStyle w:val="Normal"/>
        <w:numPr>
          <w:ilvl w:val="0"/>
          <w:numId w:val="28"/>
        </w:numPr>
        <w:suppressAutoHyphens w:val="false"/>
        <w:spacing w:before="0" w:after="0"/>
        <w:ind w:hanging="426" w:left="426" w:right="0"/>
        <w:contextualSpacing/>
        <w:jc w:val="both"/>
        <w:rPr>
          <w:rFonts w:ascii="Cambria" w:hAnsi="Cambria" w:cs="Cambria"/>
          <w:b/>
          <w:sz w:val="24"/>
          <w:szCs w:val="24"/>
        </w:rPr>
      </w:pPr>
      <w:r>
        <w:rPr>
          <w:rFonts w:cs="Cambria" w:ascii="Cambria" w:hAnsi="Cambria"/>
          <w:sz w:val="24"/>
          <w:szCs w:val="24"/>
        </w:rPr>
        <w:t>Wykonawca zobowiązuje się wykonać przedmiot umowy zgodnie ze złożoną ofertą, SWZ, OPZ, wyjaśnieniami i zmianami dokumentów zamówienia, przedmiotowymi środkami dowodowymi oraz niniejszą umową, które stanowią integralną podstawę realizacji świadczenia.</w:t>
      </w:r>
    </w:p>
    <w:p>
      <w:pPr>
        <w:pStyle w:val="Normal"/>
        <w:numPr>
          <w:ilvl w:val="0"/>
          <w:numId w:val="28"/>
        </w:numPr>
        <w:suppressAutoHyphens w:val="false"/>
        <w:spacing w:before="0" w:after="0"/>
        <w:ind w:hanging="426" w:left="426" w:right="0"/>
        <w:contextualSpacing/>
        <w:jc w:val="both"/>
        <w:rPr>
          <w:rFonts w:ascii="Cambria" w:hAnsi="Cambria" w:cs="Cambria"/>
          <w:b/>
          <w:sz w:val="24"/>
          <w:szCs w:val="24"/>
        </w:rPr>
      </w:pPr>
      <w:r>
        <w:rPr>
          <w:rFonts w:cs="†¯øw≥¸;Times New Roman" w:ascii="Cambria" w:hAnsi="Cambria"/>
          <w:b/>
          <w:color w:val="000000"/>
          <w:sz w:val="24"/>
          <w:szCs w:val="24"/>
        </w:rPr>
        <w:t>Zamówienie jest finansowane ze środków własnych Zamawiającego i nie jest współfinansowane ze środków Unii Europejskiej ani realizowane w ramach projektu finansowanego ze środków UE.</w:t>
      </w:r>
    </w:p>
    <w:p>
      <w:pPr>
        <w:pStyle w:val="Akapitzlist"/>
        <w:spacing w:lineRule="auto" w:line="276" w:before="0" w:after="160"/>
        <w:ind w:left="851" w:right="0"/>
        <w:contextualSpacing/>
        <w:jc w:val="both"/>
        <w:rPr>
          <w:rFonts w:ascii="Cambria" w:hAnsi="Cambria" w:cs="Cambria"/>
          <w:b/>
          <w:bCs/>
          <w:sz w:val="24"/>
          <w:szCs w:val="24"/>
        </w:rPr>
      </w:pPr>
      <w:r>
        <w:rPr>
          <w:rFonts w:cs="Cambria" w:ascii="Cambria" w:hAnsi="Cambria"/>
          <w:b/>
          <w:bCs/>
          <w:sz w:val="24"/>
          <w:szCs w:val="24"/>
        </w:rPr>
      </w:r>
    </w:p>
    <w:p>
      <w:pPr>
        <w:pStyle w:val="Akapitzlist"/>
        <w:spacing w:lineRule="auto" w:line="276" w:before="0" w:after="160"/>
        <w:ind w:left="851" w:right="0"/>
        <w:contextualSpacing/>
        <w:jc w:val="center"/>
        <w:rPr>
          <w:rFonts w:ascii="Cambria" w:hAnsi="Cambria" w:cs="Cambria"/>
        </w:rPr>
      </w:pPr>
      <w:r>
        <w:rPr>
          <w:rFonts w:cs="Cambria" w:ascii="Cambria" w:hAnsi="Cambria"/>
          <w:b/>
        </w:rPr>
        <w:t>§ 3</w:t>
      </w:r>
    </w:p>
    <w:p>
      <w:pPr>
        <w:pStyle w:val="p2"/>
        <w:spacing w:lineRule="auto" w:line="276"/>
        <w:jc w:val="center"/>
        <w:rPr>
          <w:rFonts w:ascii="Cambria" w:hAnsi="Cambria" w:cs="Cambria"/>
          <w:b/>
          <w:sz w:val="24"/>
          <w:szCs w:val="24"/>
        </w:rPr>
      </w:pPr>
      <w:r>
        <w:rPr>
          <w:rFonts w:cs="Cambria" w:ascii="Cambria" w:hAnsi="Cambria"/>
          <w:b/>
          <w:sz w:val="24"/>
          <w:szCs w:val="24"/>
        </w:rPr>
        <w:t>Oświadczenia Wykonawcy</w:t>
      </w:r>
    </w:p>
    <w:p>
      <w:pPr>
        <w:pStyle w:val="p2"/>
        <w:numPr>
          <w:ilvl w:val="0"/>
          <w:numId w:val="13"/>
        </w:numPr>
        <w:spacing w:lineRule="auto" w:line="276"/>
        <w:ind w:hanging="426" w:left="426" w:right="0"/>
        <w:jc w:val="both"/>
        <w:rPr>
          <w:rFonts w:ascii="Cambria" w:hAnsi="Cambria" w:cs="Cambria"/>
        </w:rPr>
      </w:pPr>
      <w:r>
        <w:rPr>
          <w:rFonts w:cs="Cambria" w:ascii="Cambria" w:hAnsi="Cambria"/>
          <w:sz w:val="24"/>
          <w:szCs w:val="24"/>
        </w:rPr>
        <w:t>Wykonawca oświadcza, iż zapoznał się z warunkami wykonania przedmiotu umowy wskazanymi w SWZ i umowie i nie zgłasza do nich uwag oraz zobowiązuje się do wykonania umowy zgodnie z tymi warunkami.</w:t>
      </w:r>
    </w:p>
    <w:p>
      <w:pPr>
        <w:pStyle w:val="p2"/>
        <w:numPr>
          <w:ilvl w:val="0"/>
          <w:numId w:val="13"/>
        </w:numPr>
        <w:spacing w:lineRule="auto" w:line="276"/>
        <w:ind w:hanging="426" w:left="426" w:right="0"/>
        <w:jc w:val="both"/>
        <w:rPr>
          <w:rFonts w:ascii="Cambria" w:hAnsi="Cambria" w:cs="Cambria"/>
        </w:rPr>
      </w:pPr>
      <w:r>
        <w:rPr>
          <w:rFonts w:cs="Cambria" w:ascii="Cambria" w:hAnsi="Cambria"/>
          <w:sz w:val="24"/>
          <w:szCs w:val="24"/>
        </w:rPr>
        <w:t>Wykonawca oświadcza, iż posiada niezbędną wiedzę i doświadczenie do realizacji przedmiotu umowy. Wykonawca zobowiązuje się do realizacji umowy z dołożeniem najwyższej staranności zgodnie z obowiązującymi przepisami i normami, treścią umowy oraz uzgodnieniami dokonanymi w trakcie realizacji umowy.</w:t>
      </w:r>
    </w:p>
    <w:p>
      <w:pPr>
        <w:pStyle w:val="p2"/>
        <w:numPr>
          <w:ilvl w:val="0"/>
          <w:numId w:val="13"/>
        </w:numPr>
        <w:spacing w:lineRule="auto" w:line="276"/>
        <w:ind w:hanging="426" w:left="426" w:right="0"/>
        <w:jc w:val="both"/>
        <w:rPr>
          <w:rFonts w:ascii="Cambria" w:hAnsi="Cambria" w:cs="Arial"/>
          <w:sz w:val="24"/>
          <w:szCs w:val="24"/>
        </w:rPr>
      </w:pPr>
      <w:r>
        <w:rPr>
          <w:rFonts w:cs="Cambria" w:ascii="Cambria" w:hAnsi="Cambria"/>
          <w:color w:val="000000"/>
          <w:sz w:val="24"/>
          <w:szCs w:val="24"/>
        </w:rPr>
        <w:t>Wykonawca zobowiązany jest bezzwłocznie informować o przeszkodach w należytym wykonywaniu umowy, w tym również o okolicznościach leżących po stronie Zamawiającego, które mogą mieć wpływ na wywiązanie się Wykonawcy z postanowień umowy.</w:t>
      </w:r>
    </w:p>
    <w:p>
      <w:pPr>
        <w:pStyle w:val="p2"/>
        <w:spacing w:lineRule="auto" w:line="276"/>
        <w:jc w:val="center"/>
        <w:rPr>
          <w:rFonts w:ascii="Cambria" w:hAnsi="Cambria" w:cs="Cambria"/>
          <w:sz w:val="24"/>
          <w:szCs w:val="24"/>
        </w:rPr>
      </w:pPr>
      <w:r>
        <w:rPr>
          <w:rFonts w:cs="Cambria" w:ascii="Cambria" w:hAnsi="Cambria"/>
          <w:b/>
          <w:sz w:val="24"/>
          <w:szCs w:val="24"/>
        </w:rPr>
        <w:t>§ 4</w:t>
      </w:r>
    </w:p>
    <w:p>
      <w:pPr>
        <w:pStyle w:val="p2"/>
        <w:spacing w:lineRule="auto" w:line="276"/>
        <w:jc w:val="center"/>
        <w:rPr>
          <w:rFonts w:ascii="Cambria" w:hAnsi="Cambria" w:cs="Cambria"/>
          <w:b/>
          <w:sz w:val="24"/>
          <w:szCs w:val="24"/>
        </w:rPr>
      </w:pPr>
      <w:r>
        <w:rPr>
          <w:rFonts w:cs="Cambria" w:ascii="Cambria" w:hAnsi="Cambria"/>
          <w:b/>
          <w:sz w:val="24"/>
          <w:szCs w:val="24"/>
        </w:rPr>
        <w:t>Zasady współpracy</w:t>
      </w:r>
    </w:p>
    <w:p>
      <w:pPr>
        <w:pStyle w:val="p2"/>
        <w:numPr>
          <w:ilvl w:val="0"/>
          <w:numId w:val="11"/>
        </w:numPr>
        <w:spacing w:lineRule="auto" w:line="276"/>
        <w:ind w:hanging="426" w:left="426" w:right="0"/>
        <w:jc w:val="both"/>
        <w:rPr>
          <w:rFonts w:ascii="Cambria" w:hAnsi="Cambria" w:cs="Cambria"/>
          <w:sz w:val="24"/>
          <w:szCs w:val="24"/>
        </w:rPr>
      </w:pPr>
      <w:r>
        <w:rPr>
          <w:rFonts w:cs="Cambria" w:ascii="Cambria" w:hAnsi="Cambria"/>
          <w:sz w:val="24"/>
          <w:szCs w:val="24"/>
        </w:rPr>
        <w:t>Zamawiający i Wykonawca zobowiązują się do współpracy przy realizacji przedmiotu umowy.</w:t>
      </w:r>
    </w:p>
    <w:p>
      <w:pPr>
        <w:pStyle w:val="p2"/>
        <w:numPr>
          <w:ilvl w:val="0"/>
          <w:numId w:val="11"/>
        </w:numPr>
        <w:spacing w:lineRule="auto" w:line="276"/>
        <w:ind w:hanging="426" w:left="426" w:right="0"/>
        <w:jc w:val="both"/>
        <w:rPr>
          <w:rFonts w:ascii="Cambria" w:hAnsi="Cambria" w:cs="Cambria"/>
          <w:sz w:val="24"/>
          <w:szCs w:val="24"/>
        </w:rPr>
      </w:pPr>
      <w:r>
        <w:rPr>
          <w:rFonts w:cs="Cambria" w:ascii="Cambria" w:hAnsi="Cambria"/>
          <w:sz w:val="24"/>
          <w:szCs w:val="24"/>
        </w:rPr>
        <w:t>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w:t>
      </w:r>
    </w:p>
    <w:p>
      <w:pPr>
        <w:pStyle w:val="p2"/>
        <w:numPr>
          <w:ilvl w:val="0"/>
          <w:numId w:val="11"/>
        </w:numPr>
        <w:spacing w:lineRule="auto" w:line="276"/>
        <w:ind w:hanging="426" w:left="426" w:right="0"/>
        <w:jc w:val="both"/>
        <w:rPr>
          <w:rFonts w:ascii="Cambria" w:hAnsi="Cambria" w:cs="Cambria"/>
          <w:sz w:val="24"/>
          <w:szCs w:val="24"/>
        </w:rPr>
      </w:pPr>
      <w:r>
        <w:rPr>
          <w:rFonts w:cs="Cambria" w:ascii="Cambria" w:hAnsi="Cambria"/>
          <w:color w:val="000000"/>
          <w:sz w:val="24"/>
          <w:szCs w:val="24"/>
        </w:rPr>
        <w:t>Zamawiający zapewni Wykonawcy dostęp do informacji i środków technicznych w zakresie niezbędnym do realizacji przedmiotu umowy.</w:t>
      </w:r>
    </w:p>
    <w:p>
      <w:pPr>
        <w:pStyle w:val="p2"/>
        <w:numPr>
          <w:ilvl w:val="0"/>
          <w:numId w:val="11"/>
        </w:numPr>
        <w:spacing w:lineRule="auto" w:line="276"/>
        <w:ind w:hanging="426" w:left="426" w:right="0"/>
        <w:jc w:val="both"/>
        <w:rPr>
          <w:rFonts w:ascii="Cambria" w:hAnsi="Cambria" w:cs="Cambria"/>
          <w:sz w:val="24"/>
          <w:szCs w:val="24"/>
        </w:rPr>
      </w:pPr>
      <w:r>
        <w:rPr>
          <w:rFonts w:cs="Cambria" w:ascii="Cambria" w:hAnsi="Cambria"/>
          <w:sz w:val="24"/>
          <w:szCs w:val="24"/>
        </w:rPr>
        <w:t>Wykonawca ponosi pełną odpowiedzialność wobec Zamawiającego za działania lub zaniechania pracowników Wykonawcy, osób działających w jego imieniu lub podwykonawców, jak za działania własne.</w:t>
      </w:r>
    </w:p>
    <w:p>
      <w:pPr>
        <w:pStyle w:val="Normal"/>
        <w:widowControl w:val="false"/>
        <w:autoSpaceDE w:val="false"/>
        <w:jc w:val="both"/>
        <w:rPr/>
      </w:pPr>
      <w:r>
        <w:rPr>
          <w:rFonts w:cs="†¯øw≥¸;Times New Roman" w:ascii="Cambria" w:hAnsi="Cambria"/>
          <w:b/>
          <w:bCs/>
          <w:color w:val="000000"/>
        </w:rPr>
        <w:t>5. W ramach realizacji umowy Wykonawca zobowiązany jest w szczególności do:</w:t>
      </w:r>
    </w:p>
    <w:p>
      <w:pPr>
        <w:pStyle w:val="Akapitzlist"/>
        <w:widowControl w:val="false"/>
        <w:numPr>
          <w:ilvl w:val="0"/>
          <w:numId w:val="37"/>
        </w:numPr>
        <w:tabs>
          <w:tab w:val="clear" w:pos="708"/>
          <w:tab w:val="left" w:pos="851" w:leader="none"/>
        </w:tabs>
        <w:autoSpaceDE w:val="false"/>
        <w:spacing w:lineRule="auto" w:line="276"/>
        <w:ind w:hanging="425" w:left="851" w:right="0"/>
        <w:jc w:val="both"/>
        <w:rPr>
          <w:rFonts w:ascii="Cambria" w:hAnsi="Cambria" w:cs="†¯øw≥¸;Times New Roman"/>
        </w:rPr>
      </w:pPr>
      <w:r>
        <w:rPr>
          <w:rFonts w:cs="†¯øw≥¸;Times New Roman" w:ascii="Cambria" w:hAnsi="Cambria"/>
        </w:rPr>
        <w:t>należytego wykonania przedmiotu umowy zgodnie z umową, OPZ, ofertą, dokumentacją producenta, zasadami wiedzy technicznej i przepisami prawa;</w:t>
      </w:r>
    </w:p>
    <w:p>
      <w:pPr>
        <w:pStyle w:val="Akapitzlist"/>
        <w:widowControl w:val="false"/>
        <w:numPr>
          <w:ilvl w:val="0"/>
          <w:numId w:val="32"/>
        </w:numPr>
        <w:tabs>
          <w:tab w:val="clear" w:pos="708"/>
          <w:tab w:val="left" w:pos="851" w:leader="none"/>
        </w:tabs>
        <w:autoSpaceDE w:val="false"/>
        <w:spacing w:lineRule="auto" w:line="276"/>
        <w:ind w:hanging="425" w:left="851" w:right="0"/>
        <w:jc w:val="both"/>
        <w:rPr>
          <w:rFonts w:ascii="Cambria" w:hAnsi="Cambria" w:cs="†¯øw≥¸;Times New Roman"/>
        </w:rPr>
      </w:pPr>
      <w:r>
        <w:rPr>
          <w:rFonts w:cs="†¯øw≥¸;Times New Roman" w:ascii="Cambria" w:hAnsi="Cambria"/>
        </w:rPr>
        <w:t>okazania na każde wezwanie Zamawiającego dokumentów dotyczących oferowanych i dostarczonych urządzeń, w szczególności:</w:t>
      </w:r>
    </w:p>
    <w:p>
      <w:pPr>
        <w:pStyle w:val="Akapitzlist"/>
        <w:numPr>
          <w:ilvl w:val="2"/>
          <w:numId w:val="34"/>
        </w:numPr>
        <w:spacing w:lineRule="auto" w:line="276"/>
        <w:ind w:hanging="283" w:left="1134" w:right="0"/>
        <w:rPr>
          <w:rFonts w:ascii="Cambria" w:hAnsi="Cambria" w:cs="Cambria"/>
          <w:color w:val="000000"/>
        </w:rPr>
      </w:pPr>
      <w:r>
        <w:rPr>
          <w:rFonts w:cs="Cambria" w:ascii="Cambria" w:hAnsi="Cambria"/>
          <w:color w:val="000000"/>
        </w:rPr>
        <w:t>deklaracji zgodności i dokumentów dopuszczających urządzenia do obrotu i użytkowania, jeżeli są wymagane;</w:t>
      </w:r>
    </w:p>
    <w:p>
      <w:pPr>
        <w:pStyle w:val="Akapitzlist"/>
        <w:numPr>
          <w:ilvl w:val="2"/>
          <w:numId w:val="34"/>
        </w:numPr>
        <w:spacing w:lineRule="auto" w:line="276"/>
        <w:ind w:hanging="283" w:left="1134" w:right="0"/>
        <w:jc w:val="both"/>
        <w:rPr>
          <w:rFonts w:ascii="Cambria" w:hAnsi="Cambria" w:cs="†¯øw≥¸;Times New Roman"/>
          <w:color w:val="000000"/>
        </w:rPr>
      </w:pPr>
      <w:r>
        <w:rPr>
          <w:rFonts w:cs="†¯øw≥¸;Times New Roman" w:ascii="Cambria" w:hAnsi="Cambria"/>
          <w:color w:val="000000"/>
        </w:rPr>
        <w:t>kart katalogowych, certyfikatów, raportów, oświadczeń producenta i innych dokumentów potwierdzających spełnienie wymagań OPZ;</w:t>
      </w:r>
    </w:p>
    <w:p>
      <w:pPr>
        <w:pStyle w:val="Akapitzlist"/>
        <w:numPr>
          <w:ilvl w:val="2"/>
          <w:numId w:val="34"/>
        </w:numPr>
        <w:spacing w:lineRule="auto" w:line="276"/>
        <w:ind w:hanging="283" w:left="1134" w:right="0"/>
        <w:jc w:val="both"/>
        <w:rPr>
          <w:rFonts w:ascii="Cambria" w:hAnsi="Cambria" w:cs="†¯øw≥¸;Times New Roman"/>
          <w:color w:val="000000"/>
        </w:rPr>
      </w:pPr>
      <w:r>
        <w:rPr>
          <w:rFonts w:cs="†¯øw≥¸;Times New Roman" w:ascii="Cambria" w:hAnsi="Cambria"/>
          <w:color w:val="000000"/>
        </w:rPr>
        <w:t>instrukcji użytkowania, konfiguracji, licencji, informacji o wersjach firmware i dokumentacji serwisowej.</w:t>
      </w:r>
    </w:p>
    <w:p>
      <w:pPr>
        <w:pStyle w:val="Normal"/>
        <w:tabs>
          <w:tab w:val="clear" w:pos="708"/>
          <w:tab w:val="left" w:pos="426" w:leader="none"/>
        </w:tabs>
        <w:ind w:hanging="426" w:left="426" w:right="0"/>
        <w:jc w:val="both"/>
        <w:rPr/>
      </w:pPr>
      <w:r>
        <w:rPr>
          <w:rFonts w:cs="†¯øw≥¸;Times New Roman" w:ascii="Cambria" w:hAnsi="Cambria"/>
          <w:b/>
          <w:bCs/>
          <w:color w:val="000000"/>
        </w:rPr>
        <w:t>6. Wykonawca jest zobowiązany do dostarczenia urządzeń i zestawów spełniających wszystkie parametry wynikające z dokumentacji zamówienia oraz zgodnych z producentem, modelem, konfiguracją i oznaczeniem wskazanym w ofercie.</w:t>
      </w:r>
    </w:p>
    <w:p>
      <w:pPr>
        <w:pStyle w:val="Normal"/>
        <w:tabs>
          <w:tab w:val="clear" w:pos="708"/>
          <w:tab w:val="left" w:pos="426" w:leader="none"/>
        </w:tabs>
        <w:ind w:hanging="426" w:left="426" w:right="0"/>
        <w:jc w:val="both"/>
        <w:rPr>
          <w:rFonts w:ascii="Cambria" w:hAnsi="Cambria" w:cs="†¯øw≥¸;Times New Roman"/>
          <w:color w:val="000000"/>
          <w:sz w:val="24"/>
          <w:szCs w:val="24"/>
        </w:rPr>
      </w:pPr>
      <w:r>
        <w:rPr>
          <w:rFonts w:cs="†¯øw≥¸;Times New Roman" w:ascii="Cambria" w:hAnsi="Cambria"/>
          <w:b/>
          <w:bCs/>
          <w:color w:val="000000"/>
        </w:rPr>
        <w:t>7. W przypadku stwierdzenia przed dostawą albo podczas odbioru, że urządzenie zostało wycofane z produkcji lub nie może zostać dostarczone, Wykonawca może zaproponować urządzenie zastępcze wyłącznie na zasadach określonych w § 10, po wykazaniu, że spełnia ono wszystkie wymagania i nie powoduje zwiększenia wynagrodzenia.</w:t>
      </w:r>
    </w:p>
    <w:p>
      <w:pPr>
        <w:pStyle w:val="Normal"/>
        <w:tabs>
          <w:tab w:val="clear" w:pos="708"/>
          <w:tab w:val="left" w:pos="426" w:leader="none"/>
        </w:tabs>
        <w:ind w:hanging="426" w:left="426" w:right="0"/>
        <w:jc w:val="both"/>
        <w:rPr>
          <w:rFonts w:ascii="Cambria" w:hAnsi="Cambria" w:cs="†¯øw≥¸;Times New Roman"/>
          <w:color w:val="000000"/>
          <w:sz w:val="24"/>
          <w:szCs w:val="24"/>
        </w:rPr>
      </w:pPr>
      <w:r>
        <w:rPr>
          <w:rFonts w:cs="†¯øw≥¸;Times New Roman" w:ascii="Cambria" w:hAnsi="Cambria"/>
          <w:b/>
          <w:bCs/>
          <w:color w:val="000000"/>
          <w:sz w:val="24"/>
          <w:szCs w:val="24"/>
        </w:rPr>
        <w:t>8. Dostarczenie urządzeń niezgodnych z umową, OPZ lub ofertą, bez uprzedniej pisemnej zgody Zamawiającego, uprawnia Zamawiającego do odmowy odbioru, wyznaczenia terminu dostarczenia rozwiązania zgodnego oraz skorzystania z pozostałych uprawnień umownych i ustawowych.</w:t>
      </w:r>
    </w:p>
    <w:p>
      <w:pPr>
        <w:pStyle w:val="p2"/>
        <w:spacing w:lineRule="auto" w:line="276"/>
        <w:jc w:val="center"/>
        <w:rPr>
          <w:rStyle w:val="s1"/>
          <w:rFonts w:ascii="Cambria" w:hAnsi="Cambria" w:cs="Cambria"/>
          <w:b/>
          <w:sz w:val="24"/>
          <w:szCs w:val="24"/>
        </w:rPr>
      </w:pPr>
      <w:r>
        <w:rPr>
          <w:rFonts w:cs="Cambria" w:ascii="Cambria" w:hAnsi="Cambria"/>
          <w:color w:val="000000"/>
          <w:sz w:val="24"/>
          <w:szCs w:val="24"/>
        </w:rPr>
      </w:r>
    </w:p>
    <w:p>
      <w:pPr>
        <w:pStyle w:val="p2"/>
        <w:spacing w:lineRule="auto" w:line="276"/>
        <w:jc w:val="center"/>
        <w:rPr>
          <w:rFonts w:ascii="Cambria" w:hAnsi="Cambria" w:cs="Cambria"/>
        </w:rPr>
      </w:pPr>
      <w:r>
        <w:rPr>
          <w:rStyle w:val="s1"/>
          <w:rFonts w:cs="Cambria" w:ascii="Cambria" w:hAnsi="Cambria"/>
          <w:b/>
          <w:sz w:val="24"/>
          <w:szCs w:val="24"/>
        </w:rPr>
        <w:t xml:space="preserve">§ </w:t>
      </w:r>
      <w:r>
        <w:rPr>
          <w:rFonts w:cs="Cambria" w:ascii="Cambria" w:hAnsi="Cambria"/>
          <w:b/>
          <w:sz w:val="24"/>
          <w:szCs w:val="24"/>
        </w:rPr>
        <w:t>5</w:t>
      </w:r>
    </w:p>
    <w:p>
      <w:pPr>
        <w:pStyle w:val="p2"/>
        <w:tabs>
          <w:tab w:val="clear" w:pos="708"/>
          <w:tab w:val="center" w:pos="4535" w:leader="none"/>
          <w:tab w:val="right" w:pos="9070" w:leader="none"/>
        </w:tabs>
        <w:spacing w:lineRule="auto" w:line="276"/>
        <w:rPr>
          <w:rFonts w:ascii="Cambria" w:hAnsi="Cambria" w:cs="Cambria"/>
        </w:rPr>
      </w:pPr>
      <w:r>
        <w:rPr>
          <w:rFonts w:cs="Cambria" w:ascii="Cambria" w:hAnsi="Cambria"/>
          <w:b/>
          <w:sz w:val="24"/>
          <w:szCs w:val="24"/>
        </w:rPr>
        <w:tab/>
        <w:t>Termin i miejsce dostawy</w:t>
        <w:tab/>
      </w:r>
    </w:p>
    <w:p>
      <w:pPr>
        <w:pStyle w:val="Normal"/>
        <w:widowControl w:val="false"/>
        <w:numPr>
          <w:ilvl w:val="1"/>
          <w:numId w:val="18"/>
        </w:numPr>
        <w:autoSpaceDE w:val="false"/>
        <w:spacing w:before="20" w:after="40"/>
        <w:ind w:hanging="426" w:left="426" w:right="0"/>
        <w:contextualSpacing/>
        <w:jc w:val="both"/>
        <w:outlineLvl w:val="3"/>
        <w:rPr>
          <w:rFonts w:ascii="Cambria" w:hAnsi="Cambria" w:cs="Helvetica"/>
          <w:bCs/>
          <w:sz w:val="24"/>
          <w:szCs w:val="24"/>
        </w:rPr>
      </w:pPr>
      <w:r>
        <w:rPr>
          <w:rFonts w:cs="Arial" w:ascii="Cambria" w:hAnsi="Cambria"/>
          <w:bCs/>
          <w:sz w:val="24"/>
          <w:szCs w:val="24"/>
        </w:rPr>
        <w:t>Wykonawca jest zobowiązany wykonać przedmiot umowy w terminie do 60 dni od dnia zawarcia umowy, tj. do dnia ………………… r. Termin stosuje się do każdej części objętej umową.</w:t>
      </w:r>
    </w:p>
    <w:p>
      <w:pPr>
        <w:pStyle w:val="Normal"/>
        <w:widowControl w:val="false"/>
        <w:numPr>
          <w:ilvl w:val="1"/>
          <w:numId w:val="18"/>
        </w:numPr>
        <w:autoSpaceDE w:val="false"/>
        <w:spacing w:before="20" w:after="40"/>
        <w:ind w:hanging="426" w:left="426" w:right="0"/>
        <w:contextualSpacing/>
        <w:jc w:val="both"/>
        <w:outlineLvl w:val="3"/>
        <w:rPr>
          <w:rFonts w:ascii="Cambria" w:hAnsi="Cambria" w:cs="Cambria"/>
          <w:sz w:val="24"/>
          <w:szCs w:val="24"/>
        </w:rPr>
      </w:pPr>
      <w:r>
        <w:rPr>
          <w:rFonts w:cs="Cambria" w:ascii="Cambria" w:hAnsi="Cambria"/>
          <w:sz w:val="24"/>
          <w:szCs w:val="24"/>
        </w:rPr>
        <w:t>Wykonawca ma obowiązek dostarczyć, wnieść, zamontować, podłączyć, uruchomić i skonfigurować urządzenia w siedzibie Zamawiającego przy ul. Obrońców Pokoju 2, 20-030 Lublin, w miejscu wskazanym przez Zamawiającego.</w:t>
      </w:r>
    </w:p>
    <w:p>
      <w:pPr>
        <w:pStyle w:val="Normal"/>
        <w:widowControl w:val="false"/>
        <w:numPr>
          <w:ilvl w:val="1"/>
          <w:numId w:val="18"/>
        </w:numPr>
        <w:tabs>
          <w:tab w:val="clear" w:pos="708"/>
        </w:tabs>
        <w:autoSpaceDE w:val="false"/>
        <w:spacing w:before="20" w:after="40"/>
        <w:ind w:hanging="426" w:left="426" w:right="0"/>
        <w:contextualSpacing/>
        <w:jc w:val="both"/>
        <w:outlineLvl w:val="3"/>
        <w:rPr>
          <w:rFonts w:ascii="Cambria" w:hAnsi="Cambria" w:cs="Cambria"/>
          <w:bCs/>
          <w:sz w:val="24"/>
          <w:szCs w:val="24"/>
        </w:rPr>
      </w:pPr>
      <w:r>
        <w:rPr>
          <w:rFonts w:cs="Cambria" w:ascii="Cambria" w:hAnsi="Cambria"/>
          <w:bCs/>
          <w:sz w:val="24"/>
          <w:szCs w:val="24"/>
        </w:rPr>
        <w:t>Dostawa zostanie zrealizowana po zgłoszeniu przez Wykonawcę gotowości i uzgodnieniu terminu z Zamawiającym, w dni robocze, co do zasady w godzinach 8:00–16:00, z uwzględnieniem konieczności zachowania ciągłości pracy rozgłośni.</w:t>
      </w:r>
    </w:p>
    <w:p>
      <w:pPr>
        <w:pStyle w:val="Normal"/>
        <w:widowControl w:val="false"/>
        <w:numPr>
          <w:ilvl w:val="1"/>
          <w:numId w:val="18"/>
        </w:numPr>
        <w:tabs>
          <w:tab w:val="clear" w:pos="708"/>
        </w:tabs>
        <w:autoSpaceDE w:val="false"/>
        <w:spacing w:before="20" w:after="40"/>
        <w:ind w:hanging="426" w:left="426" w:right="0"/>
        <w:contextualSpacing/>
        <w:jc w:val="both"/>
        <w:outlineLvl w:val="3"/>
        <w:rPr>
          <w:rFonts w:ascii="Cambria" w:hAnsi="Cambria" w:cs="Cambria"/>
          <w:bCs/>
          <w:sz w:val="24"/>
          <w:szCs w:val="24"/>
        </w:rPr>
      </w:pPr>
      <w:r>
        <w:rPr>
          <w:rFonts w:cs="Cambria" w:ascii="Cambria" w:hAnsi="Cambria"/>
          <w:bCs/>
          <w:sz w:val="24"/>
          <w:szCs w:val="24"/>
        </w:rPr>
        <w:t>Urządzenia zostaną dostarczone w opakowaniach właściwych dla danego rodzaju sprzętu, zabezpieczających przed uszkodzeniem, wilgocią, wyładowaniami elektrostatycznymi i innymi ryzykami transportowymi. Ryzyko przypadkowej utraty lub uszkodzenia przechodzi na Zamawiającego z chwilą podpisania protokołu odbioru bez zastrzeżeń.</w:t>
      </w:r>
    </w:p>
    <w:p>
      <w:pPr>
        <w:pStyle w:val="Normal"/>
        <w:widowControl w:val="false"/>
        <w:numPr>
          <w:ilvl w:val="1"/>
          <w:numId w:val="18"/>
        </w:numPr>
        <w:tabs>
          <w:tab w:val="clear" w:pos="708"/>
        </w:tabs>
        <w:autoSpaceDE w:val="false"/>
        <w:spacing w:before="20" w:after="40"/>
        <w:ind w:hanging="426" w:left="426" w:right="0"/>
        <w:contextualSpacing/>
        <w:jc w:val="both"/>
        <w:outlineLvl w:val="3"/>
        <w:rPr>
          <w:rFonts w:ascii="Cambria" w:hAnsi="Cambria" w:cs="Cambria"/>
          <w:bCs/>
          <w:sz w:val="24"/>
          <w:szCs w:val="24"/>
        </w:rPr>
      </w:pPr>
      <w:r>
        <w:rPr>
          <w:rFonts w:cs="Cambria" w:ascii="Cambria" w:hAnsi="Cambria"/>
          <w:bCs/>
          <w:sz w:val="24"/>
          <w:szCs w:val="24"/>
        </w:rPr>
        <w:t>Ilekroć w umowie jest mowa o „dniach roboczych”, należy przez to rozumieć dni od poniedziałku do piątku, z wyłączeniem dni ustawowo wolnych od pracy określonych w ustawie z dnia 18 stycznia 1951 r. o dniach wolnych od pracy (t.j. Dz. U. z 2025 r. poz. 296).</w:t>
      </w:r>
    </w:p>
    <w:p>
      <w:pPr>
        <w:pStyle w:val="Normal"/>
        <w:widowControl w:val="false"/>
        <w:numPr>
          <w:ilvl w:val="0"/>
          <w:numId w:val="0"/>
        </w:numPr>
        <w:autoSpaceDE w:val="false"/>
        <w:spacing w:before="20" w:after="40"/>
        <w:ind w:left="360" w:right="0"/>
        <w:contextualSpacing/>
        <w:jc w:val="both"/>
        <w:outlineLvl w:val="3"/>
        <w:rPr>
          <w:rFonts w:ascii="Cambria" w:hAnsi="Cambria" w:cs="Cambria"/>
          <w:bCs/>
          <w:sz w:val="24"/>
          <w:szCs w:val="24"/>
        </w:rPr>
      </w:pPr>
      <w:r>
        <w:rPr>
          <w:rFonts w:cs="Cambria" w:ascii="Cambria" w:hAnsi="Cambria"/>
          <w:bCs/>
          <w:sz w:val="24"/>
          <w:szCs w:val="24"/>
        </w:rPr>
      </w:r>
    </w:p>
    <w:p>
      <w:pPr>
        <w:pStyle w:val="Normal"/>
        <w:autoSpaceDE w:val="false"/>
        <w:spacing w:before="0" w:after="0"/>
        <w:jc w:val="center"/>
        <w:rPr>
          <w:rFonts w:ascii="Cambria" w:hAnsi="Cambria" w:cs="ArialNarrow,Bold"/>
          <w:b/>
          <w:bCs/>
          <w:sz w:val="24"/>
          <w:szCs w:val="24"/>
        </w:rPr>
      </w:pPr>
      <w:r>
        <w:rPr>
          <w:rFonts w:cs="ArialNarrow,Bold" w:ascii="Cambria" w:hAnsi="Cambria"/>
          <w:b/>
          <w:bCs/>
          <w:sz w:val="24"/>
          <w:szCs w:val="24"/>
        </w:rPr>
        <w:t>§ 5a</w:t>
      </w:r>
    </w:p>
    <w:p>
      <w:pPr>
        <w:pStyle w:val="Normal"/>
        <w:autoSpaceDE w:val="false"/>
        <w:spacing w:before="0" w:after="0"/>
        <w:jc w:val="center"/>
        <w:rPr>
          <w:rFonts w:ascii="Cambria" w:hAnsi="Cambria" w:cs="Cambria"/>
          <w:b/>
          <w:bCs/>
          <w:spacing w:val="-8"/>
          <w:sz w:val="24"/>
          <w:szCs w:val="24"/>
        </w:rPr>
      </w:pPr>
      <w:r>
        <w:rPr>
          <w:rFonts w:cs="Cambria" w:ascii="Cambria" w:hAnsi="Cambria"/>
          <w:b/>
          <w:bCs/>
          <w:spacing w:val="-8"/>
          <w:sz w:val="24"/>
          <w:szCs w:val="24"/>
        </w:rPr>
        <w:t>Odbiór przedmiotu umowy</w:t>
      </w:r>
    </w:p>
    <w:p>
      <w:pPr>
        <w:pStyle w:val="Normal"/>
        <w:numPr>
          <w:ilvl w:val="0"/>
          <w:numId w:val="33"/>
        </w:numPr>
        <w:suppressAutoHyphens w:val="false"/>
        <w:spacing w:before="0" w:after="0"/>
        <w:contextualSpacing/>
        <w:jc w:val="both"/>
        <w:rPr>
          <w:rFonts w:ascii="Cambria" w:hAnsi="Cambria" w:cs="†¯øw≥¸;Times New Roman"/>
          <w:sz w:val="24"/>
          <w:szCs w:val="24"/>
        </w:rPr>
      </w:pPr>
      <w:r>
        <w:rPr>
          <w:rFonts w:cs="Tahoma" w:ascii="Cambria" w:hAnsi="Cambria"/>
          <w:color w:val="000000"/>
          <w:sz w:val="24"/>
          <w:szCs w:val="24"/>
        </w:rPr>
        <w:t>Potwierdzeniem należytego wykonania danej części umowy jest protokół odbioru podpisany przez Strony, stanowiący podstawę wystawienia faktury. Dla oceny dochowania terminu wykonania danej części przyjmuje się dzień prawidłowego zgłoszenia gotowości do odbioru, pod warunkiem że w toku odbioru nie stwierdzono wad lub niezgodności istotnych. Czas wykonywania czynności odbiorowych przez Zamawiającego nie stanowi zwłoki Wykonawcy.</w:t>
      </w:r>
    </w:p>
    <w:p>
      <w:pPr>
        <w:pStyle w:val="Akapitzlist"/>
        <w:numPr>
          <w:ilvl w:val="0"/>
          <w:numId w:val="33"/>
        </w:numPr>
        <w:spacing w:lineRule="auto" w:line="276"/>
        <w:jc w:val="both"/>
        <w:rPr>
          <w:rFonts w:ascii="Cambria" w:hAnsi="Cambria" w:eastAsia="Times New Roman" w:cs="Tahoma"/>
          <w:vanish/>
          <w:lang w:eastAsia="zh-CN"/>
        </w:rPr>
      </w:pPr>
      <w:r>
        <w:rPr>
          <w:rFonts w:eastAsia="Times New Roman" w:cs="Tahoma" w:ascii="Cambria" w:hAnsi="Cambria"/>
          <w:vanish/>
          <w:color w:val="000000"/>
          <w:sz w:val="24"/>
          <w:szCs w:val="24"/>
          <w:lang w:eastAsia="zh-CN"/>
        </w:rPr>
        <w:t>Podstawą zgłoszenia gotowości do odbioru jest faktyczne i kompletne wykonanie zakresu danej części, obejmujące dostawę, wniesienie, montaż, podłączenie, uruchomienie, konfigurację, aktywację licencji, przekazanie wymaganej dokumentacji oraz gotowość do przeprowadzenia testów.</w:t>
      </w:r>
    </w:p>
    <w:p>
      <w:pPr>
        <w:pStyle w:val="Normal"/>
        <w:suppressAutoHyphens w:val="false"/>
        <w:spacing w:before="0" w:after="0"/>
        <w:ind w:hanging="426" w:left="426" w:right="0"/>
        <w:contextualSpacing/>
        <w:jc w:val="both"/>
        <w:rPr/>
      </w:pPr>
      <w:r>
        <w:rPr>
          <w:rFonts w:cs="Tahoma" w:ascii="Cambria" w:hAnsi="Cambria"/>
          <w:b/>
          <w:bCs/>
          <w:color w:val="000000"/>
          <w:sz w:val="24"/>
          <w:szCs w:val="24"/>
        </w:rPr>
      </w:r>
    </w:p>
    <w:p>
      <w:pPr>
        <w:pStyle w:val="Normal"/>
        <w:numPr>
          <w:ilvl w:val="0"/>
          <w:numId w:val="33"/>
        </w:numPr>
        <w:suppressAutoHyphens w:val="false"/>
        <w:spacing w:before="0" w:after="0"/>
        <w:contextualSpacing/>
        <w:jc w:val="both"/>
        <w:rPr>
          <w:rFonts w:ascii="Cambria" w:hAnsi="Cambria" w:cs="Tahoma"/>
          <w:sz w:val="24"/>
          <w:szCs w:val="24"/>
        </w:rPr>
      </w:pPr>
      <w:r>
        <w:rPr>
          <w:rFonts w:cs="Tahoma" w:ascii="Cambria" w:hAnsi="Cambria"/>
          <w:color w:val="000000"/>
          <w:sz w:val="24"/>
          <w:szCs w:val="24"/>
        </w:rPr>
        <w:t>Zamawiający rozpocznie czynności odbioru w terminie do 3 dni roboczych od prawidłowego zgłoszenia gotowości do odbioru, chyba że Strony uzgodnią inny termin uzasadniony organizacją pracy rozgłośni lub zakresem testów.</w:t>
      </w:r>
    </w:p>
    <w:p>
      <w:pPr>
        <w:pStyle w:val="Normal"/>
        <w:numPr>
          <w:ilvl w:val="0"/>
          <w:numId w:val="33"/>
        </w:numPr>
        <w:suppressAutoHyphens w:val="false"/>
        <w:spacing w:before="0" w:after="0"/>
        <w:contextualSpacing/>
        <w:jc w:val="both"/>
        <w:rPr>
          <w:rFonts w:ascii="Cambria" w:hAnsi="Cambria" w:cs="Tahoma"/>
          <w:sz w:val="24"/>
          <w:szCs w:val="24"/>
        </w:rPr>
      </w:pPr>
      <w:r>
        <w:rPr>
          <w:rFonts w:cs="Tahoma" w:ascii="Cambria" w:hAnsi="Cambria"/>
          <w:color w:val="000000"/>
          <w:sz w:val="24"/>
          <w:szCs w:val="24"/>
        </w:rPr>
        <w:t>Zamawiający dokona odbioru albo odmówi odbioru w terminie do 7 dni roboczych od rozpoczęcia czynności odbiorowych. Termin może zostać przedłużony wyłącznie o czas niezbędny do przeprowadzenia uzgodnionych testów interoperacyjności, nie więcej niż o 5 dni roboczych.</w:t>
      </w:r>
    </w:p>
    <w:p>
      <w:pPr>
        <w:pStyle w:val="Normal"/>
        <w:numPr>
          <w:ilvl w:val="0"/>
          <w:numId w:val="33"/>
        </w:numPr>
        <w:suppressAutoHyphens w:val="false"/>
        <w:spacing w:before="0" w:after="0"/>
        <w:contextualSpacing/>
        <w:jc w:val="both"/>
        <w:rPr>
          <w:rFonts w:ascii="Cambria" w:hAnsi="Cambria" w:cs="Tahoma"/>
          <w:sz w:val="24"/>
          <w:szCs w:val="24"/>
        </w:rPr>
      </w:pPr>
      <w:r>
        <w:rPr>
          <w:rFonts w:cs="Tahoma" w:ascii="Cambria" w:hAnsi="Cambria"/>
          <w:color w:val="000000"/>
          <w:sz w:val="24"/>
          <w:szCs w:val="24"/>
        </w:rPr>
        <w:t>Odbiór obejmuje sprawdzenie kompletności, zgodności producenta, modelu i konfiguracji z ofertą, stanu fizycznego, dokumentacji, licencji, akcesoriów, wersji oprogramowania, poprawności montażu i podłączenia oraz testy funkcjonalne i interoperacyjności wymagane w OPZ. W przypadku stwierdzenia wad lub niezgodności:</w:t>
      </w:r>
    </w:p>
    <w:p>
      <w:pPr>
        <w:pStyle w:val="Default"/>
        <w:widowControl/>
        <w:numPr>
          <w:ilvl w:val="0"/>
          <w:numId w:val="4"/>
        </w:numPr>
        <w:tabs>
          <w:tab w:val="clear" w:pos="708"/>
          <w:tab w:val="left" w:pos="491" w:leader="none"/>
        </w:tabs>
        <w:overflowPunct w:val="false"/>
        <w:autoSpaceDE w:val="true"/>
        <w:spacing w:lineRule="auto" w:line="276"/>
        <w:ind w:hanging="283" w:left="709" w:right="0"/>
        <w:jc w:val="both"/>
        <w:textAlignment w:val="baseline"/>
        <w:rPr>
          <w:rFonts w:ascii="Cambria" w:hAnsi="Cambria" w:cs="Cambria"/>
          <w:color w:val="000000"/>
          <w:szCs w:val="24"/>
        </w:rPr>
      </w:pPr>
      <w:r>
        <w:rPr>
          <w:rFonts w:eastAsia="Cambria" w:cs="Cambria" w:ascii="Cambria" w:hAnsi="Cambria"/>
          <w:color w:val="000000"/>
          <w:szCs w:val="24"/>
        </w:rPr>
        <w:t>jeżeli wady lub niezgodności są nieistotne, tj. nie powodują niespełnienia minimalnych parametrów OPZ i nie uniemożliwiają prawidłowego korzystania z urządzeń, Zamawiający dokona odbioru z zastrzeżeniami i wyznaczy Wykonawcy odpowiedni termin, nie krótszy niż 3 dni robocze, na ich usunięcie, pod rygorem naliczenia kary umownej określonej w § 9 ust. 3;</w:t>
      </w:r>
    </w:p>
    <w:p>
      <w:pPr>
        <w:pStyle w:val="Default"/>
        <w:widowControl/>
        <w:numPr>
          <w:ilvl w:val="0"/>
          <w:numId w:val="4"/>
        </w:numPr>
        <w:tabs>
          <w:tab w:val="clear" w:pos="708"/>
          <w:tab w:val="left" w:pos="491" w:leader="none"/>
        </w:tabs>
        <w:overflowPunct w:val="false"/>
        <w:autoSpaceDE w:val="true"/>
        <w:spacing w:lineRule="auto" w:line="276"/>
        <w:ind w:hanging="283" w:left="709" w:right="0"/>
        <w:jc w:val="both"/>
        <w:textAlignment w:val="baseline"/>
        <w:rPr>
          <w:rFonts w:ascii="Cambria" w:hAnsi="Cambria" w:cs="Cambria"/>
          <w:color w:val="000000"/>
          <w:szCs w:val="24"/>
        </w:rPr>
      </w:pPr>
      <w:r>
        <w:rPr>
          <w:rFonts w:eastAsia="Cambria" w:cs="Cambria" w:ascii="Cambria" w:hAnsi="Cambria"/>
          <w:color w:val="000000"/>
          <w:szCs w:val="24"/>
        </w:rPr>
        <w:t>jeżeli wady lub niezgodności są istotne, tj. powodują niespełnienie minimalnych parametrów OPZ, brak wymaganej interoperacyjności albo uniemożliwiają prawidłowe korzystanie z urządzeń, Zamawiający może odmówić odbioru i wyznaczyć termin na ich usunięcie lub dostarczenie rozwiązania zgodnego z umową. Za dzień wykonania danej części uważa się w takim przypadku dzień skutecznego ponownego zgłoszenia gotowości po usunięciu wad istotnych.</w:t>
      </w:r>
    </w:p>
    <w:p>
      <w:pPr>
        <w:pStyle w:val="Normal"/>
        <w:numPr>
          <w:ilvl w:val="0"/>
          <w:numId w:val="33"/>
        </w:numPr>
        <w:suppressAutoHyphens w:val="false"/>
        <w:spacing w:before="0" w:after="0"/>
        <w:contextualSpacing/>
        <w:jc w:val="both"/>
        <w:rPr>
          <w:rFonts w:ascii="Cambria" w:hAnsi="Cambria" w:cs="Tahoma"/>
          <w:sz w:val="24"/>
          <w:szCs w:val="24"/>
        </w:rPr>
      </w:pPr>
      <w:r>
        <w:rPr>
          <w:rFonts w:cs="Tahoma" w:ascii="Cambria" w:hAnsi="Cambria"/>
          <w:color w:val="000000"/>
          <w:sz w:val="24"/>
          <w:szCs w:val="24"/>
        </w:rPr>
        <w:t>W razie bezskutecznego upływu terminu na usunięcie wad lub niezgodności Zamawiający może, po uprzednim wezwaniu Wykonawcy, zlecić wykonanie zastępcze na koszt i ryzyko Wykonawcy, bez utraty prawa do kar umownych i odszkodowania.</w:t>
      </w:r>
    </w:p>
    <w:p>
      <w:pPr>
        <w:pStyle w:val="Normal"/>
        <w:numPr>
          <w:ilvl w:val="0"/>
          <w:numId w:val="33"/>
        </w:numPr>
        <w:suppressAutoHyphens w:val="false"/>
        <w:spacing w:before="0" w:after="0"/>
        <w:contextualSpacing/>
        <w:jc w:val="both"/>
        <w:rPr>
          <w:rFonts w:ascii="Cambria" w:hAnsi="Cambria" w:cs="Tahoma"/>
          <w:sz w:val="24"/>
          <w:szCs w:val="24"/>
        </w:rPr>
      </w:pPr>
      <w:r>
        <w:rPr>
          <w:rFonts w:cs="Tahoma" w:ascii="Cambria" w:hAnsi="Cambria"/>
          <w:color w:val="000000"/>
          <w:sz w:val="24"/>
          <w:szCs w:val="24"/>
        </w:rPr>
        <w:t>W przypadku ponownego zgłoszenia gotowości do odbioru po usunięciu wad istotnych postanowienia ust. 3–6 stosuje się odpowiednio. Do zwłoki Wykonawcy nie wlicza się okresu czynności odbiorowych po prawidłowym zgłoszeniu, jeżeli nie stwierdzono wad istotnych.</w:t>
      </w:r>
    </w:p>
    <w:p>
      <w:pPr>
        <w:pStyle w:val="p2"/>
        <w:spacing w:lineRule="auto" w:line="276"/>
        <w:jc w:val="center"/>
        <w:rPr>
          <w:rFonts w:ascii="Cambria" w:hAnsi="Cambria" w:cs="Cambria"/>
        </w:rPr>
      </w:pPr>
      <w:r>
        <w:rPr>
          <w:rFonts w:cs="Cambria" w:ascii="Cambria" w:hAnsi="Cambria"/>
          <w:b/>
          <w:sz w:val="24"/>
          <w:szCs w:val="24"/>
        </w:rPr>
        <w:t>§ 6</w:t>
      </w:r>
    </w:p>
    <w:p>
      <w:pPr>
        <w:pStyle w:val="p2"/>
        <w:spacing w:lineRule="auto" w:line="276"/>
        <w:jc w:val="center"/>
        <w:rPr>
          <w:rFonts w:ascii="Cambria" w:hAnsi="Cambria" w:cs="Cambria"/>
          <w:b/>
          <w:sz w:val="24"/>
          <w:szCs w:val="24"/>
        </w:rPr>
      </w:pPr>
      <w:r>
        <w:rPr>
          <w:rFonts w:cs="Cambria" w:ascii="Cambria" w:hAnsi="Cambria"/>
          <w:b/>
          <w:sz w:val="24"/>
          <w:szCs w:val="24"/>
        </w:rPr>
        <w:t>Podwykonawcy</w:t>
      </w:r>
    </w:p>
    <w:p>
      <w:pPr>
        <w:pStyle w:val="redniasiatka1akcent21"/>
        <w:numPr>
          <w:ilvl w:val="3"/>
          <w:numId w:val="17"/>
        </w:numPr>
        <w:spacing w:lineRule="auto" w:line="276" w:before="0" w:after="0"/>
        <w:ind w:hanging="426" w:left="426" w:right="0"/>
        <w:contextualSpacing/>
        <w:rPr>
          <w:rFonts w:ascii="Cambria" w:hAnsi="Cambria" w:cs="Cambria"/>
        </w:rPr>
      </w:pPr>
      <w:r>
        <w:rPr>
          <w:rFonts w:cs="Cambria" w:ascii="Cambria" w:hAnsi="Cambria"/>
          <w:sz w:val="24"/>
          <w:szCs w:val="24"/>
          <w:lang w:eastAsia="pl-PL"/>
        </w:rPr>
        <w:t>Wykonawca wykona przedmiot zamówienia osobiście/przy pomocy podwykonawców, którzy wykonają następujący zakres prac: ................................................</w:t>
      </w:r>
    </w:p>
    <w:p>
      <w:pPr>
        <w:pStyle w:val="redniasiatka1akcent21"/>
        <w:numPr>
          <w:ilvl w:val="3"/>
          <w:numId w:val="17"/>
        </w:numPr>
        <w:spacing w:lineRule="auto" w:line="276" w:before="0" w:after="0"/>
        <w:ind w:hanging="426" w:left="426" w:right="0"/>
        <w:contextualSpacing/>
        <w:rPr>
          <w:rFonts w:ascii="Cambria" w:hAnsi="Cambria" w:cs="Cambria"/>
        </w:rPr>
      </w:pPr>
      <w:r>
        <w:rPr>
          <w:rFonts w:cs="Cambria" w:ascii="Cambria" w:hAnsi="Cambria"/>
          <w:sz w:val="24"/>
          <w:szCs w:val="24"/>
          <w:lang w:eastAsia="pl-PL"/>
        </w:rPr>
        <w:t>Wykonawca jest odpowiedzialny za działania i zaniechania osób, z których pomocą wykonuje przedmiot umowy (w tym podwykonawców, którym powierzył wykonanie części przedmiotu umowy) jak za działania własne. Wykonawca ponosi wyłączną odpowiedzialność wobec osób trzecich za szkody powstałe w związku z realizacją przedmiotu zamówienia.</w:t>
      </w:r>
    </w:p>
    <w:p>
      <w:pPr>
        <w:pStyle w:val="p2"/>
        <w:spacing w:lineRule="auto" w:line="276"/>
        <w:jc w:val="center"/>
        <w:rPr>
          <w:rStyle w:val="s1"/>
          <w:rFonts w:ascii="Cambria" w:hAnsi="Cambria" w:cs="Cambria"/>
          <w:b/>
          <w:sz w:val="24"/>
          <w:szCs w:val="24"/>
        </w:rPr>
      </w:pPr>
      <w:r>
        <w:rPr>
          <w:rFonts w:cs="Cambria" w:ascii="Cambria" w:hAnsi="Cambria"/>
        </w:rPr>
      </w:r>
    </w:p>
    <w:p>
      <w:pPr>
        <w:pStyle w:val="p2"/>
        <w:spacing w:lineRule="auto" w:line="276"/>
        <w:jc w:val="center"/>
        <w:rPr>
          <w:rFonts w:ascii="Cambria" w:hAnsi="Cambria" w:cs="Cambria"/>
        </w:rPr>
      </w:pPr>
      <w:r>
        <w:rPr>
          <w:rStyle w:val="s1"/>
          <w:rFonts w:cs="Cambria" w:ascii="Cambria" w:hAnsi="Cambria"/>
          <w:b/>
          <w:sz w:val="24"/>
          <w:szCs w:val="24"/>
        </w:rPr>
        <w:t xml:space="preserve">§ </w:t>
      </w:r>
      <w:r>
        <w:rPr>
          <w:rFonts w:cs="Cambria" w:ascii="Cambria" w:hAnsi="Cambria"/>
          <w:b/>
          <w:sz w:val="24"/>
          <w:szCs w:val="24"/>
        </w:rPr>
        <w:t>7</w:t>
      </w:r>
    </w:p>
    <w:p>
      <w:pPr>
        <w:pStyle w:val="p2"/>
        <w:spacing w:lineRule="auto" w:line="276"/>
        <w:jc w:val="center"/>
        <w:rPr>
          <w:rFonts w:ascii="Cambria" w:hAnsi="Cambria" w:cs="Cambria"/>
          <w:b/>
          <w:sz w:val="24"/>
          <w:szCs w:val="24"/>
        </w:rPr>
      </w:pPr>
      <w:r>
        <w:rPr>
          <w:rFonts w:cs="Cambria" w:ascii="Cambria" w:hAnsi="Cambria"/>
          <w:b/>
          <w:sz w:val="24"/>
          <w:szCs w:val="24"/>
        </w:rPr>
        <w:t>Wynagrodzenie i płatności</w:t>
      </w:r>
    </w:p>
    <w:p>
      <w:pPr>
        <w:pStyle w:val="p2"/>
        <w:numPr>
          <w:ilvl w:val="0"/>
          <w:numId w:val="14"/>
        </w:numPr>
        <w:spacing w:lineRule="auto" w:line="276"/>
        <w:ind w:hanging="426" w:left="426" w:right="0"/>
        <w:jc w:val="both"/>
        <w:rPr>
          <w:rFonts w:ascii="Cambria" w:hAnsi="Cambria" w:cs="Cambria"/>
          <w:sz w:val="24"/>
          <w:szCs w:val="24"/>
        </w:rPr>
      </w:pPr>
      <w:r>
        <w:rPr>
          <w:rFonts w:cs="Cambria" w:ascii="Cambria" w:hAnsi="Cambria"/>
          <w:sz w:val="24"/>
          <w:szCs w:val="24"/>
        </w:rPr>
        <w:t>Wynagrodzenie ryczałtowe, które Zamawiający zobowiązuje się zapłacić Wykonawcy za wykonanie przedmiotu umowy zgodnie z ofertą Wykonawcy, wynosi:</w:t>
      </w:r>
    </w:p>
    <w:p>
      <w:pPr>
        <w:pStyle w:val="p2"/>
        <w:spacing w:lineRule="auto" w:line="276"/>
        <w:ind w:left="426" w:right="0"/>
        <w:jc w:val="both"/>
        <w:rPr>
          <w:rFonts w:ascii="Cambria" w:hAnsi="Cambria" w:cs="Cambria"/>
          <w:sz w:val="24"/>
          <w:szCs w:val="24"/>
        </w:rPr>
      </w:pPr>
      <w:r>
        <w:rPr>
          <w:rFonts w:cs="Cambria" w:ascii="Cambria" w:hAnsi="Cambria"/>
          <w:b/>
          <w:sz w:val="24"/>
          <w:szCs w:val="24"/>
        </w:rPr>
        <w:t>dla Części nr ………: ………………… zł netto, podatek VAT ………………… zł, ………………… zł brutto (słownie: ……………………………………………………………); łączne wynagrodzenie za wszystkie części objęte umową wynosi ………………… zł brutto.</w:t>
      </w:r>
    </w:p>
    <w:p>
      <w:pPr>
        <w:pStyle w:val="Akapitzlist"/>
        <w:widowControl w:val="false"/>
        <w:autoSpaceDE w:val="false"/>
        <w:spacing w:lineRule="auto" w:line="276"/>
        <w:ind w:hanging="426" w:left="426" w:right="0"/>
        <w:jc w:val="both"/>
        <w:rPr>
          <w:rFonts w:ascii="Cambria" w:hAnsi="Cambria" w:eastAsia="SimSun;宋体" w:cs="Calibri"/>
          <w:vanish/>
          <w:lang w:eastAsia="zh-CN"/>
        </w:rPr>
        <w:numPr>
          <w:ilvl w:val="0"/>
          <w:numId w:val="14"/>
        </w:numPr>
      </w:pPr>
      <w:r>
        <w:rPr>
          <w:rFonts w:cs="†¯øw≥¸;Times New Roman" w:ascii="Cambria" w:hAnsi="Cambria"/>
          <w:color w:val="000000"/>
        </w:rPr>
        <w:t>Rozliczenie nastąpi odrębnie dla każdej odebranej części, na podstawie jednej faktury dla danej części. Jeżeli wszystkie części zostaną odebrane jednocześnie, Wykonawca może wystawić jedną fakturę z wyodrębnieniem wartości każdej części. Podstawą wystawienia faktury jest protokół odbioru danej części, także protokół zawierający zastrzeżenia dotyczące wad nieistotnych.</w:t>
      </w:r>
    </w:p>
    <w:p>
      <w:pPr>
        <w:pStyle w:val="Normal"/>
        <w:widowControl w:val="false"/>
        <w:numPr>
          <w:ilvl w:val="0"/>
          <w:numId w:val="19"/>
        </w:numPr>
        <w:suppressAutoHyphens w:val="false"/>
        <w:spacing w:before="20" w:after="40"/>
        <w:ind w:hanging="426" w:left="426" w:right="0"/>
        <w:contextualSpacing/>
        <w:jc w:val="both"/>
        <w:rPr>
          <w:rFonts w:ascii="Cambria" w:hAnsi="Cambria" w:eastAsia="SimSun;宋体" w:cs="Cambria"/>
          <w:sz w:val="24"/>
          <w:szCs w:val="24"/>
        </w:rPr>
      </w:pPr>
      <w:r>
        <w:rPr>
          <w:rFonts w:eastAsia="SimSun;宋体" w:cs="Cambria" w:ascii="Cambria" w:hAnsi="Cambria"/>
          <w:sz w:val="24"/>
          <w:szCs w:val="24"/>
        </w:rPr>
        <w:t xml:space="preserve"> Wynagrodzenie ma charakter ryczałtowy, nie podlega podwyższeniu i obejmuje wszystkie koszty oraz świadczenia niezbędne do kompletnego wykonania umowy, z zastrzeżeniem zmian dopuszczalnych na podstawie ustawy Pzp i § 10 umowy.</w:t>
      </w:r>
    </w:p>
    <w:p>
      <w:pPr>
        <w:pStyle w:val="Normal"/>
        <w:widowControl w:val="false"/>
        <w:numPr>
          <w:ilvl w:val="0"/>
          <w:numId w:val="19"/>
        </w:numPr>
        <w:suppressAutoHyphens w:val="false"/>
        <w:spacing w:before="20" w:after="40"/>
        <w:ind w:hanging="426" w:left="426" w:right="0"/>
        <w:contextualSpacing/>
        <w:jc w:val="both"/>
        <w:rPr>
          <w:rFonts w:ascii="Cambria" w:hAnsi="Cambria" w:eastAsia="SimSun;宋体" w:cs="Cambria"/>
          <w:sz w:val="24"/>
          <w:szCs w:val="24"/>
        </w:rPr>
      </w:pPr>
      <w:r>
        <w:rPr>
          <w:rFonts w:eastAsia="SimSun;宋体" w:cs="ArialNarrow" w:ascii="Cambria" w:hAnsi="Cambria"/>
          <w:sz w:val="24"/>
          <w:szCs w:val="24"/>
        </w:rPr>
        <w:t>Niedoszacowanie, pominięcie, brak rozpoznania zakresu albo wzrost kosztów realizacji nie stanowią podstawy do żądania podwyższenia wynagrodzenia, z wyjątkiem przypadków wyraźnie przewidzianych w obowiązujących przepisach lub umowie.</w:t>
      </w:r>
    </w:p>
    <w:p>
      <w:pPr>
        <w:pStyle w:val="Normal"/>
        <w:widowControl w:val="false"/>
        <w:numPr>
          <w:ilvl w:val="0"/>
          <w:numId w:val="19"/>
        </w:numPr>
        <w:suppressAutoHyphens w:val="false"/>
        <w:spacing w:before="20" w:after="40"/>
        <w:ind w:hanging="426" w:left="426" w:right="0"/>
        <w:contextualSpacing/>
        <w:jc w:val="both"/>
        <w:rPr>
          <w:rFonts w:ascii="Cambria" w:hAnsi="Cambria" w:eastAsia="SimSun;宋体" w:cs="Cambria"/>
          <w:sz w:val="24"/>
          <w:szCs w:val="24"/>
        </w:rPr>
      </w:pPr>
      <w:r>
        <w:rPr>
          <w:rFonts w:eastAsia="SimSun;宋体" w:cs="ArialNarrow" w:ascii="Cambria" w:hAnsi="Cambria"/>
          <w:sz w:val="24"/>
          <w:szCs w:val="24"/>
        </w:rPr>
        <w:t>Płatność nastąpi w terminie do 30 dni kalendarzowych od dnia późniejszego z następujących zdarzeń: 1) otrzymania przez Zamawiającego prawidłowo wystawionej faktury, 2) otrzymania podpisanego protokołu odbioru właściwej części. W przypadku faktury ustrukturyzowanej za dzień jej otrzymania przyjmuje się dzień nadania fakturze numeru identyfikującego w Krajowym Systemie e-Faktur (KSeF), chyba że bezwzględnie obowiązujące przepisy określają inną datę otrzymania. Płatność zostanie dokonana przelewem na rachunek bankowy Wykonawcy wskazany na fakturze.</w:t>
      </w:r>
    </w:p>
    <w:p>
      <w:pPr>
        <w:pStyle w:val="Normal"/>
        <w:widowControl w:val="false"/>
        <w:numPr>
          <w:ilvl w:val="0"/>
          <w:numId w:val="19"/>
        </w:numPr>
        <w:suppressAutoHyphens w:val="false"/>
        <w:spacing w:before="20" w:after="40"/>
        <w:ind w:hanging="426" w:left="426" w:right="0"/>
        <w:contextualSpacing/>
        <w:jc w:val="both"/>
        <w:rPr>
          <w:rFonts w:ascii="Cambria" w:hAnsi="Cambria" w:eastAsia="SimSun;宋体" w:cs="Cambria"/>
          <w:sz w:val="24"/>
          <w:szCs w:val="24"/>
        </w:rPr>
      </w:pPr>
      <w:r>
        <w:rPr>
          <w:rFonts w:eastAsia="SimSun;宋体" w:cs="ArialNarrow" w:ascii="Cambria" w:hAnsi="Cambria"/>
          <w:sz w:val="24"/>
          <w:szCs w:val="24"/>
        </w:rPr>
        <w:t>Wykonawca wystawi fakturę zgodnie z obowiązującymi przepisami na następujące dane:</w:t>
      </w:r>
    </w:p>
    <w:p>
      <w:pPr>
        <w:pStyle w:val="Normal"/>
        <w:spacing w:before="0" w:after="0"/>
        <w:ind w:left="567" w:right="0"/>
        <w:jc w:val="both"/>
        <w:rPr>
          <w:rFonts w:ascii="Cambria" w:hAnsi="Cambria" w:cs="Cambria"/>
          <w:b/>
          <w:bCs/>
          <w:sz w:val="24"/>
          <w:szCs w:val="24"/>
        </w:rPr>
      </w:pPr>
      <w:r>
        <w:rPr>
          <w:rFonts w:cs="Cambria" w:ascii="Cambria" w:hAnsi="Cambria"/>
          <w:b/>
          <w:bCs/>
          <w:sz w:val="24"/>
          <w:szCs w:val="24"/>
        </w:rPr>
        <w:t>Polskie Radio – Regionalna Rozgłośnia w Lublinie „Radio Lublin” S.A. w likwidacji</w:t>
      </w:r>
    </w:p>
    <w:p>
      <w:pPr>
        <w:pStyle w:val="Normal"/>
        <w:spacing w:before="0" w:after="0"/>
        <w:ind w:left="567" w:right="0"/>
        <w:jc w:val="both"/>
        <w:rPr>
          <w:rFonts w:ascii="Cambria" w:hAnsi="Cambria" w:cs="Cambria"/>
          <w:b/>
          <w:bCs/>
          <w:sz w:val="24"/>
          <w:szCs w:val="24"/>
        </w:rPr>
      </w:pPr>
      <w:r>
        <w:rPr>
          <w:rFonts w:cs="Cambria" w:ascii="Cambria" w:hAnsi="Cambria"/>
          <w:b/>
          <w:bCs/>
          <w:sz w:val="24"/>
          <w:szCs w:val="24"/>
        </w:rPr>
        <w:t>ul. Obrońców Pokoju 2, 20-030 Lublin</w:t>
      </w:r>
    </w:p>
    <w:p>
      <w:pPr>
        <w:pStyle w:val="Normal"/>
        <w:spacing w:before="0" w:after="0"/>
        <w:ind w:left="567" w:right="0"/>
        <w:rPr>
          <w:rFonts w:ascii="Cambria" w:hAnsi="Cambria" w:cs="Cambria"/>
          <w:b/>
          <w:bCs/>
          <w:sz w:val="24"/>
          <w:szCs w:val="24"/>
        </w:rPr>
      </w:pPr>
      <w:r>
        <w:rPr>
          <w:rFonts w:cs="Cambria" w:ascii="Cambria" w:hAnsi="Cambria"/>
          <w:b/>
          <w:bCs/>
          <w:sz w:val="24"/>
          <w:szCs w:val="24"/>
        </w:rPr>
        <w:t>REGON: 430368738</w:t>
      </w:r>
    </w:p>
    <w:p>
      <w:pPr>
        <w:pStyle w:val="Normal"/>
        <w:spacing w:before="0" w:after="0"/>
        <w:ind w:left="567" w:right="0"/>
        <w:rPr>
          <w:rFonts w:ascii="Cambria" w:hAnsi="Cambria" w:cs="Cambria"/>
          <w:b/>
          <w:bCs/>
          <w:sz w:val="24"/>
          <w:szCs w:val="24"/>
        </w:rPr>
      </w:pPr>
      <w:r>
        <w:rPr>
          <w:rFonts w:cs="Cambria" w:ascii="Cambria" w:hAnsi="Cambria"/>
          <w:b/>
          <w:bCs/>
          <w:sz w:val="24"/>
          <w:szCs w:val="24"/>
        </w:rPr>
        <w:t>NIP: 7120165888</w:t>
      </w:r>
    </w:p>
    <w:p>
      <w:pPr>
        <w:pStyle w:val="Normal"/>
        <w:spacing w:before="0" w:after="0"/>
        <w:ind w:left="426" w:right="0"/>
        <w:rPr>
          <w:rFonts w:ascii="Cambria" w:hAnsi="Cambria" w:cs="Cambria"/>
          <w:i/>
          <w:i/>
          <w:iCs/>
          <w:sz w:val="24"/>
          <w:szCs w:val="24"/>
        </w:rPr>
      </w:pPr>
      <w:r>
        <w:rPr>
          <w:rFonts w:cs="Cambria" w:ascii="Cambria" w:hAnsi="Cambria"/>
          <w:sz w:val="24"/>
          <w:szCs w:val="24"/>
        </w:rPr>
        <w:t>Na fakturze należy wskazać numer umowy i numer części zamówienia, której dotyczy płatność.</w:t>
      </w:r>
    </w:p>
    <w:p>
      <w:pPr>
        <w:pStyle w:val="Akapitzlist"/>
        <w:numPr>
          <w:ilvl w:val="0"/>
          <w:numId w:val="19"/>
        </w:numPr>
        <w:ind w:hanging="426" w:left="426" w:right="0"/>
        <w:jc w:val="both"/>
        <w:rPr>
          <w:rFonts w:ascii="Cambria" w:hAnsi="Cambria" w:cs="Cambria"/>
          <w:iCs/>
        </w:rPr>
      </w:pPr>
      <w:r>
        <w:rPr>
          <w:rFonts w:cs="Cambria" w:ascii="Cambria" w:hAnsi="Cambria"/>
          <w:bCs/>
          <w:iCs/>
        </w:rPr>
        <w:t>W zakresie, w jakim przepisy ustawy z dnia 11 marca 2004 r. o podatku od towarów i usług nakładają na Wykonawcę obowiązek wystawienia faktury ustrukturyzowanej, Wykonawca wystawi i prześle fakturę przy użyciu Krajowego Systemu e-Faktur (KSeF), zgodnie z aktualną strukturą logiczną oraz wymaganiami tego systemu. Dopuszcza się przekazanie faktury za pośrednictwem Platformy Elektronicznego Fakturowania, jeżeli zostanie ona prawidłowo przesłana do KSeF i zostanie jej nadany numer KSeF.</w:t>
      </w:r>
    </w:p>
    <w:p>
      <w:pPr>
        <w:pStyle w:val="Akapitzlist"/>
        <w:numPr>
          <w:ilvl w:val="0"/>
          <w:numId w:val="19"/>
        </w:numPr>
        <w:ind w:hanging="426" w:left="426" w:right="0"/>
        <w:jc w:val="both"/>
        <w:rPr>
          <w:rFonts w:ascii="Cambria" w:hAnsi="Cambria" w:cs="Cambria"/>
          <w:iCs/>
        </w:rPr>
      </w:pPr>
      <w:r>
        <w:rPr>
          <w:rFonts w:cs="Cambria" w:ascii="Cambria" w:hAnsi="Cambria"/>
          <w:bCs/>
          <w:iCs/>
        </w:rPr>
        <w:t>Faktura powinna zawierać prawidłowe dane Zamawiającego, w szczególności NIP 7120165888, a także numer umowy, numer części zamówienia, której dotyczy rozliczenie, oraz inne dane pozwalające na jednoznaczne przyporządkowanie faktury do niniejszej umowy. Dane te należy zamieścić w polach przeznaczonych na informacje dodatkowe, numer zamówienia, numer umowy lub inne referencje, zgodnie z aktualną strukturą faktury ustrukturyzowanej.</w:t>
      </w:r>
    </w:p>
    <w:p>
      <w:pPr>
        <w:pStyle w:val="Akapitzlist"/>
        <w:numPr>
          <w:ilvl w:val="0"/>
          <w:numId w:val="19"/>
        </w:numPr>
        <w:ind w:hanging="426" w:left="426" w:right="0"/>
        <w:jc w:val="both"/>
        <w:rPr>
          <w:rFonts w:ascii="Cambria" w:hAnsi="Cambria" w:cs="Cambria"/>
          <w:iCs/>
        </w:rPr>
      </w:pPr>
      <w:r>
        <w:rPr>
          <w:rFonts w:cs="Cambria" w:ascii="Cambria" w:hAnsi="Cambria"/>
          <w:bCs/>
          <w:iCs/>
        </w:rPr>
        <w:t>Protokół odbioru, dokumenty gwarancyjne oraz inne dokumenty stanowiące podstawę rozliczenia, które nie są elementem faktury ustrukturyzowanej, Wykonawca przekazuje Zamawiającemu poza KSeF, w postaci elektronicznej na adres wskazany przez Zamawiającego albo w inny uzgodniony przez Strony sposób. Przesłanie faktury do KSeF nie zastępuje obowiązku przekazania tych dokumentów.</w:t>
      </w:r>
    </w:p>
    <w:p>
      <w:pPr>
        <w:pStyle w:val="Akapitzlist"/>
        <w:numPr>
          <w:ilvl w:val="0"/>
          <w:numId w:val="19"/>
        </w:numPr>
        <w:ind w:hanging="426" w:left="426" w:right="0"/>
        <w:jc w:val="both"/>
        <w:rPr>
          <w:rFonts w:ascii="Cambria" w:hAnsi="Cambria" w:cs="Cambria"/>
          <w:iCs/>
        </w:rPr>
      </w:pPr>
      <w:r>
        <w:rPr>
          <w:rFonts w:cs="Cambria" w:ascii="Cambria" w:hAnsi="Cambria"/>
          <w:bCs/>
          <w:iCs/>
        </w:rPr>
        <w:t>Jeżeli zgodnie z obowiązującymi przepisami Wykonawca nie jest zobowiązany do wystawienia faktury przy użyciu KSeF albo dana faktura jest wyłączona z obowiązku wystawienia w KSeF, Wykonawca doręczy ją Zamawiającemu w dopuszczalnej prawem postaci elektronicznej lub papierowej, w sposób wskazany przez Zamawiającego. Na żądanie Zamawiającego Wykonawca wskaże podstawę prawną wystawienia faktury poza KSeF.</w:t>
      </w:r>
    </w:p>
    <w:p>
      <w:pPr>
        <w:pStyle w:val="Akapitzlist"/>
        <w:numPr>
          <w:ilvl w:val="0"/>
          <w:numId w:val="19"/>
        </w:numPr>
        <w:ind w:hanging="426" w:left="426" w:right="0"/>
        <w:jc w:val="both"/>
        <w:rPr>
          <w:rFonts w:ascii="Cambria" w:hAnsi="Cambria" w:cs="Cambria"/>
          <w:iCs/>
        </w:rPr>
      </w:pPr>
      <w:r>
        <w:rPr>
          <w:rFonts w:cs="Cambria" w:ascii="Cambria" w:hAnsi="Cambria"/>
          <w:bCs/>
          <w:iCs/>
        </w:rPr>
        <w:t>W przypadku niedostępności KSeF, awarii KSeF, awarii całkowitej albo wystawienia faktury w trybie offline lub offline24 Wykonawca postąpi zgodnie z przepisami ustawy o podatku od towarów i usług, w szczególności prześle fakturę do KSeF w terminie wymaganym przepisami oraz, gdy jest to wymagane, udostępni Zamawiającemu jej wizualizację opatrzoną właściwym kodem weryfikującym. Wykonawca niezwłocznie poinformuje Zamawiającego o zastosowaniu trybu szczególnego.</w:t>
      </w:r>
    </w:p>
    <w:p>
      <w:pPr>
        <w:pStyle w:val="Akapitzlist"/>
        <w:numPr>
          <w:ilvl w:val="0"/>
          <w:numId w:val="19"/>
        </w:numPr>
        <w:ind w:hanging="426" w:left="426" w:right="0"/>
        <w:jc w:val="both"/>
        <w:rPr>
          <w:rFonts w:ascii="Cambria" w:hAnsi="Cambria" w:cs="Cambria"/>
          <w:iCs/>
        </w:rPr>
      </w:pPr>
      <w:r>
        <w:rPr>
          <w:rFonts w:cs="Cambria" w:ascii="Cambria" w:hAnsi="Cambria"/>
          <w:bCs/>
          <w:iCs/>
        </w:rPr>
        <w:t>Faktury korygujące dotyczące rozliczeń objętych niniejszą umową będą wystawiane i przekazywane w KSeF, jeżeli taki obowiązek wynika z przepisów. Faktura korygująca powinna zawierać numer umowy i numer części zamówienia oraz umożliwiać jednoznaczne powiązanie z fakturą pierwotną. Wykonawca niezwłocznie poinformuje Zamawiającego o wystawieniu faktury korygującej.</w:t>
      </w:r>
    </w:p>
    <w:p>
      <w:pPr>
        <w:pStyle w:val="Akapitzlist"/>
        <w:numPr>
          <w:ilvl w:val="0"/>
          <w:numId w:val="19"/>
        </w:numPr>
        <w:spacing w:lineRule="auto" w:line="276"/>
        <w:ind w:hanging="426" w:left="426" w:right="0"/>
        <w:jc w:val="both"/>
        <w:rPr>
          <w:rFonts w:ascii="Cambria" w:hAnsi="Cambria" w:cs="Cambria"/>
          <w:iCs/>
        </w:rPr>
      </w:pPr>
      <w:r>
        <w:rPr>
          <w:rFonts w:cs="Cambria" w:ascii="Cambria" w:hAnsi="Cambria"/>
          <w:bCs/>
          <w:iCs/>
        </w:rPr>
        <w:t xml:space="preserve">Wykonawca jest zobowiązany podać na fakturze adnotację „mechanizm podzielonej płatności” jeżeli obowiązek taki wynika z przepisów podatkowych. W takiej sytuacji, wynagrodzenie zostanie zapłacone </w:t>
      </w:r>
      <w:r>
        <w:rPr>
          <w:rFonts w:cs="†¯øw≥¸;Times New Roman" w:ascii="Cambria" w:hAnsi="Cambria"/>
          <w:iCs/>
        </w:rPr>
        <w:t>z uwzględnieniem przepisów art. 108 ust. 1 ustawy o podatku od towarów i usług.</w:t>
      </w:r>
    </w:p>
    <w:p>
      <w:pPr>
        <w:pStyle w:val="Akapitzlist"/>
        <w:numPr>
          <w:ilvl w:val="0"/>
          <w:numId w:val="19"/>
        </w:numPr>
        <w:spacing w:lineRule="auto" w:line="276"/>
        <w:ind w:hanging="426" w:left="426" w:right="0"/>
        <w:jc w:val="both"/>
        <w:rPr>
          <w:rFonts w:ascii="Cambria" w:hAnsi="Cambria" w:cs="Cambria"/>
          <w:iCs/>
        </w:rPr>
      </w:pPr>
      <w:r>
        <w:rPr>
          <w:rFonts w:cs="Cambria" w:ascii="Cambria" w:hAnsi="Cambria"/>
          <w:iCs/>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w:t>
      </w:r>
      <w:r>
        <w:rPr>
          <w:rFonts w:cs="Cambria" w:ascii="Cambria" w:hAnsi="Cambria"/>
          <w:b/>
          <w:bCs/>
          <w:iCs/>
        </w:rPr>
        <w:t xml:space="preserve"> </w:t>
      </w:r>
      <w:r>
        <w:rPr>
          <w:rFonts w:cs="Cambria" w:ascii="Cambria" w:hAnsi="Cambria"/>
          <w:iCs/>
        </w:rPr>
        <w:t>najpóźniej na 5  dni roboczych przed wyznaczonym terminem płatności,</w:t>
      </w:r>
    </w:p>
    <w:p>
      <w:pPr>
        <w:pStyle w:val="Akapitzlist"/>
        <w:numPr>
          <w:ilvl w:val="0"/>
          <w:numId w:val="19"/>
        </w:numPr>
        <w:spacing w:lineRule="auto" w:line="276"/>
        <w:ind w:hanging="426" w:left="426" w:right="0"/>
        <w:jc w:val="both"/>
        <w:rPr>
          <w:rFonts w:ascii="Cambria" w:hAnsi="Cambria" w:cs="Cambria"/>
          <w:iCs/>
        </w:rPr>
      </w:pPr>
      <w:r>
        <w:rPr>
          <w:rFonts w:eastAsia="Times New Roman" w:cs="Cambria" w:ascii="Cambria" w:hAnsi="Cambria"/>
          <w:iCs/>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pPr>
        <w:pStyle w:val="Akapitzlist"/>
        <w:widowControl w:val="false"/>
        <w:numPr>
          <w:ilvl w:val="0"/>
          <w:numId w:val="19"/>
        </w:numPr>
        <w:tabs>
          <w:tab w:val="clear" w:pos="708"/>
          <w:tab w:val="left" w:pos="426" w:leader="none"/>
        </w:tabs>
        <w:autoSpaceDE w:val="false"/>
        <w:spacing w:lineRule="auto" w:line="300"/>
        <w:ind w:hanging="426" w:left="426" w:right="0"/>
        <w:jc w:val="both"/>
        <w:rPr>
          <w:rFonts w:ascii="Cambria" w:hAnsi="Cambria" w:cs="Cambria"/>
          <w:bCs/>
        </w:rPr>
      </w:pPr>
      <w:r>
        <w:rPr>
          <w:rFonts w:cs="Cambria" w:ascii="Cambria" w:hAnsi="Cambria"/>
        </w:rPr>
        <w:t>Zamawiający oświadcza, że na dzień zawarcia umowy [posiada / nie posiada – wybrać właściwe] status dużego przedsiębiorcy w rozumieniu ustawy z dnia 8 marca 2013 r. o przeciwdziałaniu nadmiernym opóźnieniom w transakcjach handlowych. Informacja zostanie uzupełniona przed podpisaniem umowy.</w:t>
      </w:r>
    </w:p>
    <w:p>
      <w:pPr>
        <w:pStyle w:val="Normal"/>
        <w:spacing w:before="0" w:after="0"/>
        <w:jc w:val="center"/>
        <w:rPr>
          <w:rFonts w:ascii="Cambria" w:hAnsi="Cambria" w:cs="Cambria"/>
          <w:sz w:val="24"/>
          <w:szCs w:val="24"/>
        </w:rPr>
      </w:pPr>
      <w:r>
        <w:rPr>
          <w:rFonts w:cs="Cambria" w:ascii="Cambria" w:hAnsi="Cambria"/>
          <w:b/>
          <w:sz w:val="24"/>
          <w:szCs w:val="24"/>
          <w:lang w:eastAsia="pl-PL"/>
        </w:rPr>
        <w:t>§ 8</w:t>
      </w:r>
    </w:p>
    <w:p>
      <w:pPr>
        <w:pStyle w:val="Normal"/>
        <w:spacing w:before="0" w:after="0"/>
        <w:jc w:val="center"/>
        <w:rPr>
          <w:rFonts w:ascii="Cambria" w:hAnsi="Cambria" w:cs="Cambria"/>
          <w:b/>
          <w:sz w:val="24"/>
          <w:szCs w:val="24"/>
          <w:lang w:eastAsia="pl-PL"/>
        </w:rPr>
      </w:pPr>
      <w:r>
        <w:rPr>
          <w:rFonts w:cs="Cambria" w:ascii="Cambria" w:hAnsi="Cambria"/>
          <w:b/>
          <w:sz w:val="24"/>
          <w:szCs w:val="24"/>
          <w:lang w:eastAsia="pl-PL"/>
        </w:rPr>
        <w:t>Gwarancja i rękojmia</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Cambria" w:ascii="Cambria" w:hAnsi="Cambria"/>
          <w:color w:val="000000"/>
          <w:sz w:val="24"/>
          <w:szCs w:val="24"/>
        </w:rPr>
        <w:t>Wykonawca udziela Zamawiającemu gwarancji jakości na przedmiot każdej części na okres co najmniej 24 miesięcy, licząc od dnia podpisania protokołu odbioru tej części. Gwarancja obejmuje nieodpłatne aktualizacje oprogramowania układowego (firmware) i sterowników oraz wsparcie techniczne. Uprawnienia z gwarancji są niezależne od uprawnień Zamawiającego z tytułu rękojmi.</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Cambria" w:ascii="Cambria" w:hAnsi="Cambria"/>
          <w:color w:val="000000"/>
          <w:sz w:val="24"/>
          <w:szCs w:val="24"/>
        </w:rPr>
        <w:t>Gwarancja producenta lub dystrybutora stanowi gwarancję dodatkową. Wykonawca zapewni jej skuteczne udzielenie Zamawiającemu jako ostatecznemu użytkownikowi i przekaże wymagane dokumenty, jednak niezależnie od tego pozostaje bezpośrednio odpowiedzialny za wykonywanie wszystkich obowiązków gwarancyjnych wynikających z umowy.</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Cambria" w:ascii="Cambria" w:hAnsi="Cambria"/>
          <w:sz w:val="24"/>
          <w:szCs w:val="24"/>
        </w:rPr>
        <w:t>W okresie gwarancji Wykonawca odpowiada za bezpłatne usunięcie wad, awarii i usterek, w tym wad oprogramowania, licencji, konfiguracji, modułów, przewodów i akcesoriów, chyba że wykaże, iż powstały wyłącznie z przyczyn leżących po stronie Zamawiającego.</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01¯øw≥¸;Times New Roman" w:ascii="Cambria" w:hAnsi="Cambria"/>
          <w:sz w:val="24"/>
          <w:szCs w:val="24"/>
        </w:rPr>
        <w:t>Wykonawca zobowiązuje się do bezpłatnego usuwania wad i usterek, zapewnienia robocizny, części, materiałów, transportu, ubezpieczenia, diagnozy, ponownej konfiguracji i testów po naprawie.</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01¯øw≥¸;Times New Roman" w:ascii="Cambria" w:hAnsi="Cambria"/>
          <w:color w:val="000000"/>
          <w:sz w:val="24"/>
          <w:szCs w:val="24"/>
        </w:rPr>
        <w:t>O wystąpieniu wady, awarii lub usterki Zamawiający powiadomi Wykonawcę pocztą elektroniczną na adres: …………………………… . Zgłoszenie uważa się za doręczone w dniu jego wysłania, jeżeli zostało wysłane w dniu roboczym do godz. 16:00, a w pozostałych przypadkach – w następnym dniu roboczym.</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Cambria" w:ascii="Cambria" w:hAnsi="Cambria"/>
          <w:color w:val="000000"/>
          <w:sz w:val="24"/>
          <w:szCs w:val="24"/>
          <w:lang w:eastAsia="pl-PL"/>
        </w:rPr>
        <w:t>Wykonawca potwierdzi przyjęcie zgłoszenia najpóźniej w następnym dniu roboczym. Wada lub usterka zostanie usunięta w terminie technicznie uzasadnionym, nie dłuższym niż 14 dni kalendarzowych od zgłoszenia. Dłuższy termin wymaga uprzedniej zgody Zamawiającego wyrażonej w formie dokumentowej i może zostać uzależniony od zapewnienia urządzenia zastępczego o funkcjonalności umożliwiającej ciągłość pracy. Po trzech naprawach urządzenia, w razie ujawnienia kolejnej wady, Wykonawca wymieni je na nowe, wolne od wad.</w:t>
      </w:r>
    </w:p>
    <w:p>
      <w:pPr>
        <w:pStyle w:val="Normal"/>
        <w:numPr>
          <w:ilvl w:val="2"/>
          <w:numId w:val="24"/>
        </w:numPr>
        <w:suppressAutoHyphens w:val="false"/>
        <w:spacing w:before="0" w:after="0"/>
        <w:ind w:hanging="458" w:left="458" w:right="0"/>
        <w:jc w:val="both"/>
        <w:rPr>
          <w:rFonts w:ascii="Cambria" w:hAnsi="Cambria" w:cs="Cambria"/>
          <w:sz w:val="24"/>
          <w:szCs w:val="24"/>
        </w:rPr>
      </w:pPr>
      <w:r>
        <w:rPr>
          <w:rFonts w:cs="01¯øw≥¸;Times New Roman" w:ascii="Cambria" w:hAnsi="Cambria"/>
          <w:color w:val="000000"/>
          <w:sz w:val="24"/>
          <w:szCs w:val="24"/>
        </w:rPr>
        <w:t>Fakt usunięcia wady, awarii lub usterki każdorazowo zostanie potwierdzony w protokole. Protokół musi zawierać co najmniej:</w:t>
      </w:r>
    </w:p>
    <w:p>
      <w:pPr>
        <w:pStyle w:val="Akapitzlist"/>
        <w:widowControl w:val="false"/>
        <w:numPr>
          <w:ilvl w:val="2"/>
          <w:numId w:val="9"/>
        </w:numPr>
        <w:suppressAutoHyphens w:val="true"/>
        <w:autoSpaceDE w:val="false"/>
        <w:spacing w:lineRule="auto" w:line="276"/>
        <w:ind w:hanging="425" w:left="851" w:right="0"/>
        <w:jc w:val="both"/>
        <w:rPr>
          <w:rFonts w:ascii="Cambria" w:hAnsi="Cambria" w:cs="Cambria"/>
        </w:rPr>
      </w:pPr>
      <w:r>
        <w:rPr>
          <w:rFonts w:cs="01¯øw≥¸;Times New Roman" w:ascii="Cambria" w:hAnsi="Cambria"/>
        </w:rPr>
        <w:t>datę i godzinę zgłoszenia wady, awarii lub usterki,</w:t>
      </w:r>
    </w:p>
    <w:p>
      <w:pPr>
        <w:pStyle w:val="Akapitzlist"/>
        <w:widowControl w:val="false"/>
        <w:numPr>
          <w:ilvl w:val="2"/>
          <w:numId w:val="9"/>
        </w:numPr>
        <w:suppressAutoHyphens w:val="true"/>
        <w:autoSpaceDE w:val="false"/>
        <w:spacing w:lineRule="auto" w:line="276"/>
        <w:ind w:hanging="425" w:left="851" w:right="0"/>
        <w:jc w:val="both"/>
        <w:rPr>
          <w:rFonts w:ascii="Cambria" w:hAnsi="Cambria" w:cs="Cambria"/>
        </w:rPr>
      </w:pPr>
      <w:r>
        <w:rPr>
          <w:rFonts w:cs="01¯øw≥¸;Times New Roman" w:ascii="Cambria" w:hAnsi="Cambria"/>
        </w:rPr>
        <w:t>rodzaj wady, awarii lub usterki,</w:t>
      </w:r>
    </w:p>
    <w:p>
      <w:pPr>
        <w:pStyle w:val="Akapitzlist"/>
        <w:widowControl w:val="false"/>
        <w:numPr>
          <w:ilvl w:val="2"/>
          <w:numId w:val="9"/>
        </w:numPr>
        <w:suppressAutoHyphens w:val="true"/>
        <w:autoSpaceDE w:val="false"/>
        <w:spacing w:lineRule="auto" w:line="276"/>
        <w:ind w:hanging="425" w:left="851" w:right="0"/>
        <w:jc w:val="both"/>
        <w:rPr>
          <w:rFonts w:ascii="Cambria" w:hAnsi="Cambria" w:cs="Cambria"/>
        </w:rPr>
      </w:pPr>
      <w:r>
        <w:rPr>
          <w:rFonts w:cs="01¯øw≥¸;Times New Roman" w:ascii="Cambria" w:hAnsi="Cambria"/>
        </w:rPr>
        <w:t>rodzaj podjętych czynności, zmierzających do usunięcia wady, awarii lub usterki,</w:t>
      </w:r>
    </w:p>
    <w:p>
      <w:pPr>
        <w:pStyle w:val="Akapitzlist"/>
        <w:widowControl w:val="false"/>
        <w:numPr>
          <w:ilvl w:val="2"/>
          <w:numId w:val="9"/>
        </w:numPr>
        <w:suppressAutoHyphens w:val="true"/>
        <w:autoSpaceDE w:val="false"/>
        <w:spacing w:lineRule="auto" w:line="276"/>
        <w:ind w:hanging="425" w:left="851" w:right="0"/>
        <w:jc w:val="both"/>
        <w:rPr>
          <w:rFonts w:ascii="Cambria" w:hAnsi="Cambria" w:cs="Cambria"/>
        </w:rPr>
      </w:pPr>
      <w:r>
        <w:rPr>
          <w:rFonts w:cs="01¯øw≥¸;Times New Roman" w:ascii="Cambria" w:hAnsi="Cambria"/>
        </w:rPr>
        <w:t>datę usunięcia usterki,</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01¯øw≥¸;Times New Roman" w:ascii="Cambria" w:hAnsi="Cambria"/>
          <w:color w:val="000000"/>
        </w:rPr>
        <w:t>Kopię protokołu, o którym mowa w ust. 7, Wykonawca przekazuje Zamawiającemu w terminie do 3 dni roboczych od dnia usunięcia wady, awarii lub usterki.</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Cambria" w:ascii="Cambria" w:hAnsi="Cambria"/>
          <w:bCs/>
        </w:rPr>
        <w:t>W przypadku naprawy dokonanej w ramach gwarancji jakości, okres gwarancyjny dla poszczególnych elementów podlegających naprawie będzie wydłużony o czas naprawy.</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Cambria" w:ascii="Cambria" w:hAnsi="Cambria"/>
        </w:rPr>
        <w:t xml:space="preserve">Wykonawca </w:t>
      </w:r>
      <w:r>
        <w:rPr>
          <w:rFonts w:cs="Cambria" w:ascii="Cambria" w:hAnsi="Cambria"/>
          <w:bCs/>
        </w:rPr>
        <w:t>zobowiązuje się do wymiany reklamowanego urządzenia stanowiącego przedmiot niniejszej umowy na nowy, wolny od wad, jeżeli w terminie wyznaczonym zgodnie z ust. 6 nie może zrealizować naprawy gwarancyjnej.</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Cambria" w:ascii="Cambria" w:hAnsi="Cambria"/>
          <w:bCs/>
        </w:rPr>
        <w:t xml:space="preserve">W przypadku niemożliwości usunięcia </w:t>
      </w:r>
      <w:r>
        <w:rPr>
          <w:rFonts w:cs="Cambria" w:ascii="Cambria" w:hAnsi="Cambria"/>
          <w:bCs/>
          <w:iCs/>
        </w:rPr>
        <w:t xml:space="preserve">usterki lub wady </w:t>
      </w:r>
      <w:r>
        <w:rPr>
          <w:rFonts w:cs="Cambria" w:ascii="Cambria" w:hAnsi="Cambria"/>
          <w:bCs/>
        </w:rPr>
        <w:t>w miejscu znajdowania się urządzenia,</w:t>
      </w:r>
      <w:r>
        <w:rPr>
          <w:rFonts w:cs="Cambria" w:ascii="Cambria" w:hAnsi="Cambria"/>
        </w:rPr>
        <w:t xml:space="preserve"> transport reklamowanego przedmiotu umowy podlegającego naprawie wykonywany będzie przez Wykonawcę na jego ryzyko i koszt.</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Cambria" w:ascii="Cambria" w:hAnsi="Cambria"/>
          <w:color w:val="000000"/>
        </w:rPr>
        <w:t>Jeżeli Wykonawca nie usunie wady lub usterki w terminie określonym zgodnie z ust. 6, Zamawiający może, po uprzednim wezwaniu, zlecić naprawę zastępczą na koszt i ryzyko Wykonawcy, bez utraty uprawnień z gwarancji, rękojmi, kar umownych i odszkodowania.</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Cambria" w:ascii="Cambria" w:hAnsi="Cambria"/>
          <w:color w:val="000000"/>
        </w:rPr>
        <w:t>Strony nie ograniczają ustawowych uprawnień Zamawiającego z tytułu rękojmi za wady. Okres rękojmi wynosi 24 miesiące od dnia podpisania protokołu odbioru danej części, a jeżeli przepisy bezwzględnie obowiązujące przewidują okres dłuższy – stosuje się okres wynikający z tych przepisów.</w:t>
      </w:r>
    </w:p>
    <w:p>
      <w:pPr>
        <w:pStyle w:val="Akapitzlist"/>
        <w:widowControl w:val="false"/>
        <w:numPr>
          <w:ilvl w:val="2"/>
          <w:numId w:val="24"/>
        </w:numPr>
        <w:autoSpaceDE w:val="false"/>
        <w:spacing w:lineRule="auto" w:line="276"/>
        <w:ind w:hanging="426" w:left="426" w:right="0"/>
        <w:jc w:val="both"/>
        <w:rPr>
          <w:rFonts w:ascii="Cambria" w:hAnsi="Cambria" w:cs="Cambria"/>
        </w:rPr>
      </w:pPr>
      <w:r>
        <w:rPr>
          <w:rFonts w:cs="Cambria" w:ascii="Cambria" w:hAnsi="Cambria"/>
          <w:color w:val="000000"/>
        </w:rPr>
        <w:t>W przypadku dostarczenia rzeczy wolnej od wad w miejsce rzeczy wadliwej albo dokonania istotnej naprawy termin rękojmi i gwarancji dla wymienionego lub naprawionego elementu biegnie na nowo od dnia jego odbioru. W przypadku wymiany części urządzenia zasadę tę stosuje się odpowiednio do części wymienionej.</w:t>
      </w:r>
    </w:p>
    <w:p>
      <w:pPr>
        <w:pStyle w:val="Normal"/>
        <w:suppressAutoHyphens w:val="false"/>
        <w:spacing w:before="0" w:after="0"/>
        <w:ind w:left="458" w:right="0"/>
        <w:jc w:val="both"/>
        <w:rPr>
          <w:rFonts w:ascii="Cambria" w:hAnsi="Cambria" w:cs="Cambria"/>
          <w:b/>
          <w:sz w:val="24"/>
          <w:szCs w:val="24"/>
        </w:rPr>
      </w:pPr>
      <w:r>
        <w:rPr>
          <w:rFonts w:cs="Cambria" w:ascii="Cambria" w:hAnsi="Cambria"/>
          <w:b/>
          <w:sz w:val="24"/>
          <w:szCs w:val="24"/>
        </w:rPr>
      </w:r>
    </w:p>
    <w:p>
      <w:pPr>
        <w:pStyle w:val="p2"/>
        <w:spacing w:lineRule="auto" w:line="276"/>
        <w:jc w:val="center"/>
        <w:rPr>
          <w:rFonts w:ascii="Cambria" w:hAnsi="Cambria" w:cs="Cambria"/>
          <w:b/>
          <w:sz w:val="24"/>
          <w:szCs w:val="24"/>
        </w:rPr>
      </w:pPr>
      <w:r>
        <w:rPr>
          <w:rFonts w:cs="Cambria" w:ascii="Cambria" w:hAnsi="Cambria"/>
          <w:b/>
          <w:sz w:val="24"/>
          <w:szCs w:val="24"/>
        </w:rPr>
      </w:r>
    </w:p>
    <w:p>
      <w:pPr>
        <w:pStyle w:val="p2"/>
        <w:spacing w:lineRule="auto" w:line="276"/>
        <w:jc w:val="center"/>
        <w:rPr>
          <w:rFonts w:ascii="Cambria" w:hAnsi="Cambria" w:cs="Cambria"/>
          <w:sz w:val="24"/>
          <w:szCs w:val="24"/>
        </w:rPr>
      </w:pPr>
      <w:bookmarkStart w:id="6" w:name="_Hlk162430611"/>
      <w:bookmarkEnd w:id="6"/>
      <w:r>
        <w:rPr>
          <w:rFonts w:cs="Cambria" w:ascii="Cambria" w:hAnsi="Cambria"/>
          <w:b/>
          <w:sz w:val="24"/>
          <w:szCs w:val="24"/>
        </w:rPr>
        <w:t>§ 9</w:t>
      </w:r>
    </w:p>
    <w:p>
      <w:pPr>
        <w:pStyle w:val="p2"/>
        <w:spacing w:lineRule="auto" w:line="276"/>
        <w:jc w:val="center"/>
        <w:rPr>
          <w:rFonts w:ascii="Cambria" w:hAnsi="Cambria" w:cs="Cambria"/>
          <w:b/>
          <w:sz w:val="24"/>
          <w:szCs w:val="24"/>
        </w:rPr>
      </w:pPr>
      <w:r>
        <w:rPr>
          <w:rFonts w:cs="Cambria" w:ascii="Cambria" w:hAnsi="Cambria"/>
          <w:b/>
          <w:sz w:val="24"/>
          <w:szCs w:val="24"/>
        </w:rPr>
        <w:t>Kary umowne i odstąpienie od umowy</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W razie zwłoki w wykonaniu danej części umowy Wykonawca zapłaci karę umowną w wysokości 0,2% wynagrodzenia brutto należnego za tę część za każdy rozpoczęty dzień zwłoki, liczony od terminu określonego w § 5 ust. 1.</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W razie zwłoki w przekazaniu dokumentów, licencji, kluczy aktywacyjnych, danych dostępowych, konfiguracji lub akcesoriów niezbędnych do kompletnego odbioru danej części Wykonawca zapłaci karę umowną w wysokości 0,2% wynagrodzenia brutto należnego za tę część za każdy rozpoczęty dzień zwłoki.</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W razie zwłoki w usunięciu wad lub niezgodności nieistotnych, o których mowa w § 5a ust. 5 pkt 1, Wykonawca zapłaci karę umowną w wysokości 0,2% wynagrodzenia brutto należnego za część, której dotyczą wady, za każdy rozpoczęty dzień zwłoki.</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W razie zwłoki w usunięciu wad lub usterek w okresie gwarancji albo rękojmi Wykonawca zapłaci karę umowną w wysokości 0,2% wynagrodzenia brutto należnego za część, której dotyczy zgłoszenie, za każdy rozpoczęty dzień zwłoki względem terminu określonego zgodnie z § 8 ust. 6.</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Za dostarczenie, bez uprzedniej zgody Zamawiającego udzielonej zgodnie z § 10, urządzenia, modułu, licencji lub konfiguracji innej niż wskazana w ofercie Wykonawca zapłaci karę umowną w wysokości 5% wynagrodzenia brutto należnego za część, której dotyczy naruszenie, niezależnie od obowiązku dostarczenia rozwiązania zgodnego z umową.</w:t>
      </w:r>
    </w:p>
    <w:p>
      <w:pPr>
        <w:pStyle w:val="Normal"/>
        <w:numPr>
          <w:ilvl w:val="2"/>
          <w:numId w:val="12"/>
        </w:numPr>
        <w:rPr>
          <w:rFonts w:ascii="Cambria" w:hAnsi="Cambria" w:cs="Helvetica"/>
          <w:sz w:val="24"/>
          <w:szCs w:val="24"/>
        </w:rPr>
      </w:pPr>
      <w:r>
        <w:rPr>
          <w:rFonts w:cs="Helvetica" w:ascii="Cambria" w:hAnsi="Cambria"/>
          <w:color w:val="000000"/>
          <w:sz w:val="24"/>
          <w:szCs w:val="24"/>
        </w:rPr>
        <w:t>Za każdy stwierdzony przypadek naruszenia obowiązku zachowania poufności określonego w § 12 Wykonawca zapłaci karę umowną w wysokości 5 000,00 zł.</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W przypadku odstąpienia od umowy w całości albo w części z przyczyn, za które odpowiedzialność ponosi Wykonawca, Wykonawca zapłaci karę umowną w wysokości 15% wynagrodzenia brutto należnego odpowiednio za całość umowy albo za część objętą odstąpieniem.</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Kary umowne są płatne w terminie 7 dni od dnia doręczenia Wykonawcy noty obciążeniowej. Zamawiający może potrącić wymagalne kary umowne z wynagrodzenia Wykonawcy, z uwzględnieniem obowiązujących przepisów.</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Zamawiający może dochodzić na zasadach ogólnych odszkodowania przewyższającego wysokość zastrzeżonych kar umownych.</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Za to samo zdarzenie Zamawiający nie nalicza jednocześnie kilku kar o tożsamej funkcji. Dopuszczalne jest łączne dochodzenie kary za zwłokę naliczonej do dnia odstąpienia oraz kary z tytułu odstąpienia od umowy.</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Łączna maksymalna wysokość kar umownych naliczonych Wykonawcy nie może przekroczyć 30% łącznego wynagrodzenia brutto określonego w § 7 ust. 1.</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Zamawiający może odstąpić od umowy w całości albo w niewykonanej części, jeżeli zwłoka Wykonawcy w wykonaniu danej części przekracza 14 dni albo jeżeli Wykonawca, mimo wezwania, nie usuwa wad istotnych lub wykonuje umowę w sposób sprzeczny z OPZ i umową.</w:t>
      </w:r>
    </w:p>
    <w:p>
      <w:pPr>
        <w:pStyle w:val="p2"/>
        <w:numPr>
          <w:ilvl w:val="2"/>
          <w:numId w:val="12"/>
        </w:numPr>
        <w:spacing w:lineRule="auto" w:line="276"/>
        <w:ind w:hanging="426" w:left="426" w:right="0"/>
        <w:jc w:val="both"/>
        <w:rPr>
          <w:rFonts w:ascii="Cambria" w:hAnsi="Cambria" w:cs="Cambria"/>
          <w:sz w:val="24"/>
          <w:szCs w:val="24"/>
        </w:rPr>
      </w:pPr>
      <w:r>
        <w:rPr>
          <w:rFonts w:cs="Cambria" w:ascii="Cambria" w:hAnsi="Cambria"/>
          <w:color w:val="000000"/>
          <w:sz w:val="24"/>
          <w:szCs w:val="24"/>
        </w:rPr>
        <w:t>Oświadczenie o odstąpieniu od umowy wymaga formy pisemnej albo elektronicznej pod rygorem nieważności i może zostać złożone w terminie 30 dni od dnia powzięcia wiadomości o okoliczności uzasadniającej odstąpienie. Oświadczenie powinno wskazywać przyczynę i zakres odstąpienia.</w:t>
      </w:r>
    </w:p>
    <w:p>
      <w:pPr>
        <w:pStyle w:val="p2"/>
        <w:spacing w:lineRule="auto" w:line="276"/>
        <w:ind w:left="426" w:right="0"/>
        <w:jc w:val="both"/>
        <w:rPr>
          <w:rFonts w:ascii="Cambria" w:hAnsi="Cambria" w:cs="Cambria"/>
          <w:sz w:val="24"/>
          <w:szCs w:val="24"/>
        </w:rPr>
      </w:pPr>
      <w:r>
        <w:rPr>
          <w:rFonts w:cs="Cambria" w:ascii="Cambria" w:hAnsi="Cambria"/>
          <w:sz w:val="24"/>
          <w:szCs w:val="24"/>
        </w:rPr>
      </w:r>
    </w:p>
    <w:p>
      <w:pPr>
        <w:pStyle w:val="p2"/>
        <w:spacing w:lineRule="auto" w:line="276"/>
        <w:jc w:val="center"/>
        <w:rPr/>
      </w:pPr>
      <w:r>
        <w:rPr>
          <w:rStyle w:val="s1"/>
          <w:rFonts w:cs="Cambria" w:ascii="Cambria" w:hAnsi="Cambria"/>
          <w:b/>
          <w:sz w:val="24"/>
          <w:szCs w:val="24"/>
        </w:rPr>
        <w:t xml:space="preserve">§ </w:t>
      </w:r>
      <w:r>
        <w:rPr>
          <w:rFonts w:cs="Cambria" w:ascii="Cambria" w:hAnsi="Cambria"/>
          <w:b/>
          <w:sz w:val="24"/>
          <w:szCs w:val="24"/>
        </w:rPr>
        <w:t>9a</w:t>
      </w:r>
    </w:p>
    <w:p>
      <w:pPr>
        <w:pStyle w:val="p2"/>
        <w:spacing w:lineRule="auto" w:line="276"/>
        <w:jc w:val="center"/>
        <w:rPr>
          <w:rFonts w:ascii="Cambria" w:hAnsi="Cambria" w:cs="Cambria"/>
        </w:rPr>
      </w:pPr>
      <w:r>
        <w:rPr>
          <w:rFonts w:cs="Cambria" w:ascii="Cambria" w:hAnsi="Cambria"/>
          <w:b/>
          <w:sz w:val="24"/>
          <w:szCs w:val="24"/>
        </w:rPr>
        <w:t>Opakowanie, transport i odpowiedzialność za urządzenia</w:t>
      </w:r>
    </w:p>
    <w:p>
      <w:pPr>
        <w:pStyle w:val="p2"/>
        <w:spacing w:lineRule="auto" w:line="276"/>
        <w:rPr>
          <w:rStyle w:val="s1"/>
          <w:rFonts w:ascii="Cambria" w:hAnsi="Cambria" w:cs="Cambria"/>
          <w:b/>
          <w:sz w:val="24"/>
          <w:szCs w:val="24"/>
        </w:rPr>
      </w:pPr>
      <w:r>
        <w:rPr>
          <w:rFonts w:cs="Cambria" w:ascii="Cambria" w:hAnsi="Cambria"/>
        </w:rPr>
      </w:r>
    </w:p>
    <w:p>
      <w:pPr>
        <w:pStyle w:val="p2"/>
        <w:numPr>
          <w:ilvl w:val="0"/>
          <w:numId w:val="21"/>
        </w:numPr>
        <w:spacing w:lineRule="auto" w:line="276"/>
        <w:ind w:hanging="360" w:left="426" w:right="0"/>
        <w:jc w:val="both"/>
        <w:rPr>
          <w:rFonts w:ascii="Cambria" w:hAnsi="Cambria" w:cs="Cambria"/>
          <w:bCs/>
          <w:sz w:val="24"/>
          <w:szCs w:val="24"/>
          <w:lang w:val="en-US"/>
        </w:rPr>
      </w:pPr>
      <w:r>
        <w:rPr>
          <w:rFonts w:cs="Times New Roman" w:ascii="Cambria" w:hAnsi="Cambria"/>
          <w:sz w:val="24"/>
          <w:szCs w:val="24"/>
          <w:lang w:eastAsia="pl-PL" w:bidi="pl-PL"/>
        </w:rPr>
        <w:t>Wykonawca zastosuje opakowania odpowiednie dla urządzeń elektronicznych, zapewniające ochronę przed uszkodzeniami mechanicznymi, wilgocią, zabrudzeniem i wyładowaniami elektrostatycznymi oraz umożliwiające bezpieczny transport i wniesienie.</w:t>
      </w:r>
    </w:p>
    <w:p>
      <w:pPr>
        <w:pStyle w:val="p2"/>
        <w:numPr>
          <w:ilvl w:val="0"/>
          <w:numId w:val="21"/>
        </w:numPr>
        <w:spacing w:lineRule="auto" w:line="276"/>
        <w:ind w:hanging="360" w:left="426" w:right="0"/>
        <w:jc w:val="both"/>
        <w:rPr>
          <w:rFonts w:ascii="Cambria" w:hAnsi="Cambria" w:cs="Cambria"/>
          <w:bCs/>
          <w:sz w:val="24"/>
          <w:szCs w:val="24"/>
          <w:lang w:val="en-US"/>
        </w:rPr>
      </w:pPr>
      <w:r>
        <w:rPr>
          <w:rFonts w:cs="Cambria" w:ascii="Cambria" w:hAnsi="Cambria"/>
          <w:bCs/>
          <w:sz w:val="24"/>
          <w:szCs w:val="24"/>
          <w:lang w:val="en-US"/>
        </w:rPr>
        <w:t>Wykonawca ponosi pełną odpowiedzialność i ryzyko związane z transportem, wniesieniem i przechowywaniem urządzeń do chwili podpisania protokołu odbioru właściwej części bez zastrzeżeń.</w:t>
      </w:r>
    </w:p>
    <w:p>
      <w:pPr>
        <w:pStyle w:val="p2"/>
        <w:numPr>
          <w:ilvl w:val="0"/>
          <w:numId w:val="21"/>
        </w:numPr>
        <w:spacing w:lineRule="auto" w:line="276"/>
        <w:ind w:hanging="360" w:left="426" w:right="0"/>
        <w:jc w:val="both"/>
        <w:rPr>
          <w:rFonts w:ascii="Cambria" w:hAnsi="Cambria" w:cs="Cambria"/>
          <w:bCs/>
          <w:sz w:val="24"/>
          <w:szCs w:val="24"/>
          <w:lang w:val="en-US"/>
        </w:rPr>
      </w:pPr>
      <w:r>
        <w:rPr>
          <w:rFonts w:cs="Cambria" w:ascii="Cambria" w:hAnsi="Cambria"/>
          <w:bCs/>
          <w:sz w:val="24"/>
          <w:szCs w:val="24"/>
          <w:lang w:val="en-US"/>
        </w:rPr>
        <w:t>Na żądanie Zamawiającego Wykonawca usunie z miejsca dostawy opakowania transportowe, zabezpieczenia i pozostałości powstałe przy realizacji dostawy oraz zagospodaruje je zgodnie z obowiązującymi przepisami.</w:t>
      </w:r>
    </w:p>
    <w:p>
      <w:pPr>
        <w:pStyle w:val="p2"/>
        <w:numPr>
          <w:ilvl w:val="0"/>
          <w:numId w:val="21"/>
        </w:numPr>
        <w:spacing w:lineRule="auto" w:line="276"/>
        <w:ind w:hanging="360" w:left="426" w:right="0"/>
        <w:jc w:val="both"/>
        <w:rPr>
          <w:rFonts w:ascii="Cambria" w:hAnsi="Cambria" w:cs="Cambria"/>
          <w:bCs/>
          <w:sz w:val="24"/>
          <w:szCs w:val="24"/>
          <w:lang w:val="en-US"/>
        </w:rPr>
      </w:pPr>
      <w:r>
        <w:rPr>
          <w:rFonts w:cs="Cambria" w:ascii="Cambria" w:hAnsi="Cambria"/>
          <w:bCs/>
          <w:sz w:val="24"/>
          <w:szCs w:val="24"/>
          <w:lang w:val="en-US"/>
        </w:rPr>
        <w:t>Uszkodzenie opakowania, urządzenia lub akcesoriów, brak zabezpieczeń albo niezachowanie warunków transportu stanowi podstawę odmowy odbioru do czasu dostarczenia przedmiotu wolnego od wad, bez dodatkowych kosztów dla Zamawiającego.</w:t>
      </w:r>
    </w:p>
    <w:p>
      <w:pPr>
        <w:pStyle w:val="p2"/>
        <w:spacing w:lineRule="auto" w:line="276"/>
        <w:jc w:val="both"/>
        <w:rPr>
          <w:rStyle w:val="s1"/>
          <w:rFonts w:ascii="Cambria" w:hAnsi="Cambria" w:cs="Cambria"/>
          <w:b/>
          <w:sz w:val="24"/>
          <w:szCs w:val="24"/>
        </w:rPr>
      </w:pPr>
      <w:r>
        <w:rPr>
          <w:rFonts w:cs="Cambria" w:ascii="Cambria" w:hAnsi="Cambria"/>
          <w:bCs/>
          <w:sz w:val="24"/>
          <w:szCs w:val="24"/>
          <w:lang w:val="en-US"/>
        </w:rPr>
      </w:r>
    </w:p>
    <w:p>
      <w:pPr>
        <w:pStyle w:val="p2"/>
        <w:spacing w:lineRule="auto" w:line="276"/>
        <w:jc w:val="center"/>
        <w:rPr>
          <w:rStyle w:val="s1"/>
          <w:rFonts w:ascii="Cambria" w:hAnsi="Cambria" w:cs="Cambria"/>
          <w:b/>
          <w:sz w:val="24"/>
          <w:szCs w:val="24"/>
        </w:rPr>
      </w:pPr>
      <w:r>
        <w:rPr/>
      </w:r>
    </w:p>
    <w:p>
      <w:pPr>
        <w:pStyle w:val="p2"/>
        <w:spacing w:lineRule="auto" w:line="276"/>
        <w:jc w:val="center"/>
        <w:rPr>
          <w:rFonts w:ascii="Cambria" w:hAnsi="Cambria" w:cs="Cambria"/>
        </w:rPr>
      </w:pPr>
      <w:r>
        <w:rPr>
          <w:rStyle w:val="s1"/>
          <w:rFonts w:cs="Cambria" w:ascii="Cambria" w:hAnsi="Cambria"/>
          <w:b/>
          <w:sz w:val="24"/>
          <w:szCs w:val="24"/>
        </w:rPr>
        <w:t xml:space="preserve">§ </w:t>
      </w:r>
      <w:r>
        <w:rPr>
          <w:rFonts w:cs="Cambria" w:ascii="Cambria" w:hAnsi="Cambria"/>
          <w:b/>
          <w:sz w:val="24"/>
          <w:szCs w:val="24"/>
        </w:rPr>
        <w:t>10</w:t>
      </w:r>
    </w:p>
    <w:p>
      <w:pPr>
        <w:pStyle w:val="p2"/>
        <w:spacing w:lineRule="auto" w:line="276"/>
        <w:jc w:val="center"/>
        <w:rPr>
          <w:rFonts w:ascii="Cambria" w:hAnsi="Cambria" w:cs="Cambria"/>
          <w:b/>
          <w:sz w:val="24"/>
          <w:szCs w:val="24"/>
        </w:rPr>
      </w:pPr>
      <w:r>
        <w:rPr>
          <w:rFonts w:cs="Cambria" w:ascii="Cambria" w:hAnsi="Cambria"/>
          <w:b/>
          <w:sz w:val="24"/>
          <w:szCs w:val="24"/>
        </w:rPr>
        <w:t>Zmiany postanowień umowy</w:t>
      </w:r>
    </w:p>
    <w:p>
      <w:pPr>
        <w:pStyle w:val="p2"/>
        <w:numPr>
          <w:ilvl w:val="0"/>
          <w:numId w:val="8"/>
        </w:numPr>
        <w:spacing w:lineRule="auto" w:line="276"/>
        <w:ind w:hanging="426" w:left="426" w:right="0"/>
        <w:jc w:val="both"/>
        <w:rPr>
          <w:rFonts w:ascii="Cambria" w:hAnsi="Cambria" w:cs="Cambria"/>
        </w:rPr>
      </w:pPr>
      <w:r>
        <w:rPr>
          <w:rFonts w:cs="Cambria" w:ascii="Cambria" w:hAnsi="Cambria"/>
          <w:color w:val="000000"/>
          <w:sz w:val="24"/>
          <w:szCs w:val="24"/>
        </w:rPr>
        <w:t>Na podstawie art. 455 ust. 1 pkt 1 ustawy Pzp Zamawiający przewiduje następujące, wyczerpująco określone przypadki zmiany umowy w stosunku do treści wybranej oferty, pod warunkiem że zmiana nie prowadzi do zmiany ogólnego charakteru umowy:</w:t>
      </w:r>
    </w:p>
    <w:p>
      <w:pPr>
        <w:pStyle w:val="p2"/>
        <w:numPr>
          <w:ilvl w:val="1"/>
          <w:numId w:val="2"/>
        </w:numPr>
        <w:spacing w:lineRule="auto" w:line="276"/>
        <w:ind w:hanging="294" w:left="720" w:right="0"/>
        <w:jc w:val="both"/>
        <w:rPr>
          <w:rFonts w:ascii="Cambria" w:hAnsi="Cambria" w:cs="Cambria"/>
        </w:rPr>
      </w:pPr>
      <w:r>
        <w:rPr>
          <w:rFonts w:cs="Cambria" w:ascii="Cambria" w:hAnsi="Cambria"/>
          <w:color w:val="000000"/>
          <w:sz w:val="24"/>
          <w:szCs w:val="24"/>
        </w:rPr>
        <w:t>w razie zmiany przepisów prawa, norm bezwzględnie obowiązujących lub wiążących decyzji właściwych organów – dopuszcza się wyłącznie zmianę zakresu lub sposobu realizacji w stopniu niezbędnym do zapewnienia zgodności z nowymi wymaganiami; zmiana nie powoduje podwyższenia wynagrodzenia, z wyjątkiem przypadku wyraźnie wskazanego w pkt 2;</w:t>
      </w:r>
    </w:p>
    <w:p>
      <w:pPr>
        <w:pStyle w:val="p2"/>
        <w:numPr>
          <w:ilvl w:val="1"/>
          <w:numId w:val="2"/>
        </w:numPr>
        <w:spacing w:lineRule="auto" w:line="276"/>
        <w:ind w:hanging="294" w:left="720" w:right="0"/>
        <w:jc w:val="both"/>
        <w:rPr>
          <w:rFonts w:ascii="Cambria" w:hAnsi="Cambria" w:cs="Cambria"/>
        </w:rPr>
      </w:pPr>
      <w:r>
        <w:rPr>
          <w:rFonts w:cs="Cambria" w:ascii="Cambria" w:hAnsi="Cambria"/>
          <w:color w:val="000000"/>
          <w:sz w:val="24"/>
          <w:szCs w:val="24"/>
        </w:rPr>
        <w:t>w razie ustawowej zmiany stawki podatku VAT – wynagrodzenie netto pozostaje bez zmian, a wynagrodzenie brutto ulega zmianie wyłącznie o kwotę wynikającą ze zmiany stawki podatku dla świadczeń wykonanych po dniu wejścia zmiany w życie;</w:t>
      </w:r>
    </w:p>
    <w:p>
      <w:pPr>
        <w:pStyle w:val="p2"/>
        <w:numPr>
          <w:ilvl w:val="1"/>
          <w:numId w:val="2"/>
        </w:numPr>
        <w:spacing w:lineRule="auto" w:line="276"/>
        <w:ind w:hanging="294" w:left="720" w:right="0"/>
        <w:jc w:val="both"/>
        <w:rPr>
          <w:rFonts w:ascii="Cambria" w:hAnsi="Cambria" w:cs="Cambria"/>
        </w:rPr>
      </w:pPr>
      <w:r>
        <w:rPr>
          <w:rFonts w:cs="Cambria" w:ascii="Cambria" w:hAnsi="Cambria"/>
          <w:color w:val="000000"/>
          <w:sz w:val="24"/>
          <w:szCs w:val="24"/>
        </w:rPr>
        <w:t>w razie wystąpienia siły wyższej, rozumianej jako zewnętrzne, niezależne od Stron i niemożliwe do uniknięcia zdarzenie uniemożliwiające wykonanie umowy – termin może zostać przedłużony o udokumentowany okres rzeczywistego oddziaływania przeszkody i czas niezbędny do usunięcia jej bezpośrednich skutków, bez automatycznego podwyższenia wynagrodzenia;</w:t>
      </w:r>
    </w:p>
    <w:p>
      <w:pPr>
        <w:pStyle w:val="p2"/>
        <w:numPr>
          <w:ilvl w:val="1"/>
          <w:numId w:val="2"/>
        </w:numPr>
        <w:spacing w:lineRule="auto" w:line="276"/>
        <w:ind w:hanging="294" w:left="720" w:right="0"/>
        <w:jc w:val="both"/>
        <w:rPr>
          <w:rFonts w:ascii="Cambria" w:hAnsi="Cambria" w:cs="Cambria"/>
        </w:rPr>
      </w:pPr>
      <w:r>
        <w:rPr>
          <w:rFonts w:cs="Cambria" w:ascii="Cambria" w:hAnsi="Cambria"/>
          <w:color w:val="000000"/>
          <w:sz w:val="24"/>
          <w:szCs w:val="24"/>
        </w:rPr>
        <w:t>w razie wstrzymania realizacji przez Zamawiającego z przyczyn niezależnych od Wykonawcy – termin może zostać przedłużony o udokumentowany okres wstrzymania, bez automatycznego podwyższenia wynagrodzenia;</w:t>
      </w:r>
    </w:p>
    <w:p>
      <w:pPr>
        <w:pStyle w:val="p2"/>
        <w:numPr>
          <w:ilvl w:val="1"/>
          <w:numId w:val="2"/>
        </w:numPr>
        <w:spacing w:lineRule="auto" w:line="276"/>
        <w:ind w:hanging="294" w:left="720" w:right="0"/>
        <w:jc w:val="both"/>
        <w:rPr>
          <w:rFonts w:ascii="Cambria" w:hAnsi="Cambria" w:cs="Cambria"/>
        </w:rPr>
      </w:pPr>
      <w:r>
        <w:rPr>
          <w:rFonts w:cs="Cambria" w:ascii="Cambria" w:hAnsi="Cambria"/>
          <w:color w:val="000000"/>
          <w:sz w:val="24"/>
          <w:szCs w:val="24"/>
        </w:rPr>
        <w:t>w razie wycofania zaoferowanego urządzenia, modułu lub licencji z produkcji albo sprzedaży, zakończenia jego wsparcia lub trwałej niedostępności z przyczyn niezależnych od Wykonawcy, potwierdzonych dokumentem producenta lub autoryzowanego dystrybutora – dopuszcza się rozwiązanie zastępcze wyłącznie po uprzedniej zgodzie Zamawiającego, jeżeli rozwiązanie spełnia wszystkie minimalne wymagania OPZ, zapewnia co najmniej równoważną funkcjonalność, jakość, interoperacyjność i okres gwarancji, nie powoduje zwiększenia wynagrodzenia i nie zmienia ogólnego charakteru umowy;</w:t>
      </w:r>
    </w:p>
    <w:p>
      <w:pPr>
        <w:pStyle w:val="p2"/>
        <w:spacing w:lineRule="auto" w:line="276"/>
        <w:ind w:hanging="426" w:left="426" w:right="0"/>
        <w:jc w:val="both"/>
        <w:rPr>
          <w:rFonts w:ascii="Cambria" w:hAnsi="Cambria" w:cs="Cambria"/>
          <w:sz w:val="24"/>
          <w:szCs w:val="24"/>
        </w:rPr>
        <w:numPr>
          <w:ilvl w:val="1"/>
          <w:numId w:val="2"/>
        </w:numPr>
      </w:pPr>
      <w:r>
        <w:rPr>
          <w:rFonts w:cs="†¯øw≥¸;Times New Roman" w:ascii="Cambria" w:hAnsi="Cambria"/>
          <w:color w:val="000000"/>
          <w:sz w:val="24"/>
          <w:szCs w:val="24"/>
        </w:rPr>
        <w:t>w razie konieczności zmiany konfiguracji zestawu, sposobu synchronizacji, okablowania lub elementów montażowych ujawnionej podczas integracji – dopuszcza się zmianę wyłącznie po uprzedniej zgodzie Zamawiającego, pod warunkiem braku obniżenia któregokolwiek parametru, zachowania pełnej interoperacyjności, braku zwiększenia wynagrodzenia i braku zmiany ogólnego charakteru umowy.</w:t>
      </w:r>
    </w:p>
    <w:p>
      <w:pPr>
        <w:pStyle w:val="p2"/>
        <w:numPr>
          <w:ilvl w:val="0"/>
          <w:numId w:val="8"/>
        </w:numPr>
        <w:spacing w:lineRule="auto" w:line="276"/>
        <w:ind w:hanging="426" w:left="426" w:right="0"/>
        <w:jc w:val="both"/>
        <w:rPr>
          <w:rFonts w:ascii="Cambria" w:hAnsi="Cambria" w:cs="Cambria"/>
          <w:sz w:val="24"/>
          <w:szCs w:val="24"/>
        </w:rPr>
      </w:pPr>
      <w:r>
        <w:rPr>
          <w:rFonts w:cs="†¯øw≥¸;Times New Roman" w:ascii="Cambria" w:hAnsi="Cambria"/>
          <w:color w:val="000000"/>
          <w:sz w:val="24"/>
          <w:szCs w:val="24"/>
        </w:rPr>
        <w:t>Nie stanowią zmiany umowy w rozumieniu art. 455 ustawy Pzp, o ile nie wpływają na zakres świadczenia, wynagrodzenie, termin ani odpowiedzialność Stron:</w:t>
      </w:r>
    </w:p>
    <w:p>
      <w:pPr>
        <w:pStyle w:val="Normal"/>
        <w:widowControl w:val="false"/>
        <w:numPr>
          <w:ilvl w:val="0"/>
          <w:numId w:val="29"/>
        </w:numPr>
        <w:spacing w:before="0" w:after="0"/>
        <w:ind w:hanging="283" w:left="709" w:right="0"/>
        <w:jc w:val="both"/>
        <w:rPr>
          <w:rFonts w:ascii="Cambria" w:hAnsi="Cambria" w:cs="†¯øw≥¸;Times New Roman"/>
          <w:sz w:val="24"/>
          <w:szCs w:val="24"/>
        </w:rPr>
      </w:pPr>
      <w:r>
        <w:rPr>
          <w:rFonts w:cs="†¯øw≥¸;Times New Roman" w:ascii="Cambria" w:hAnsi="Cambria"/>
          <w:color w:val="000000"/>
          <w:sz w:val="24"/>
          <w:szCs w:val="24"/>
        </w:rPr>
        <w:t>zmiana danych teleadresowych, osób do kontaktu, adresów poczty elektronicznej lub danych rejestrowych Stron;</w:t>
      </w:r>
    </w:p>
    <w:p>
      <w:pPr>
        <w:pStyle w:val="Normal"/>
        <w:widowControl w:val="false"/>
        <w:numPr>
          <w:ilvl w:val="0"/>
          <w:numId w:val="29"/>
        </w:numPr>
        <w:spacing w:before="0" w:after="0"/>
        <w:ind w:hanging="283" w:left="709" w:right="0"/>
        <w:jc w:val="both"/>
        <w:rPr>
          <w:rFonts w:ascii="Cambria" w:hAnsi="Cambria" w:cs="†¯øw≥¸;Times New Roman"/>
          <w:sz w:val="24"/>
          <w:szCs w:val="24"/>
        </w:rPr>
      </w:pPr>
      <w:r>
        <w:rPr>
          <w:rFonts w:cs="†¯øw≥¸;Times New Roman" w:ascii="Cambria" w:hAnsi="Cambria"/>
          <w:color w:val="000000"/>
          <w:sz w:val="24"/>
          <w:szCs w:val="24"/>
        </w:rPr>
        <w:t>zmiana danych związanych z obsługą administracyjno-organizacyjną umowy, w tym numeru rachunku bankowego, pod warunkiem spełnienia wymagań dotyczących wykazu podatników VAT.</w:t>
      </w:r>
    </w:p>
    <w:p>
      <w:pPr>
        <w:pStyle w:val="p2"/>
        <w:numPr>
          <w:ilvl w:val="0"/>
          <w:numId w:val="8"/>
        </w:numPr>
        <w:spacing w:lineRule="auto" w:line="276"/>
        <w:ind w:hanging="426" w:left="426" w:right="0"/>
        <w:jc w:val="both"/>
        <w:rPr>
          <w:rStyle w:val="s1"/>
          <w:rFonts w:ascii="Cambria" w:hAnsi="Cambria" w:cs="Cambria"/>
          <w:b/>
          <w:sz w:val="24"/>
          <w:szCs w:val="24"/>
        </w:rPr>
      </w:pPr>
      <w:r>
        <w:rPr>
          <w:rFonts w:cs="†¯øw≥¸;Times New Roman" w:ascii="Cambria" w:hAnsi="Cambria"/>
          <w:color w:val="000000"/>
          <w:sz w:val="24"/>
          <w:szCs w:val="24"/>
        </w:rPr>
        <w:t>Strona występująca o zmianę przedstawi pisemny wniosek zawierający podstawę, zakres, wpływ na termin i wynagrodzenie oraz dokumenty potwierdzające okoliczności. Zmiana treści umowy wymaga aneksu w formie pisemnej pod rygorem nieważności. Wystąpienie przesłanki nie tworzy po stronie Wykonawcy roszczenia o zmianę umowy.</w:t>
      </w:r>
    </w:p>
    <w:p>
      <w:pPr>
        <w:pStyle w:val="p2"/>
        <w:spacing w:lineRule="auto" w:line="276"/>
        <w:rPr>
          <w:rStyle w:val="s1"/>
          <w:rFonts w:ascii="Cambria" w:hAnsi="Cambria" w:cs="Cambria"/>
          <w:b/>
          <w:sz w:val="24"/>
          <w:szCs w:val="24"/>
        </w:rPr>
      </w:pPr>
      <w:r>
        <w:rPr/>
      </w:r>
    </w:p>
    <w:p>
      <w:pPr>
        <w:pStyle w:val="p2"/>
        <w:spacing w:lineRule="auto" w:line="276"/>
        <w:rPr>
          <w:rStyle w:val="s1"/>
          <w:rFonts w:ascii="Cambria" w:hAnsi="Cambria" w:cs="Cambria"/>
          <w:b/>
          <w:sz w:val="24"/>
          <w:szCs w:val="24"/>
        </w:rPr>
      </w:pPr>
      <w:r>
        <w:rPr/>
      </w:r>
    </w:p>
    <w:p>
      <w:pPr>
        <w:pStyle w:val="p2"/>
        <w:spacing w:lineRule="auto" w:line="276"/>
        <w:jc w:val="center"/>
        <w:rPr>
          <w:rStyle w:val="s1"/>
          <w:rFonts w:ascii="Cambria" w:hAnsi="Cambria" w:cs="Cambria"/>
          <w:b/>
          <w:sz w:val="24"/>
          <w:szCs w:val="24"/>
        </w:rPr>
      </w:pPr>
      <w:r>
        <w:rPr/>
      </w:r>
    </w:p>
    <w:p>
      <w:pPr>
        <w:pStyle w:val="p2"/>
        <w:spacing w:lineRule="auto" w:line="276"/>
        <w:jc w:val="center"/>
        <w:rPr>
          <w:rFonts w:ascii="Cambria" w:hAnsi="Cambria" w:cs="Cambria"/>
        </w:rPr>
      </w:pPr>
      <w:r>
        <w:rPr>
          <w:rStyle w:val="s1"/>
          <w:rFonts w:cs="Cambria" w:ascii="Cambria" w:hAnsi="Cambria"/>
          <w:b/>
          <w:sz w:val="24"/>
          <w:szCs w:val="24"/>
        </w:rPr>
        <w:t xml:space="preserve">§ </w:t>
      </w:r>
      <w:r>
        <w:rPr>
          <w:rFonts w:cs="Cambria" w:ascii="Cambria" w:hAnsi="Cambria"/>
          <w:b/>
          <w:sz w:val="24"/>
          <w:szCs w:val="24"/>
        </w:rPr>
        <w:t>11</w:t>
      </w:r>
    </w:p>
    <w:p>
      <w:pPr>
        <w:pStyle w:val="p2"/>
        <w:spacing w:lineRule="auto" w:line="276"/>
        <w:jc w:val="center"/>
        <w:rPr>
          <w:rFonts w:ascii="Cambria" w:hAnsi="Cambria" w:cs="Cambria"/>
          <w:b/>
          <w:sz w:val="24"/>
          <w:szCs w:val="24"/>
        </w:rPr>
      </w:pPr>
      <w:r>
        <w:rPr>
          <w:rFonts w:cs="Cambria" w:ascii="Cambria" w:hAnsi="Cambria"/>
          <w:b/>
          <w:sz w:val="24"/>
          <w:szCs w:val="24"/>
        </w:rPr>
        <w:t>Przelew wierzytelności</w:t>
      </w:r>
    </w:p>
    <w:p>
      <w:pPr>
        <w:pStyle w:val="p2"/>
        <w:spacing w:lineRule="auto" w:line="276"/>
        <w:jc w:val="both"/>
        <w:rPr>
          <w:rFonts w:ascii="Cambria" w:hAnsi="Cambria" w:cs="Cambria"/>
        </w:rPr>
      </w:pPr>
      <w:r>
        <w:rPr>
          <w:rFonts w:cs="Cambria" w:ascii="Cambria" w:hAnsi="Cambria"/>
          <w:sz w:val="24"/>
          <w:szCs w:val="24"/>
        </w:rPr>
        <w:t>Wykonawca nie może przenieść wierzytelności wynikających z niniejszej umowy na osobę trzecią bez uprzedniej zgody Zamawiającego,</w:t>
      </w:r>
      <w:r>
        <w:rPr>
          <w:rFonts w:cs="Cambria" w:ascii="Cambria" w:hAnsi="Cambria"/>
          <w:iCs/>
          <w:sz w:val="24"/>
          <w:szCs w:val="24"/>
        </w:rPr>
        <w:t xml:space="preserve"> wyrażonej w formie pisemnej pod rygorem nieważności</w:t>
      </w:r>
      <w:r>
        <w:rPr>
          <w:rFonts w:cs="Cambria" w:ascii="Cambria" w:hAnsi="Cambria"/>
          <w:sz w:val="24"/>
          <w:szCs w:val="24"/>
        </w:rPr>
        <w:t>.</w:t>
      </w:r>
      <w:bookmarkStart w:id="9" w:name="_Hlk517249695"/>
      <w:r>
        <w:rPr>
          <w:rFonts w:cs="Cambria" w:ascii="Cambria" w:hAnsi="Cambria"/>
          <w:sz w:val="24"/>
          <w:szCs w:val="24"/>
        </w:rPr>
        <w:t xml:space="preserve"> Cesja lub czynność wywołująca podobne skutki, dokonane bez pisemnej zgody Zamawiającego są względem Zamawiającego bezskuteczne</w:t>
      </w:r>
      <w:bookmarkEnd w:id="9"/>
      <w:r>
        <w:rPr>
          <w:rFonts w:cs="Cambria" w:ascii="Cambria" w:hAnsi="Cambria"/>
          <w:sz w:val="24"/>
          <w:szCs w:val="24"/>
        </w:rPr>
        <w:t>.</w:t>
      </w:r>
    </w:p>
    <w:p>
      <w:pPr>
        <w:pStyle w:val="p2"/>
        <w:spacing w:lineRule="auto" w:line="276"/>
        <w:jc w:val="center"/>
        <w:rPr>
          <w:rFonts w:ascii="Cambria" w:hAnsi="Cambria" w:cs="Cambria"/>
          <w:b/>
          <w:sz w:val="24"/>
          <w:szCs w:val="24"/>
        </w:rPr>
      </w:pPr>
      <w:r>
        <w:rPr>
          <w:rFonts w:cs="Cambria" w:ascii="Cambria" w:hAnsi="Cambria"/>
          <w:b/>
          <w:sz w:val="24"/>
          <w:szCs w:val="24"/>
        </w:rPr>
      </w:r>
    </w:p>
    <w:p>
      <w:pPr>
        <w:pStyle w:val="p2"/>
        <w:spacing w:lineRule="auto" w:line="276"/>
        <w:jc w:val="center"/>
        <w:rPr>
          <w:rFonts w:ascii="Cambria" w:hAnsi="Cambria" w:cs="Cambria"/>
          <w:b/>
          <w:sz w:val="24"/>
          <w:szCs w:val="24"/>
        </w:rPr>
      </w:pPr>
      <w:r>
        <w:rPr>
          <w:rFonts w:cs="Cambria" w:ascii="Cambria" w:hAnsi="Cambria"/>
          <w:b/>
          <w:sz w:val="24"/>
          <w:szCs w:val="24"/>
        </w:rPr>
      </w:r>
    </w:p>
    <w:p>
      <w:pPr>
        <w:pStyle w:val="p2"/>
        <w:spacing w:lineRule="auto" w:line="276"/>
        <w:jc w:val="center"/>
        <w:rPr>
          <w:rFonts w:ascii="Cambria" w:hAnsi="Cambria" w:cs="Cambria"/>
        </w:rPr>
      </w:pPr>
      <w:r>
        <w:rPr>
          <w:rFonts w:cs="Cambria" w:ascii="Cambria" w:hAnsi="Cambria"/>
          <w:b/>
          <w:sz w:val="24"/>
          <w:szCs w:val="24"/>
        </w:rPr>
        <w:t>§ 12</w:t>
      </w:r>
    </w:p>
    <w:p>
      <w:pPr>
        <w:pStyle w:val="p2"/>
        <w:spacing w:lineRule="auto" w:line="276"/>
        <w:jc w:val="center"/>
        <w:rPr>
          <w:rFonts w:ascii="Cambria" w:hAnsi="Cambria" w:cs="Cambria"/>
          <w:b/>
          <w:sz w:val="24"/>
          <w:szCs w:val="24"/>
        </w:rPr>
      </w:pPr>
      <w:r>
        <w:rPr>
          <w:rFonts w:cs="Cambria" w:ascii="Cambria" w:hAnsi="Cambria"/>
          <w:b/>
          <w:sz w:val="24"/>
          <w:szCs w:val="24"/>
        </w:rPr>
        <w:t>Poufność informacji</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Z zastrzeżeniem postanowienia ust. 2 Wykonawca zobowiązuje się do zachowania w poufności wszelkich dotyczących Zamawiającego danych i informacji uzyskanych w jakikolwiek sposób (zamierzony lub przypadkowy) w związku z wykonywaniem umowy, bez względu na sposób i formę ich przekazania, nazywanych dalej łącznie „Informacjami Poufnymi”.</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Obowiązku zachowania poufności, o którym mowa w ust. 1, nie stosuje się do danych i informacji:</w:t>
      </w:r>
    </w:p>
    <w:p>
      <w:pPr>
        <w:pStyle w:val="p2"/>
        <w:numPr>
          <w:ilvl w:val="1"/>
          <w:numId w:val="16"/>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dostępnych publicznie;</w:t>
      </w:r>
    </w:p>
    <w:p>
      <w:pPr>
        <w:pStyle w:val="p2"/>
        <w:numPr>
          <w:ilvl w:val="1"/>
          <w:numId w:val="16"/>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otrzymanych przez Wykonawcę zgodnie z przepisami prawa powszechnie obowiązującego, od osoby trzeciej bez obowiązku zachowania poufności;</w:t>
      </w:r>
    </w:p>
    <w:p>
      <w:pPr>
        <w:pStyle w:val="p2"/>
        <w:numPr>
          <w:ilvl w:val="1"/>
          <w:numId w:val="16"/>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które w momencie ich przekazania przez Zamawiającego były już znane Wykonawcy bez obowiązku zachowania poufności;</w:t>
      </w:r>
    </w:p>
    <w:p>
      <w:pPr>
        <w:pStyle w:val="p2"/>
        <w:numPr>
          <w:ilvl w:val="1"/>
          <w:numId w:val="16"/>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w stosunku do których Wykonawca uzyskał pisemną zgodę Zamawiającego na ich ujawnienie.</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Wykonawca zobowiązuje się do:</w:t>
      </w:r>
    </w:p>
    <w:p>
      <w:pPr>
        <w:pStyle w:val="p2"/>
        <w:numPr>
          <w:ilvl w:val="1"/>
          <w:numId w:val="5"/>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dołożenia właściwych starań w celu zabezpieczenia Informacji Poufnych przed ich utratą, zniekształceniem oraz</w:t>
      </w:r>
    </w:p>
    <w:p>
      <w:pPr>
        <w:pStyle w:val="p2"/>
        <w:numPr>
          <w:ilvl w:val="1"/>
          <w:numId w:val="5"/>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dostępem nieupoważnionych osób trzecich;</w:t>
      </w:r>
    </w:p>
    <w:p>
      <w:pPr>
        <w:pStyle w:val="p2"/>
        <w:numPr>
          <w:ilvl w:val="1"/>
          <w:numId w:val="5"/>
        </w:numPr>
        <w:tabs>
          <w:tab w:val="clear" w:pos="708"/>
          <w:tab w:val="left" w:pos="851" w:leader="none"/>
        </w:tabs>
        <w:spacing w:lineRule="auto" w:line="276"/>
        <w:ind w:hanging="425" w:left="851" w:right="0"/>
        <w:jc w:val="both"/>
        <w:rPr>
          <w:rFonts w:ascii="Cambria" w:hAnsi="Cambria" w:cs="Cambria"/>
        </w:rPr>
      </w:pPr>
      <w:r>
        <w:rPr>
          <w:rFonts w:cs="Cambria" w:ascii="Cambria" w:hAnsi="Cambria"/>
          <w:sz w:val="24"/>
          <w:szCs w:val="24"/>
        </w:rPr>
        <w:t>niewykorzystywania Informacji Poufnych w celach innych niż wykonanie umowy.</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okoliczności zdarzenia, zakres i skutki utraty, zniekształcenia lub ujawnienia Informacji Poufnych oraz podjęte działania ochronne.</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Po wykonaniu umowy oraz w przypadku rozwiązania umowy przez którąkolwiek ze Stron, Wykonawca bezzwłocznie zwróci Zamawiającemu lub komisyjnie zniszczy wszelkie Informacje Poufne.</w:t>
      </w:r>
    </w:p>
    <w:p>
      <w:pPr>
        <w:pStyle w:val="p2"/>
        <w:numPr>
          <w:ilvl w:val="2"/>
          <w:numId w:val="1"/>
        </w:numPr>
        <w:spacing w:lineRule="auto" w:line="276"/>
        <w:ind w:hanging="426" w:left="426" w:right="0"/>
        <w:jc w:val="both"/>
        <w:rPr>
          <w:rFonts w:ascii="Cambria" w:hAnsi="Cambria" w:cs="Cambria"/>
        </w:rPr>
      </w:pPr>
      <w:r>
        <w:rPr>
          <w:rFonts w:cs="Cambria" w:ascii="Cambria" w:hAnsi="Cambria"/>
          <w:sz w:val="24"/>
          <w:szCs w:val="24"/>
        </w:rPr>
        <w:t>Ustanowione umową zasady zachowania poufności Informacji Poufnych, jak również przewidziane w umowie kary umowne z tytułu naruszenia zasad zachowania poufności Informacji Poufnych, obowiązują zarówno podczas wykonania umowy, jak i po jej wygaśnięciu.</w:t>
      </w:r>
    </w:p>
    <w:p>
      <w:pPr>
        <w:pStyle w:val="p2"/>
        <w:spacing w:lineRule="auto" w:line="276"/>
        <w:ind w:left="426" w:right="0"/>
        <w:jc w:val="both"/>
        <w:rPr>
          <w:rFonts w:ascii="Cambria" w:hAnsi="Cambria" w:cs="Cambria"/>
          <w:sz w:val="10"/>
          <w:szCs w:val="10"/>
        </w:rPr>
      </w:pPr>
      <w:r>
        <w:rPr>
          <w:rFonts w:cs="Cambria" w:ascii="Cambria" w:hAnsi="Cambria"/>
          <w:sz w:val="10"/>
          <w:szCs w:val="10"/>
        </w:rPr>
      </w:r>
    </w:p>
    <w:p>
      <w:pPr>
        <w:pStyle w:val="p2"/>
        <w:spacing w:lineRule="auto" w:line="276"/>
        <w:ind w:left="360" w:right="0"/>
        <w:jc w:val="center"/>
        <w:rPr>
          <w:rFonts w:ascii="Cambria" w:hAnsi="Cambria" w:cs="Cambria"/>
          <w:b/>
          <w:sz w:val="24"/>
          <w:szCs w:val="24"/>
        </w:rPr>
      </w:pPr>
      <w:r>
        <w:rPr>
          <w:rFonts w:cs="Cambria" w:ascii="Cambria" w:hAnsi="Cambria"/>
          <w:b/>
          <w:sz w:val="24"/>
          <w:szCs w:val="24"/>
        </w:rPr>
        <w:t>§ 12a</w:t>
      </w:r>
    </w:p>
    <w:p>
      <w:pPr>
        <w:pStyle w:val="Normal"/>
        <w:suppressAutoHyphens w:val="false"/>
        <w:autoSpaceDE w:val="false"/>
        <w:spacing w:before="0" w:after="0"/>
        <w:ind w:left="360" w:right="0"/>
        <w:jc w:val="center"/>
        <w:rPr>
          <w:rFonts w:ascii="Cambria" w:hAnsi="Cambria" w:cs="Cambria"/>
          <w:sz w:val="24"/>
          <w:szCs w:val="24"/>
          <w:lang w:eastAsia="pl-PL"/>
        </w:rPr>
      </w:pPr>
      <w:r>
        <w:rPr>
          <w:rFonts w:cs="Cambria" w:ascii="Cambria" w:hAnsi="Cambria"/>
          <w:b/>
          <w:bCs/>
          <w:sz w:val="24"/>
          <w:szCs w:val="24"/>
          <w:lang w:eastAsia="pl-PL"/>
        </w:rPr>
        <w:t xml:space="preserve">Prawa autorskie </w:t>
      </w:r>
    </w:p>
    <w:p>
      <w:pPr>
        <w:pStyle w:val="Akapitzlist"/>
        <w:numPr>
          <w:ilvl w:val="0"/>
          <w:numId w:val="31"/>
        </w:numPr>
        <w:spacing w:lineRule="auto" w:line="276"/>
        <w:ind w:hanging="426" w:left="426" w:right="0"/>
        <w:jc w:val="both"/>
        <w:rPr>
          <w:rFonts w:ascii="Cambria" w:hAnsi="Cambria" w:cs="Cambria"/>
          <w:lang w:val="en-US" w:eastAsia="en-US"/>
        </w:rPr>
      </w:pPr>
      <w:r>
        <w:rPr>
          <w:rFonts w:cs="Cambria" w:ascii="Cambria" w:hAnsi="Cambria"/>
          <w:color w:val="000000"/>
          <w:lang w:val="en-US" w:eastAsia="en-US"/>
        </w:rPr>
        <w:t>Wykonawca oświadcza, że posiada prawa i uprawnienia niezbędne do dostarczenia urządzeń, oprogramowania i licencji oraz że korzystanie z nich przez Zamawiającego zgodnie z umową nie narusza praw osób trzecich.</w:t>
      </w:r>
    </w:p>
    <w:p>
      <w:pPr>
        <w:pStyle w:val="Akapitzlist"/>
        <w:numPr>
          <w:ilvl w:val="0"/>
          <w:numId w:val="31"/>
        </w:numPr>
        <w:spacing w:lineRule="auto" w:line="276"/>
        <w:ind w:hanging="426" w:left="426" w:right="0"/>
        <w:jc w:val="both"/>
        <w:rPr>
          <w:rFonts w:ascii="Cambria" w:hAnsi="Cambria" w:cs="Cambria"/>
          <w:lang w:val="en-US" w:eastAsia="en-US"/>
        </w:rPr>
      </w:pPr>
      <w:r>
        <w:rPr>
          <w:rFonts w:cs="Cambria" w:ascii="Cambria" w:hAnsi="Cambria"/>
          <w:color w:val="000000"/>
        </w:rPr>
        <w:t>Z chwilą odbioru danej części Wykonawca zapewnia Zamawiającemu niewyłączne prawo do korzystania ze standardowego oprogramowania, firmware, narzędzi konfiguracyjnych i dokumentacji w zakresie niezbędnym do instalacji, konfiguracji, eksploatacji, serwisowania, tworzenia kopii bezpieczeństwa i przywracania konfiguracji urządzeń. Licencje nie mogą zawierać ograniczeń uniemożliwiających zwykłą eksploatację przedmiotu umowy.</w:t>
      </w:r>
    </w:p>
    <w:p>
      <w:pPr>
        <w:pStyle w:val="Akapitzlist"/>
        <w:numPr>
          <w:ilvl w:val="0"/>
          <w:numId w:val="31"/>
        </w:numPr>
        <w:spacing w:lineRule="auto" w:line="276"/>
        <w:ind w:hanging="426" w:left="426" w:right="0"/>
        <w:jc w:val="both"/>
        <w:rPr>
          <w:rFonts w:ascii="Cambria" w:hAnsi="Cambria" w:cs="Cambria"/>
          <w:lang w:val="en-US" w:eastAsia="en-US"/>
        </w:rPr>
      </w:pPr>
      <w:r>
        <w:rPr>
          <w:rFonts w:cs="Cambria" w:ascii="Cambria" w:hAnsi="Cambria"/>
          <w:color w:val="000000"/>
        </w:rPr>
        <w:t>Licencje są udzielane co najmniej na okres eksploatacji urządzeń, bez dodatkowych opłat poza wynagrodzeniem umownym, chyba że OPZ wyraźnie wskazuje licencję terminową lub subskrypcyjną. W okresie gwarancji Wykonawca zapewnia wszystkie aktualizacje i wsparcie wymagane w OPZ.</w:t>
      </w:r>
    </w:p>
    <w:p>
      <w:pPr>
        <w:pStyle w:val="Akapitzlist"/>
        <w:ind w:left="426" w:right="0"/>
        <w:jc w:val="both"/>
        <w:rPr>
          <w:rFonts w:ascii="Cambria" w:hAnsi="Cambria" w:cs="Cambria"/>
          <w:lang w:val="en-US" w:eastAsia="en-US"/>
        </w:rPr>
      </w:pPr>
      <w:r>
        <w:rPr>
          <w:rFonts w:cs="Cambria" w:ascii="Cambria" w:hAnsi="Cambria"/>
          <w:color w:val="000000"/>
          <w:lang w:val="en-US" w:eastAsia="en-US"/>
        </w:rPr>
        <w:t>W przypadku zgłoszenia przez osobę trzecią roszczeń dotyczących naruszenia praw własności intelektualnej Wykonawca, na własny koszt, zapewni Zamawiającemu prawo dalszego korzystania z rozwiązania, zastąpi je rozwiązaniem zgodnym i równoważnym albo pokryje uzasadnione szkody i koszty poniesione przez Zamawiającego.</w:t>
      </w:r>
    </w:p>
    <w:p>
      <w:pPr>
        <w:pStyle w:val="Normal"/>
        <w:autoSpaceDE w:val="false"/>
        <w:spacing w:before="0" w:after="0"/>
        <w:jc w:val="center"/>
        <w:rPr>
          <w:rFonts w:ascii="Cambria" w:hAnsi="Cambria" w:cs="Cambria"/>
        </w:rPr>
      </w:pPr>
      <w:r>
        <w:rPr>
          <w:rFonts w:cs="Cambria" w:ascii="Cambria" w:hAnsi="Cambria"/>
          <w:b/>
          <w:bCs/>
          <w:sz w:val="24"/>
          <w:szCs w:val="24"/>
        </w:rPr>
        <w:t>§ 13</w:t>
      </w:r>
    </w:p>
    <w:p>
      <w:pPr>
        <w:pStyle w:val="Normal"/>
        <w:autoSpaceDE w:val="false"/>
        <w:spacing w:before="0" w:after="0"/>
        <w:jc w:val="center"/>
        <w:rPr>
          <w:rFonts w:ascii="Cambria" w:hAnsi="Cambria" w:cs="Cambria"/>
          <w:b/>
          <w:bCs/>
          <w:sz w:val="24"/>
          <w:szCs w:val="24"/>
        </w:rPr>
      </w:pPr>
      <w:r>
        <w:rPr>
          <w:rFonts w:cs="Cambria" w:ascii="Cambria" w:hAnsi="Cambria"/>
          <w:b/>
          <w:bCs/>
          <w:sz w:val="24"/>
          <w:szCs w:val="24"/>
        </w:rPr>
        <w:t>Przechowywanie dokumentacji</w:t>
      </w:r>
    </w:p>
    <w:p>
      <w:pPr>
        <w:pStyle w:val="Normal"/>
        <w:numPr>
          <w:ilvl w:val="0"/>
          <w:numId w:val="7"/>
        </w:numPr>
        <w:autoSpaceDE w:val="false"/>
        <w:spacing w:before="0" w:after="0"/>
        <w:ind w:hanging="426" w:left="426" w:right="0"/>
        <w:contextualSpacing/>
        <w:jc w:val="both"/>
        <w:rPr>
          <w:rFonts w:ascii="Cambria" w:hAnsi="Cambria" w:cs="Cambria"/>
        </w:rPr>
      </w:pPr>
      <w:r>
        <w:rPr>
          <w:rFonts w:cs="Cambria" w:ascii="Cambria" w:hAnsi="Cambria"/>
          <w:sz w:val="24"/>
          <w:szCs w:val="24"/>
        </w:rPr>
        <w:t>Zamawiający zastrzega sobie prawo wglądu do dokumentów Wykonawcy bezpośrednio związanych z realizacją umowy, w zakresie niezbędnym do weryfikacji należytego wykonania świadczeń, rozliczeń, gwarancji, licencji, pochodzenia urządzeń i zgodności z ofertą.</w:t>
      </w:r>
    </w:p>
    <w:p>
      <w:pPr>
        <w:pStyle w:val="Jasnasiatkaakcent31"/>
        <w:numPr>
          <w:ilvl w:val="0"/>
          <w:numId w:val="7"/>
        </w:numPr>
        <w:autoSpaceDE w:val="false"/>
        <w:spacing w:before="0" w:after="0"/>
        <w:ind w:hanging="426" w:left="426" w:right="0"/>
        <w:contextualSpacing/>
        <w:jc w:val="both"/>
        <w:rPr>
          <w:rFonts w:ascii="Cambria" w:hAnsi="Cambria" w:cs="Cambria"/>
        </w:rPr>
      </w:pPr>
      <w:r>
        <w:rPr>
          <w:rFonts w:cs="Cambria" w:ascii="Cambria" w:hAnsi="Cambria"/>
          <w:color w:val="000000"/>
          <w:sz w:val="24"/>
          <w:szCs w:val="24"/>
        </w:rPr>
        <w:t>Wykonawca przechowuje dokumentację związaną z realizacją umowy co najmniej przez okres jej wykonywania oraz do upływu okresów gwarancji, rękojmi i przedawnienia roszczeń związanych z umową, chyba że bezwzględnie obowiązujące przepisy wymagają okresu dłuższego. Dokumentacja musi być zabezpieczona w sposób zapewniający jej dostępność, integralność i poufność.</w:t>
      </w:r>
    </w:p>
    <w:p>
      <w:pPr>
        <w:pStyle w:val="Normal"/>
        <w:numPr>
          <w:ilvl w:val="0"/>
          <w:numId w:val="7"/>
        </w:numPr>
        <w:autoSpaceDE w:val="false"/>
        <w:spacing w:before="0" w:after="0"/>
        <w:ind w:hanging="426" w:left="426" w:right="0"/>
        <w:contextualSpacing/>
        <w:jc w:val="both"/>
        <w:rPr>
          <w:rFonts w:ascii="Cambria" w:hAnsi="Cambria" w:cs="Cambria"/>
        </w:rPr>
      </w:pPr>
      <w:r>
        <w:rPr>
          <w:rFonts w:cs="Cambria" w:ascii="Cambria" w:hAnsi="Cambria"/>
          <w:sz w:val="24"/>
          <w:szCs w:val="24"/>
        </w:rPr>
        <w:t>W przypadku gdy przepisy prawa, kontrola, postępowanie sądowe, reklamacyjne, gwarancyjne lub audyt wymagają dłuższego przechowywania dokumentacji, Wykonawca zachowa ją przez okres wynikający z tych okoliczności, po otrzymaniu informacji od Zamawiającego lub gdy obowiązek wynika bezpośrednio z prawa.</w:t>
      </w:r>
    </w:p>
    <w:p>
      <w:pPr>
        <w:pStyle w:val="Normal"/>
        <w:numPr>
          <w:ilvl w:val="0"/>
          <w:numId w:val="7"/>
        </w:numPr>
        <w:autoSpaceDE w:val="false"/>
        <w:spacing w:before="0" w:after="0"/>
        <w:ind w:hanging="426" w:left="426" w:right="0"/>
        <w:contextualSpacing/>
        <w:jc w:val="both"/>
        <w:rPr>
          <w:rFonts w:ascii="Cambria" w:hAnsi="Cambria" w:cs="Cambria"/>
        </w:rPr>
      </w:pPr>
      <w:r>
        <w:rPr>
          <w:rFonts w:cs="Cambria" w:ascii="Cambria" w:hAnsi="Cambria"/>
          <w:sz w:val="24"/>
          <w:szCs w:val="24"/>
        </w:rPr>
        <w:t>Obowiązek przechowywania obejmuje w szczególności ofertę i dokumenty techniczne, korespondencję, dokumenty dostawy, protokoły, dokumenty gwarancyjne i serwisowe, licencje, konfiguracje, raporty z testów, dokumenty finansowe oraz dokumentację dotyczącą podwykonawców w zakresie związanym z umową.</w:t>
      </w:r>
    </w:p>
    <w:p>
      <w:pPr>
        <w:pStyle w:val="Normal"/>
        <w:numPr>
          <w:ilvl w:val="0"/>
          <w:numId w:val="7"/>
        </w:numPr>
        <w:autoSpaceDE w:val="false"/>
        <w:spacing w:before="0" w:after="0"/>
        <w:ind w:hanging="426" w:left="426" w:right="0"/>
        <w:contextualSpacing/>
        <w:jc w:val="both"/>
        <w:rPr>
          <w:rFonts w:ascii="Cambria" w:hAnsi="Cambria" w:cs="Cambria"/>
        </w:rPr>
      </w:pPr>
      <w:r>
        <w:rPr>
          <w:rFonts w:cs="Cambria" w:ascii="Cambria" w:hAnsi="Cambria"/>
          <w:sz w:val="24"/>
          <w:szCs w:val="24"/>
        </w:rPr>
        <w:t>Dokumentacja jest przechowywana w formie oryginałów, dokumentów elektronicznych albo kopii umożliwiających potwierdzenie ich zgodności i integralności, na powszechnie uznawanych nośnikach lub w systemach zapewniających jej odczyt przez wymagany okres.</w:t>
      </w:r>
    </w:p>
    <w:p>
      <w:pPr>
        <w:pStyle w:val="Normal"/>
        <w:numPr>
          <w:ilvl w:val="0"/>
          <w:numId w:val="7"/>
        </w:numPr>
        <w:autoSpaceDE w:val="false"/>
        <w:spacing w:before="0" w:after="0"/>
        <w:ind w:hanging="426" w:left="426" w:right="0"/>
        <w:contextualSpacing/>
        <w:jc w:val="both"/>
        <w:rPr>
          <w:rFonts w:ascii="Cambria" w:hAnsi="Cambria" w:cs="Cambria"/>
        </w:rPr>
      </w:pPr>
      <w:r>
        <w:rPr>
          <w:rFonts w:cs="Cambria" w:ascii="Cambria" w:hAnsi="Cambria"/>
          <w:sz w:val="24"/>
          <w:szCs w:val="24"/>
        </w:rPr>
        <w:t>W przypadku zmiany miejsca przechowywania dokumentów, zawieszenia, przekształcenia lub zaprzestania działalności Wykonawca poinformuje Zamawiającego o miejscu i sposobie dalszego przechowywania dokumentacji, z wyprzedzeniem pozwalającym na zabezpieczenie dostępu do niej.</w:t>
      </w:r>
    </w:p>
    <w:p>
      <w:pPr>
        <w:pStyle w:val="Normal"/>
        <w:spacing w:before="0" w:after="0"/>
        <w:jc w:val="center"/>
        <w:rPr>
          <w:rFonts w:ascii="Cambria" w:hAnsi="Cambria" w:cs="Cambria"/>
          <w:b/>
          <w:sz w:val="24"/>
          <w:szCs w:val="24"/>
          <w:lang w:eastAsia="pl-PL"/>
        </w:rPr>
      </w:pPr>
      <w:r>
        <w:rPr>
          <w:rFonts w:cs="Cambria" w:ascii="Cambria" w:hAnsi="Cambria"/>
          <w:b/>
          <w:sz w:val="24"/>
          <w:szCs w:val="24"/>
          <w:lang w:eastAsia="pl-PL"/>
        </w:rPr>
      </w:r>
    </w:p>
    <w:p>
      <w:pPr>
        <w:pStyle w:val="Normal"/>
        <w:keepNext/>
        <w:spacing w:before="0" w:after="0"/>
        <w:jc w:val="center"/>
        <w:rPr>
          <w:rFonts w:ascii="Cambria" w:hAnsi="Cambria" w:cs="Cambria"/>
        </w:rPr>
      </w:pPr>
      <w:bookmarkStart w:id="10" w:name="_Hlk162431517"/>
      <w:bookmarkEnd w:id="10"/>
      <w:r>
        <w:rPr>
          <w:rFonts w:cs="Cambria" w:ascii="Cambria" w:hAnsi="Cambria"/>
          <w:b/>
          <w:sz w:val="24"/>
          <w:szCs w:val="24"/>
          <w:lang w:eastAsia="pl-PL"/>
        </w:rPr>
        <w:t>§ 14</w:t>
      </w:r>
    </w:p>
    <w:p>
      <w:pPr>
        <w:pStyle w:val="Normal"/>
        <w:keepNext/>
        <w:spacing w:before="0" w:after="0"/>
        <w:jc w:val="center"/>
        <w:rPr>
          <w:rFonts w:ascii="Cambria" w:hAnsi="Cambria" w:eastAsia="Calibri" w:cs="Cambria"/>
          <w:b/>
          <w:sz w:val="24"/>
          <w:szCs w:val="24"/>
        </w:rPr>
      </w:pPr>
      <w:r>
        <w:rPr>
          <w:rFonts w:eastAsia="Calibri" w:cs="Cambria" w:ascii="Cambria" w:hAnsi="Cambria"/>
          <w:b/>
          <w:sz w:val="24"/>
          <w:szCs w:val="24"/>
        </w:rPr>
        <w:t xml:space="preserve">Ochrona danych osobowych </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1. Każda ze Stron jest odrębnym administratorem danych osobowych osób reprezentujących Strony, osób do kontaktu oraz innych osób, których dane są przetwarzane w związku z zawarciem i wykonywaniem umowy.</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2. Dane są przetwarzane w celu zawarcia i wykonania umowy, realizacji obowiązków prawnych, prowadzenia rozliczeń, ustalania i dochodzenia roszczeń oraz zapewnienia kontaktu roboczego, na podstawach właściwych dla każdej ze Stron wynikających z art. 6 RODO.</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3. Zakres danych może obejmować w szczególności imię i nazwisko, stanowisko lub funkcję, służbowe dane kontaktowe, dane reprezentacyjne oraz informacje niezbędne do realizacji i rozliczenia umowy.</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4. Każda ze Stron przetwarza dane zgodnie z RODO i przepisami krajowymi, stosuje odpowiednie środki techniczne i organizacyjne oraz zapewnia, aby do danych miały dostęp wyłącznie osoby upoważnione i zobowiązane do zachowania poufności.</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5. Każda ze Stron przekazuje osobom, których dane udostępnia drugiej Stronie, informacje wymagane na podstawie art. 13 lub art. 14 RODO, w tym informacje o udostępnieniu danych drugiej Stronie jako odrębnemu administratorowi.</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6. Dane mogą być udostępniane podmiotom uprawnionym na podstawie przepisów prawa oraz podmiotom świadczącym na rzecz danej Strony usługi prawne, księgowe, pocztowe, informatyczne, archiwizacyjne lub inne usługi niezbędne do wykonania umowy, z zachowaniem wymagań RODO.</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7. Dane będą przechowywane przez okres wykonywania umowy, a następnie przez czas wymagany przepisami o rachunkowości, archiwizacji i zamówieniach publicznych oraz do upływu okresu przedawnienia roszczeń.</w:t>
      </w:r>
    </w:p>
    <w:p>
      <w:pPr>
        <w:pStyle w:val="Normal"/>
        <w:spacing w:lineRule="auto" w:line="276" w:before="0" w:after="0"/>
        <w:ind w:left="425" w:right="0" w:hanging="425"/>
        <w:contextualSpacing/>
        <w:rPr>
          <w:rFonts w:ascii="Cambria" w:hAnsi="Cambria" w:cs="Cambria"/>
        </w:rPr>
      </w:pPr>
      <w:r>
        <w:rPr>
          <w:rFonts w:ascii="Cambria" w:hAnsi="Cambria"/>
          <w:color w:val="000000"/>
          <w:sz w:val="24"/>
        </w:rPr>
        <w:t>8. Osobom, których dane dotyczą, przysługują prawa określone w RODO, realizowane wobec Strony będącej administratorem danych, z uwzględnieniem ograniczeń wynikających z przepisów szczególnych.</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9. Niniejsza umowa nie stanowi umowy powierzenia przetwarzania danych osobowych w rozumieniu art. 28 RODO i nie uprawnia Wykonawcy do dostępu do danych osobowych przetwarzanych w systemach, urządzeniach lub materiałach Zamawiającego, poza danymi niezbędnymi do bieżących kontaktów i realizacji umowy.</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10. Jeżeli w toku realizacji okaże się, że Wykonawca ma przetwarzać dane osobowe w imieniu Zamawiającego, dostęp do takich danych może nastąpić dopiero po zawarciu odrębnej umowy powierzenia przetwarzania danych osobowych.</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11. Odrębna umowa powierzenia określi co najmniej przedmiot i czas przetwarzania, jego charakter i cel, rodzaj danych, kategorie osób, prawa i obowiązki administratora oraz wszystkie obowiązki podmiotu przetwarzającego wymagane w art. 28 ust. 3 RODO.</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12. Wykonawca nie może wykorzystywać danych osobowych uzyskanych w związku z realizacją umowy w innych celach ani udostępniać ich osobom nieuprawnionym.</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13. W przypadku stwierdzenia naruszenia ochrony danych osobowych dotyczącego danych otrzymanych od drugiej Strony, Strona, która stwierdziła naruszenie, niezwłocznie informuje drugą Stronę i przekazuje informacje niezbędne do oceny skutków zdarzenia.</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14. Strony współpracują w zakresie niezbędnym do realizacji obowiązków wynikających z RODO, w szczególności w razie żądania osoby, której dane dotyczą, kontroli organu nadzorczego lub naruszenia ochrony danych.</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15. Wykonawca nie uzyskuje dostępu do zawartości audycji, materiałów redakcyjnych, systemów produkcyjnych ani innych zasobów zawierających dane osobowe, chyba że jest to bezwzględnie niezbędne do wykonania konkretnej czynności i zostało uprzednio pisemnie uzgodnione z Zamawiającym.</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16. W razie dopuszczenia do zasobów, o których mowa w ust. 15, Wykonawca stosuje się do poleceń Zamawiającego, zasad bezpieczeństwa obowiązujących w jego siedzibie oraz wymagań dotyczących poufności i kontroli dostępu.</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17. Wykonawca odpowiada za działania osób, którymi posługuje się przy realizacji umowy, w zakresie ochrony danych osobowych i poufności jak za własne działania.</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18. Przekazywanie danych poza Europejski Obszar Gospodarczy jest dopuszczalne wyłącznie po spełnieniu wymagań rozdziału V RODO i uprzednim poinformowaniu drugiej Strony, jeżeli obowiązek informowania nie jest wyłączony przez prawo.</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19. Każda ze Stron udostępnia na żądanie drugiej Strony dane kontaktowe swojego inspektora ochrony danych albo osoby właściwej do spraw ochrony danych.</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20. Postanowienia niniejszego paragrafu nie ograniczają obowiązków zachowania poufności określonych w § 12.</w:t>
      </w:r>
    </w:p>
    <w:p>
      <w:pPr>
        <w:pStyle w:val="Normal"/>
        <w:tabs>
          <w:tab w:val="clear" w:pos="708"/>
          <w:tab w:val="left" w:pos="426" w:leader="none"/>
        </w:tabs>
        <w:spacing w:lineRule="auto" w:line="276" w:before="0" w:after="0"/>
        <w:ind w:left="425" w:right="0" w:hanging="425"/>
        <w:contextualSpacing/>
        <w:rPr>
          <w:rFonts w:ascii="Cambria" w:hAnsi="Cambria" w:cs="Cambria"/>
        </w:rPr>
      </w:pPr>
      <w:r>
        <w:rPr>
          <w:rFonts w:ascii="Cambria" w:hAnsi="Cambria"/>
          <w:color w:val="000000"/>
          <w:sz w:val="24"/>
        </w:rPr>
        <w:t>21. W sprawach nieuregulowanych stosuje się RODO, ustawę z dnia 10 maja 2018 r. o ochronie danych osobowych oraz inne właściwe przepisy.</w:t>
      </w:r>
    </w:p>
    <w:p>
      <w:pPr>
        <w:pStyle w:val="Normal"/>
        <w:tabs>
          <w:tab w:val="clear" w:pos="708"/>
          <w:tab w:val="left" w:pos="426" w:leader="none"/>
        </w:tabs>
        <w:spacing w:before="0" w:after="0"/>
        <w:ind w:left="425" w:right="0" w:hanging="425"/>
        <w:contextualSpacing/>
        <w:jc w:val="both"/>
        <w:rPr>
          <w:rFonts w:ascii="Cambria" w:hAnsi="Cambria" w:cs="Cambria"/>
        </w:rPr>
      </w:pPr>
      <w:r>
        <w:rPr>
          <w:rFonts w:ascii="Cambria" w:hAnsi="Cambria"/>
          <w:color w:val="000000"/>
          <w:sz w:val="24"/>
        </w:rPr>
        <w:t>22. Jeżeli realizacja praw osoby, której dane dotyczą, wymaga sprecyzowania żądania z uwagi na zakres dokumentacji zamówienia, Zamawiający może zwrócić się o wskazanie dodatkowych informacji, w szczególności nazwy lub daty postępowania albo umowy.</w:t>
      </w:r>
    </w:p>
    <w:p>
      <w:pPr>
        <w:pStyle w:val="Normal"/>
        <w:tabs>
          <w:tab w:val="clear" w:pos="708"/>
          <w:tab w:val="left" w:pos="426" w:leader="none"/>
        </w:tabs>
        <w:spacing w:before="0" w:after="0"/>
        <w:ind w:left="425" w:right="0" w:hanging="425"/>
        <w:contextualSpacing/>
        <w:jc w:val="both"/>
        <w:rPr>
          <w:rFonts w:ascii="Cambria" w:hAnsi="Cambria" w:cs="Cambria"/>
        </w:rPr>
      </w:pPr>
      <w:r>
        <w:rPr>
          <w:rFonts w:ascii="Cambria" w:hAnsi="Cambria"/>
          <w:color w:val="000000"/>
          <w:sz w:val="24"/>
        </w:rPr>
        <w:t>23. Skorzystanie z prawa do sprostowania lub uzupełnienia danych nie może prowadzić do zmiany wyniku postępowania o udzielenie zamówienia ani zmiany postanowień umowy w zakresie niezgodnym z ustawą Pzp oraz nie może naruszać integralności dokumentacji postępowania.</w:t>
      </w:r>
    </w:p>
    <w:p>
      <w:pPr>
        <w:pStyle w:val="Normal"/>
        <w:tabs>
          <w:tab w:val="clear" w:pos="708"/>
          <w:tab w:val="left" w:pos="426" w:leader="none"/>
        </w:tabs>
        <w:spacing w:before="0" w:after="0"/>
        <w:ind w:left="425" w:right="0" w:hanging="425"/>
        <w:contextualSpacing/>
        <w:jc w:val="both"/>
        <w:rPr>
          <w:rFonts w:ascii="Cambria" w:hAnsi="Cambria" w:cs="Cambria"/>
        </w:rPr>
      </w:pPr>
      <w:r>
        <w:rPr>
          <w:rFonts w:ascii="Cambria" w:hAnsi="Cambria"/>
          <w:color w:val="000000"/>
          <w:sz w:val="24"/>
        </w:rPr>
        <w:t>24. Każda ze Stron wykonuje wobec osób, których dane przetwarza jako administrator, własne obowiązki informacyjne i odpowiada za zgodność tego przetwarzania z prawem.</w:t>
      </w:r>
    </w:p>
    <w:p>
      <w:pPr>
        <w:pStyle w:val="Normal"/>
        <w:spacing w:before="0" w:after="0"/>
        <w:jc w:val="center"/>
        <w:rPr>
          <w:rFonts w:ascii="Cambria" w:hAnsi="Cambria" w:cs="Cambria"/>
          <w:b/>
          <w:sz w:val="24"/>
          <w:szCs w:val="24"/>
        </w:rPr>
      </w:pPr>
      <w:bookmarkStart w:id="11" w:name="_Hlk162431517"/>
      <w:bookmarkEnd w:id="11"/>
      <w:r>
        <w:rPr>
          <w:rFonts w:cs="Cambria" w:ascii="Cambria" w:hAnsi="Cambria"/>
          <w:b/>
          <w:sz w:val="24"/>
          <w:szCs w:val="24"/>
        </w:rPr>
        <w:t>§ 15</w:t>
      </w:r>
    </w:p>
    <w:p>
      <w:pPr>
        <w:pStyle w:val="Normal"/>
        <w:spacing w:before="0" w:after="0"/>
        <w:jc w:val="center"/>
        <w:rPr>
          <w:rFonts w:ascii="Cambria" w:hAnsi="Cambria" w:cs="Cambria"/>
          <w:b/>
          <w:sz w:val="24"/>
          <w:szCs w:val="24"/>
        </w:rPr>
      </w:pPr>
      <w:r>
        <w:rPr>
          <w:rFonts w:cs="Cambria" w:ascii="Cambria" w:hAnsi="Cambria"/>
          <w:b/>
          <w:sz w:val="24"/>
          <w:szCs w:val="24"/>
        </w:rPr>
        <w:t>Przedstawiciele stron</w:t>
      </w:r>
    </w:p>
    <w:p>
      <w:pPr>
        <w:pStyle w:val="Normal"/>
        <w:suppressAutoHyphens w:val="false"/>
        <w:autoSpaceDE w:val="false"/>
        <w:spacing w:before="0" w:after="0"/>
        <w:contextualSpacing/>
        <w:rPr/>
      </w:pPr>
      <w:r>
        <w:rPr>
          <w:rFonts w:cs="Cambria" w:ascii="Cambria" w:hAnsi="Cambria"/>
          <w:sz w:val="24"/>
          <w:szCs w:val="24"/>
        </w:rPr>
        <w:t>Osobą upoważnioną do kontaktów, w tym do wyznaczania dat odbioru oraz podpisywania protokołu odbioru, jest:</w:t>
      </w:r>
    </w:p>
    <w:p>
      <w:pPr>
        <w:pStyle w:val="Normal"/>
        <w:numPr>
          <w:ilvl w:val="0"/>
          <w:numId w:val="27"/>
        </w:numPr>
        <w:suppressAutoHyphens w:val="false"/>
        <w:autoSpaceDE w:val="false"/>
        <w:spacing w:before="0" w:after="0"/>
        <w:ind w:hanging="283" w:left="709" w:right="0"/>
        <w:contextualSpacing/>
        <w:jc w:val="both"/>
        <w:rPr>
          <w:rFonts w:ascii="Cambria" w:hAnsi="Cambria" w:cs="Cambria"/>
          <w:sz w:val="24"/>
          <w:szCs w:val="24"/>
        </w:rPr>
      </w:pPr>
      <w:r>
        <w:rPr>
          <w:rFonts w:cs="Cambria" w:ascii="Cambria" w:hAnsi="Cambria"/>
          <w:sz w:val="24"/>
          <w:szCs w:val="24"/>
        </w:rPr>
        <w:t>ze strony Zamawiającego:</w:t>
      </w:r>
    </w:p>
    <w:p>
      <w:pPr>
        <w:pStyle w:val="Normal"/>
        <w:numPr>
          <w:ilvl w:val="0"/>
          <w:numId w:val="30"/>
        </w:numPr>
        <w:suppressAutoHyphens w:val="false"/>
        <w:autoSpaceDE w:val="false"/>
        <w:spacing w:before="0" w:after="0"/>
        <w:ind w:hanging="360" w:left="993" w:right="0"/>
        <w:contextualSpacing/>
        <w:jc w:val="both"/>
        <w:rPr>
          <w:rFonts w:ascii="Cambria" w:hAnsi="Cambria" w:cs="Cambria"/>
          <w:sz w:val="24"/>
          <w:szCs w:val="24"/>
          <w:lang w:val="en-US"/>
        </w:rPr>
      </w:pPr>
      <w:r>
        <w:rPr>
          <w:rFonts w:cs="Cambria" w:ascii="Cambria" w:hAnsi="Cambria"/>
          <w:b/>
          <w:sz w:val="24"/>
          <w:szCs w:val="24"/>
          <w:lang w:val="en-US"/>
        </w:rPr>
        <w:t>……………………………… – ………………………………; nr tel.: ………………………; e-mail: ………………………;</w:t>
      </w:r>
    </w:p>
    <w:p>
      <w:pPr>
        <w:pStyle w:val="Normal"/>
        <w:numPr>
          <w:ilvl w:val="0"/>
          <w:numId w:val="27"/>
        </w:numPr>
        <w:suppressAutoHyphens w:val="false"/>
        <w:autoSpaceDE w:val="false"/>
        <w:spacing w:before="0" w:after="0"/>
        <w:ind w:hanging="283" w:left="709" w:right="0"/>
        <w:contextualSpacing/>
        <w:jc w:val="both"/>
        <w:rPr>
          <w:rFonts w:ascii="Cambria" w:hAnsi="Cambria" w:cs="Cambria"/>
          <w:sz w:val="24"/>
          <w:szCs w:val="24"/>
        </w:rPr>
      </w:pPr>
      <w:r>
        <w:rPr>
          <w:rFonts w:cs="Cambria" w:ascii="Cambria" w:hAnsi="Cambria"/>
          <w:sz w:val="24"/>
          <w:szCs w:val="24"/>
        </w:rPr>
        <w:t>ze strony Wykonawcy:</w:t>
      </w:r>
    </w:p>
    <w:p>
      <w:pPr>
        <w:pStyle w:val="Normal"/>
        <w:numPr>
          <w:ilvl w:val="0"/>
          <w:numId w:val="25"/>
        </w:numPr>
        <w:suppressAutoHyphens w:val="false"/>
        <w:autoSpaceDE w:val="false"/>
        <w:spacing w:before="0" w:after="0"/>
        <w:ind w:hanging="360" w:left="993" w:right="0"/>
        <w:contextualSpacing/>
        <w:jc w:val="both"/>
        <w:rPr>
          <w:rFonts w:ascii="Cambria" w:hAnsi="Cambria" w:cs="Cambria"/>
          <w:sz w:val="24"/>
          <w:szCs w:val="24"/>
        </w:rPr>
      </w:pPr>
      <w:r>
        <w:rPr>
          <w:rFonts w:eastAsia="Cambria" w:cs="Cambria" w:ascii="Cambria" w:hAnsi="Cambria"/>
          <w:sz w:val="24"/>
          <w:szCs w:val="24"/>
        </w:rPr>
        <w:t xml:space="preserve"> </w:t>
      </w:r>
      <w:r>
        <w:rPr>
          <w:rFonts w:cs="Cambria" w:ascii="Cambria" w:hAnsi="Cambria"/>
          <w:b/>
          <w:sz w:val="24"/>
          <w:szCs w:val="24"/>
        </w:rPr>
        <w:t>……………</w:t>
      </w:r>
      <w:r>
        <w:rPr>
          <w:rFonts w:cs="Cambria" w:ascii="Cambria" w:hAnsi="Cambria"/>
          <w:b/>
          <w:sz w:val="24"/>
          <w:szCs w:val="24"/>
        </w:rPr>
        <w:t>..</w:t>
      </w:r>
      <w:r>
        <w:rPr>
          <w:rFonts w:cs="Cambria" w:ascii="Cambria" w:hAnsi="Cambria"/>
          <w:sz w:val="24"/>
          <w:szCs w:val="24"/>
        </w:rPr>
        <w:t xml:space="preserve">; nr tel.: </w:t>
      </w:r>
      <w:r>
        <w:rPr>
          <w:rFonts w:cs="Cambria" w:ascii="Cambria" w:hAnsi="Cambria"/>
          <w:b/>
          <w:sz w:val="24"/>
          <w:szCs w:val="24"/>
        </w:rPr>
        <w:t xml:space="preserve">…………….., </w:t>
      </w:r>
      <w:r>
        <w:rPr>
          <w:rFonts w:cs="Cambria" w:ascii="Cambria" w:hAnsi="Cambria"/>
          <w:sz w:val="24"/>
          <w:szCs w:val="24"/>
        </w:rPr>
        <w:t>e-mail: ………….;</w:t>
      </w:r>
    </w:p>
    <w:p>
      <w:pPr>
        <w:pStyle w:val="Normal"/>
        <w:spacing w:before="0" w:after="0"/>
        <w:jc w:val="center"/>
        <w:rPr>
          <w:rFonts w:ascii="Cambria" w:hAnsi="Cambria" w:cs="Cambria"/>
          <w:b/>
          <w:sz w:val="24"/>
          <w:szCs w:val="24"/>
          <w:lang w:eastAsia="pl-PL"/>
        </w:rPr>
      </w:pPr>
      <w:r>
        <w:rPr>
          <w:rFonts w:cs="Cambria" w:ascii="Cambria" w:hAnsi="Cambria"/>
          <w:b/>
          <w:sz w:val="24"/>
          <w:szCs w:val="24"/>
          <w:lang w:eastAsia="pl-PL"/>
        </w:rPr>
      </w:r>
    </w:p>
    <w:p>
      <w:pPr>
        <w:pStyle w:val="Normal"/>
        <w:spacing w:before="0" w:after="0"/>
        <w:jc w:val="center"/>
        <w:rPr>
          <w:rFonts w:ascii="Cambria" w:hAnsi="Cambria" w:cs="Cambria"/>
        </w:rPr>
      </w:pPr>
      <w:r>
        <w:rPr>
          <w:rFonts w:cs="Cambria" w:ascii="Cambria" w:hAnsi="Cambria"/>
          <w:b/>
          <w:sz w:val="24"/>
          <w:szCs w:val="24"/>
          <w:lang w:eastAsia="pl-PL"/>
        </w:rPr>
        <w:t>§ 16</w:t>
      </w:r>
    </w:p>
    <w:p>
      <w:pPr>
        <w:pStyle w:val="Normal"/>
        <w:spacing w:before="0" w:after="0"/>
        <w:jc w:val="center"/>
        <w:rPr>
          <w:rFonts w:ascii="Cambria" w:hAnsi="Cambria" w:cs="Cambria"/>
          <w:b/>
          <w:sz w:val="24"/>
          <w:szCs w:val="24"/>
          <w:lang w:eastAsia="pl-PL"/>
        </w:rPr>
      </w:pPr>
      <w:r>
        <w:rPr>
          <w:rFonts w:cs="Cambria" w:ascii="Cambria" w:hAnsi="Cambria"/>
          <w:b/>
          <w:sz w:val="24"/>
          <w:szCs w:val="24"/>
          <w:lang w:eastAsia="pl-PL"/>
        </w:rPr>
        <w:t>Postanowienia końcowe</w:t>
      </w:r>
    </w:p>
    <w:p>
      <w:pPr>
        <w:pStyle w:val="Normal"/>
        <w:numPr>
          <w:ilvl w:val="0"/>
          <w:numId w:val="6"/>
        </w:numPr>
        <w:spacing w:before="0" w:after="0"/>
        <w:ind w:hanging="426" w:left="426" w:right="0"/>
        <w:jc w:val="both"/>
        <w:rPr>
          <w:rFonts w:ascii="Cambria" w:hAnsi="Cambria" w:cs="Cambria"/>
        </w:rPr>
      </w:pPr>
      <w:r>
        <w:rPr>
          <w:rFonts w:cs="Cambria" w:ascii="Cambria" w:hAnsi="Cambria"/>
          <w:sz w:val="24"/>
          <w:szCs w:val="24"/>
          <w:lang w:eastAsia="pl-PL"/>
        </w:rPr>
        <w:t>Wszelkie zmiany i uzupełnienia niniejszej umowy wymagają formy pisemnej pod rygorem nieważności.</w:t>
      </w:r>
    </w:p>
    <w:p>
      <w:pPr>
        <w:pStyle w:val="Normal"/>
        <w:numPr>
          <w:ilvl w:val="0"/>
          <w:numId w:val="6"/>
        </w:numPr>
        <w:spacing w:before="0" w:after="0"/>
        <w:ind w:hanging="426" w:left="426" w:right="0"/>
        <w:jc w:val="both"/>
        <w:rPr>
          <w:rFonts w:ascii="Cambria" w:hAnsi="Cambria" w:cs="Cambria"/>
          <w:sz w:val="24"/>
          <w:szCs w:val="24"/>
          <w:lang w:eastAsia="pl-PL"/>
        </w:rPr>
      </w:pPr>
      <w:r>
        <w:rPr>
          <w:rFonts w:cs="Cambria" w:ascii="Cambria" w:hAnsi="Cambria"/>
          <w:color w:val="000000"/>
          <w:sz w:val="24"/>
          <w:szCs w:val="24"/>
          <w:lang w:eastAsia="pl-PL"/>
        </w:rPr>
        <w:t>Korespondencja robocza pomiędzy Stronami może być przekazywana na adresy poczty elektronicznej wskazane w § 15. Oświadczenia, dla których umowa lub przepisy zastrzegają formę szczególną, wymagają zachowania tej formy.</w:t>
      </w:r>
    </w:p>
    <w:p>
      <w:pPr>
        <w:pStyle w:val="Normal"/>
        <w:numPr>
          <w:ilvl w:val="0"/>
          <w:numId w:val="6"/>
        </w:numPr>
        <w:spacing w:before="0" w:after="0"/>
        <w:ind w:hanging="426" w:left="426" w:right="0"/>
        <w:jc w:val="both"/>
        <w:rPr>
          <w:rFonts w:ascii="Cambria" w:hAnsi="Cambria" w:cs="Cambria"/>
        </w:rPr>
      </w:pPr>
      <w:r>
        <w:rPr>
          <w:rFonts w:cs="Cambria" w:ascii="Cambria" w:hAnsi="Cambria"/>
          <w:sz w:val="24"/>
          <w:szCs w:val="24"/>
          <w:lang w:eastAsia="pl-PL"/>
        </w:rPr>
        <w:t>W trakcie realizacji przedmiotu umowy Wykonawca jest zobowiązany przestrzegać powszechnie obowiązujących przepisów prawa dotyczących p.poż. oraz bhp. Wykonawca ponosi odpowiedzialność wobec Zamawiającego i osób trzecich za szkody powstałe w trakcie realizacji przedmiotu umowy, a będące następstwem nieprzestrzegania ww. przepisów.</w:t>
      </w:r>
    </w:p>
    <w:p>
      <w:pPr>
        <w:pStyle w:val="Normal"/>
        <w:numPr>
          <w:ilvl w:val="0"/>
          <w:numId w:val="6"/>
        </w:numPr>
        <w:spacing w:before="0" w:after="0"/>
        <w:ind w:hanging="426" w:left="426" w:right="0"/>
        <w:jc w:val="both"/>
        <w:rPr>
          <w:rFonts w:ascii="Cambria" w:hAnsi="Cambria" w:cs="Cambria"/>
        </w:rPr>
      </w:pPr>
      <w:bookmarkStart w:id="12" w:name="_Hlk136930414"/>
      <w:r>
        <w:rPr>
          <w:rFonts w:cs="Cambria" w:ascii="Cambria" w:hAnsi="Cambria"/>
          <w:sz w:val="24"/>
          <w:szCs w:val="24"/>
          <w:lang w:eastAsia="pl-PL"/>
        </w:rPr>
        <w:t xml:space="preserve">Wszelkie spory wynikające z niniejszej umowy lub powstające w związku z umową będą rozstrzygane przez sąd powszechny właściwy rzeczowo i miejscowo dla </w:t>
      </w:r>
      <w:bookmarkEnd w:id="12"/>
      <w:r>
        <w:rPr>
          <w:rFonts w:cs="Cambria" w:ascii="Cambria" w:hAnsi="Cambria"/>
          <w:sz w:val="24"/>
          <w:szCs w:val="24"/>
          <w:lang w:eastAsia="pl-PL"/>
        </w:rPr>
        <w:t>Zamawiającego.</w:t>
      </w:r>
    </w:p>
    <w:p>
      <w:pPr>
        <w:pStyle w:val="Normal"/>
        <w:numPr>
          <w:ilvl w:val="0"/>
          <w:numId w:val="6"/>
        </w:numPr>
        <w:spacing w:before="0" w:after="0"/>
        <w:ind w:hanging="426" w:left="426" w:right="0"/>
        <w:jc w:val="both"/>
        <w:rPr>
          <w:rFonts w:ascii="Cambria" w:hAnsi="Cambria" w:cs="Cambria"/>
        </w:rPr>
      </w:pPr>
      <w:r>
        <w:rPr>
          <w:rFonts w:cs="Cambria" w:ascii="Cambria" w:hAnsi="Cambria"/>
          <w:sz w:val="24"/>
          <w:szCs w:val="24"/>
          <w:lang w:eastAsia="pl-PL"/>
        </w:rPr>
        <w:t>W sprawach nieuregulowanych niniejszą umową mają zastosowanie przepisy obowiązującego prawa, w szczególności ustawy z dnia 11 września 2019 r. – Prawo zamówień publicznych (t.j. Dz. U. z 2026 r. poz. 793 z późn. zm.), ustawy z dnia 23 kwietnia 1964 r. – Kodeks cywilny (t.j. Dz. U. z 2026 r. poz. 795), rozporządzenia Parlamentu Europejskiego i Rady (UE) 2016/679 oraz innych właściwych przepisów.</w:t>
      </w:r>
    </w:p>
    <w:p>
      <w:pPr>
        <w:pStyle w:val="Normal"/>
        <w:numPr>
          <w:ilvl w:val="0"/>
          <w:numId w:val="6"/>
        </w:numPr>
        <w:spacing w:before="0" w:after="0"/>
        <w:ind w:hanging="426" w:left="426" w:right="0"/>
        <w:jc w:val="both"/>
        <w:rPr>
          <w:rFonts w:ascii="Cambria" w:hAnsi="Cambria" w:cs="Cambria"/>
        </w:rPr>
      </w:pPr>
      <w:r>
        <w:rPr>
          <w:rFonts w:cs="Cambria" w:ascii="Cambria" w:hAnsi="Cambria"/>
          <w:sz w:val="24"/>
          <w:szCs w:val="24"/>
          <w:lang w:eastAsia="pl-PL"/>
        </w:rPr>
        <w:t>Umowa została sporządzona w trzech jednobrzmiących egzemplarzach, dwa dla Zamawiającego, jeden dla Wykonawcy.</w:t>
      </w:r>
    </w:p>
    <w:p>
      <w:pPr>
        <w:pStyle w:val="Normal"/>
        <w:numPr>
          <w:ilvl w:val="0"/>
          <w:numId w:val="6"/>
        </w:numPr>
        <w:spacing w:before="0" w:after="0"/>
        <w:ind w:hanging="426" w:left="426" w:right="0"/>
        <w:jc w:val="both"/>
        <w:rPr>
          <w:rFonts w:ascii="Cambria" w:hAnsi="Cambria" w:cs="Cambria"/>
        </w:rPr>
      </w:pPr>
      <w:r>
        <w:rPr>
          <w:rFonts w:cs="Cambria" w:ascii="Cambria" w:hAnsi="Cambria"/>
          <w:sz w:val="24"/>
          <w:szCs w:val="24"/>
          <w:lang w:eastAsia="pl-PL"/>
        </w:rPr>
        <w:t>Integralną część niniejszej umowy stanowią załączniki:</w:t>
      </w:r>
    </w:p>
    <w:p>
      <w:pPr>
        <w:pStyle w:val="Normal"/>
        <w:numPr>
          <w:ilvl w:val="1"/>
          <w:numId w:val="20"/>
        </w:numPr>
        <w:tabs>
          <w:tab w:val="clear" w:pos="708"/>
        </w:tabs>
        <w:spacing w:before="0" w:after="0"/>
        <w:ind w:hanging="425" w:left="709" w:right="0"/>
        <w:jc w:val="both"/>
        <w:rPr>
          <w:rFonts w:ascii="Cambria" w:hAnsi="Cambria" w:cs="Cambria"/>
          <w:sz w:val="24"/>
          <w:szCs w:val="24"/>
        </w:rPr>
      </w:pPr>
      <w:r>
        <w:rPr>
          <w:rFonts w:cs="Cambria" w:ascii="Cambria" w:hAnsi="Cambria"/>
          <w:sz w:val="24"/>
          <w:szCs w:val="24"/>
        </w:rPr>
        <w:t>Opis przedmiotu zamówienia (OPZ) – Załącznik nr 1.</w:t>
      </w:r>
    </w:p>
    <w:p>
      <w:pPr>
        <w:pStyle w:val="Normal"/>
        <w:numPr>
          <w:ilvl w:val="1"/>
          <w:numId w:val="20"/>
        </w:numPr>
        <w:tabs>
          <w:tab w:val="clear" w:pos="708"/>
        </w:tabs>
        <w:spacing w:before="0" w:after="0"/>
        <w:ind w:hanging="425" w:left="709" w:right="0"/>
        <w:jc w:val="both"/>
        <w:rPr>
          <w:rFonts w:ascii="Cambria" w:hAnsi="Cambria" w:cs="Cambria"/>
          <w:sz w:val="24"/>
          <w:szCs w:val="24"/>
        </w:rPr>
      </w:pPr>
      <w:r>
        <w:rPr>
          <w:rFonts w:ascii="Times New Roman" w:hAnsi="Times New Roman" w:cs="Times New Roman"/>
          <w:sz w:val="22"/>
        </w:rPr>
        <w:t>Oferta Wykonawcy wraz z Formularzem asortymentowo-cenowym, Tabelą zgodności z OPZ, schematem blokowym i dokumentacją techniczną oferowanego rozwiązania – Załącznik nr 2.</w:t>
      </w:r>
    </w:p>
    <w:p>
      <w:pPr>
        <w:pStyle w:val="Normal"/>
        <w:numPr>
          <w:ilvl w:val="1"/>
          <w:numId w:val="20"/>
        </w:numPr>
        <w:tabs>
          <w:tab w:val="clear" w:pos="708"/>
        </w:tabs>
        <w:spacing w:before="0" w:after="0"/>
        <w:ind w:hanging="425" w:left="709" w:right="0"/>
        <w:jc w:val="both"/>
        <w:rPr>
          <w:rFonts w:ascii="Cambria" w:hAnsi="Cambria" w:cs="Cambria"/>
          <w:sz w:val="24"/>
          <w:szCs w:val="24"/>
        </w:rPr>
      </w:pPr>
      <w:r>
        <w:rPr>
          <w:rFonts w:cs="Cambria" w:ascii="Cambria" w:hAnsi="Cambria"/>
          <w:sz w:val="24"/>
          <w:szCs w:val="24"/>
        </w:rPr>
        <w:t>Specyfikacja Warunków Zamówienia wraz z wyjaśnieniami i zmianami – Załącznik nr 3.</w:t>
      </w:r>
    </w:p>
    <w:p>
      <w:pPr>
        <w:pStyle w:val="BodyTextIndent"/>
        <w:tabs>
          <w:tab w:val="clear" w:pos="708"/>
          <w:tab w:val="left" w:pos="426" w:leader="none"/>
        </w:tabs>
        <w:spacing w:before="0" w:after="0"/>
        <w:ind w:hanging="425" w:left="709" w:right="0"/>
        <w:jc w:val="both"/>
        <w:rPr/>
        <w:numPr>
          <w:ilvl w:val="1"/>
          <w:numId w:val="20"/>
        </w:numPr>
      </w:pPr>
      <w:r>
        <w:rPr>
          <w:rFonts w:cs="Cambria" w:ascii="Cambria" w:hAnsi="Cambria"/>
          <w:sz w:val="24"/>
          <w:szCs w:val="24"/>
        </w:rPr>
        <w:t>Wydruk z Centralnej Ewidencji i Informacji o Działalności Gospodarczej albo z Centralnej Informacji Krajowego Rejestru Sądowego – jeżeli ma zastosowanie – Załącznik nr 4.</w:t>
      </w:r>
    </w:p>
    <w:p>
      <w:pPr>
        <w:pStyle w:val="BodyTextIndent"/>
        <w:numPr>
          <w:ilvl w:val="1"/>
          <w:numId w:val="20"/>
        </w:numPr>
        <w:tabs>
          <w:tab w:val="clear" w:pos="708"/>
          <w:tab w:val="left" w:pos="426" w:leader="none"/>
        </w:tabs>
        <w:spacing w:before="0" w:after="0"/>
        <w:ind w:hanging="425" w:left="709" w:right="0"/>
        <w:jc w:val="both"/>
        <w:rPr>
          <w:rFonts w:ascii="Cambria" w:hAnsi="Cambria" w:cs="Cambria"/>
          <w:sz w:val="24"/>
          <w:szCs w:val="24"/>
        </w:rPr>
      </w:pPr>
      <w:r>
        <w:rPr>
          <w:rFonts w:cs="Cambria" w:ascii="Cambria" w:hAnsi="Cambria"/>
          <w:sz w:val="24"/>
          <w:szCs w:val="24"/>
        </w:rPr>
        <w:t>Pełnomocnictwo do reprezentacji – jeżeli ma zastosowanie – Załącznik nr 5.</w:t>
      </w:r>
    </w:p>
    <w:p>
      <w:pPr>
        <w:pStyle w:val="Normal"/>
        <w:widowControl w:val="false"/>
        <w:suppressAutoHyphens w:val="false"/>
        <w:autoSpaceDE w:val="false"/>
        <w:rPr>
          <w:rFonts w:ascii="Cambria" w:hAnsi="Cambria" w:cs="†¯øw≥¸;Times New Roman"/>
          <w:sz w:val="24"/>
          <w:szCs w:val="24"/>
        </w:rPr>
      </w:pPr>
      <w:r>
        <w:rPr>
          <w:rFonts w:cs="†¯øw≥¸;Times New Roman" w:ascii="Cambria" w:hAnsi="Cambria"/>
          <w:sz w:val="24"/>
          <w:szCs w:val="24"/>
        </w:rPr>
      </w:r>
    </w:p>
    <w:tbl>
      <w:tblPr>
        <w:tblW w:w="8374" w:type="dxa"/>
        <w:jc w:val="center"/>
        <w:tblInd w:w="0" w:type="dxa"/>
        <w:tblLayout w:type="fixed"/>
        <w:tblCellMar>
          <w:top w:w="0" w:type="dxa"/>
          <w:left w:w="108" w:type="dxa"/>
          <w:bottom w:w="0" w:type="dxa"/>
          <w:right w:w="108" w:type="dxa"/>
        </w:tblCellMar>
      </w:tblPr>
      <w:tblGrid>
        <w:gridCol w:w="3960"/>
        <w:gridCol w:w="1009"/>
        <w:gridCol w:w="3405"/>
      </w:tblGrid>
      <w:tr>
        <w:trPr>
          <w:trHeight w:val="372" w:hRule="atLeast"/>
        </w:trPr>
        <w:tc>
          <w:tcPr>
            <w:tcW w:w="3960" w:type="dxa"/>
            <w:tcBorders/>
          </w:tcPr>
          <w:p>
            <w:pPr>
              <w:pStyle w:val="Normal"/>
              <w:spacing w:before="0" w:after="0"/>
              <w:jc w:val="center"/>
              <w:rPr>
                <w:rFonts w:ascii="Cambria" w:hAnsi="Cambria" w:cs="Cambria"/>
                <w:i/>
                <w:i/>
                <w:sz w:val="24"/>
                <w:szCs w:val="24"/>
              </w:rPr>
            </w:pPr>
            <w:r>
              <w:rPr>
                <w:rFonts w:cs="Cambria" w:ascii="Cambria" w:hAnsi="Cambria"/>
                <w:b/>
                <w:sz w:val="24"/>
                <w:szCs w:val="24"/>
              </w:rPr>
              <w:t>W imieniu Zamawiającego:</w:t>
            </w:r>
          </w:p>
        </w:tc>
        <w:tc>
          <w:tcPr>
            <w:tcW w:w="1009" w:type="dxa"/>
            <w:tcBorders/>
          </w:tcPr>
          <w:p>
            <w:pPr>
              <w:pStyle w:val="Normal"/>
              <w:snapToGrid w:val="false"/>
              <w:spacing w:before="0" w:after="0"/>
              <w:jc w:val="center"/>
              <w:rPr>
                <w:rFonts w:ascii="Cambria" w:hAnsi="Cambria" w:cs="Cambria"/>
                <w:i/>
                <w:i/>
                <w:sz w:val="24"/>
                <w:szCs w:val="24"/>
              </w:rPr>
            </w:pPr>
            <w:r>
              <w:rPr>
                <w:rFonts w:cs="Cambria" w:ascii="Cambria" w:hAnsi="Cambria"/>
                <w:i/>
                <w:sz w:val="24"/>
                <w:szCs w:val="24"/>
              </w:rPr>
            </w:r>
          </w:p>
        </w:tc>
        <w:tc>
          <w:tcPr>
            <w:tcW w:w="3405" w:type="dxa"/>
            <w:tcBorders/>
          </w:tcPr>
          <w:p>
            <w:pPr>
              <w:pStyle w:val="Normal"/>
              <w:spacing w:before="0" w:after="0"/>
              <w:jc w:val="center"/>
              <w:rPr>
                <w:rFonts w:ascii="Cambria" w:hAnsi="Cambria" w:cs="Cambria"/>
                <w:i/>
                <w:i/>
                <w:sz w:val="24"/>
                <w:szCs w:val="24"/>
              </w:rPr>
            </w:pPr>
            <w:r>
              <w:rPr>
                <w:rFonts w:cs="Cambria" w:ascii="Cambria" w:hAnsi="Cambria"/>
                <w:b/>
                <w:sz w:val="24"/>
                <w:szCs w:val="24"/>
              </w:rPr>
              <w:t>W imieniu Wykonawcy:</w:t>
            </w:r>
          </w:p>
        </w:tc>
      </w:tr>
    </w:tbl>
    <w:p>
      <w:pPr>
        <w:pStyle w:val="Normal"/>
        <w:spacing w:before="0" w:after="200"/>
        <w:rPr>
          <w:rFonts w:ascii="Cambria" w:hAnsi="Cambria" w:cs="Cambria"/>
        </w:rPr>
      </w:pPr>
      <w:r>
        <w:rPr>
          <w:rFonts w:cs="Cambria" w:ascii="Cambria" w:hAnsi="Cambria"/>
        </w:rPr>
      </w:r>
    </w:p>
    <w:sectPr>
      <w:headerReference w:type="default" r:id="rId3"/>
      <w:footerReference w:type="default" r:id="rId4"/>
      <w:headerReference w:type="first" r:id="rId10"/>
      <w:footerReference w:type="first" r:id="rId11"/>
      <w:headerReference w:type="even" r:id="rId12"/>
      <w:footerReference w:type="even" r:id="rId13"/>
      <w:footnotePr>
        <w:numFmt w:val="decimal"/>
      </w:footnotePr>
      <w:type w:val="nextPage"/>
      <w:pgSz w:w="11906" w:h="16838"/>
      <w:pgMar w:left="1418" w:right="1418" w:gutter="0" w:header="242" w:top="1418" w:footer="1224" w:bottom="12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ee"/>
    <w:family w:val="swiss"/>
    <w:pitch w:val="variable"/>
  </w:font>
  <w:font w:name="Cambria">
    <w:charset w:val="ee"/>
    <w:family w:val="roman"/>
    <w:pitch w:val="variable"/>
  </w:font>
  <w:font w:name="Courier New">
    <w:charset w:val="ee"/>
    <w:family w:val="modern"/>
    <w:pitch w:val="default"/>
  </w:font>
  <w:font w:name="Wingdings">
    <w:charset w:val="02"/>
    <w:family w:val="auto"/>
    <w:pitch w:val="variable"/>
  </w:font>
  <w:font w:name="Times">
    <w:altName w:val="Times New Roman"/>
    <w:charset w:val="ee"/>
    <w:family w:val="roman"/>
    <w:pitch w:val="variable"/>
  </w:font>
  <w:font w:name="Tahoma">
    <w:charset w:val="ee"/>
    <w:family w:val="swiss"/>
    <w:pitch w:val="variable"/>
  </w:font>
  <w:font w:name="Liberation Sans">
    <w:altName w:val="Arial"/>
    <w:charset w:val="00"/>
    <w:family w:val="swiss"/>
    <w:pitch w:val="variable"/>
  </w:font>
  <w:font w:name="Helvetica">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Fonts w:cs="Cambria" w:ascii="Cambria" w:hAnsi="Cambria"/>
        <w:sz w:val="20"/>
        <w:bdr w:val="single" w:sz="4" w:space="0" w:color="000000"/>
      </w:rPr>
      <w:tab/>
      <w:t>Załącznik Nr 2 do SWZ – Projekt umowy</w:t>
      <w:tab/>
      <w:t xml:space="preserve">Strona </w:t>
    </w:r>
    <w:r>
      <w:rPr>
        <w:rFonts w:cs="Cambria" w:ascii="Cambria" w:hAnsi="Cambria"/>
        <w:sz w:val="20"/>
        <w:bdr w:val="single" w:sz="4" w:space="0" w:color="000000"/>
      </w:rPr>
      <w:fldChar w:fldCharType="begin"/>
    </w:r>
    <w:r>
      <w:rPr>
        <w:rFonts w:cs="Cambria" w:ascii="Cambria" w:hAnsi="Cambria"/>
        <w:sz w:val="20"/>
        <w:bdr w:val="single" w:sz="4" w:space="0" w:color="000000"/>
      </w:rPr>
      <w:instrText xml:space="preserve"> PAGE </w:instrText>
    </w:r>
    <w:r>
      <w:rPr>
        <w:rFonts w:cs="Cambria" w:ascii="Cambria" w:hAnsi="Cambria"/>
        <w:sz w:val="20"/>
        <w:bdr w:val="single" w:sz="4" w:space="0" w:color="000000"/>
      </w:rPr>
      <w:t>1</w:t>
    </w:r>
    <w:r>
      <w:rPr>
        <w:rFonts w:cs="Cambria" w:ascii="Cambria" w:hAnsi="Cambria"/>
        <w:sz w:val="20"/>
        <w:bdr w:val="single" w:sz="4" w:space="0" w:color="000000"/>
      </w:rPr>
      <w:fldChar w:fldCharType="end"/>
    </w:r>
    <w:r>
      <w:rPr>
        <w:rFonts w:cs="Cambria" w:ascii="Cambria" w:hAnsi="Cambria"/>
        <w:sz w:val="20"/>
        <w:bdr w:val="single" w:sz="4" w:space="0" w:color="000000"/>
      </w:rPr>
      <w:t xml:space="preserve"> z </w:t>
    </w:r>
    <w:r>
      <w:rPr>
        <w:rFonts w:cs="Cambria" w:ascii="Cambria" w:hAnsi="Cambria"/>
        <w:sz w:val="20"/>
        <w:bdr w:val="single" w:sz="4" w:space="0" w:color="000000"/>
      </w:rPr>
      <w:fldChar w:fldCharType="begin"/>
    </w:r>
    <w:r>
      <w:rPr>
        <w:rFonts w:cs="Cambria" w:ascii="Cambria" w:hAnsi="Cambria"/>
        <w:sz w:val="20"/>
        <w:bdr w:val="single" w:sz="4" w:space="0" w:color="000000"/>
      </w:rPr>
      <w:instrText xml:space="preserve"> NUMPAGES </w:instrText>
    </w:r>
    <w:r>
      <w:rPr>
        <w:rFonts w:cs="Cambria" w:ascii="Cambria" w:hAnsi="Cambria"/>
        <w:sz w:val="20"/>
        <w:bdr w:val="single" w:sz="4" w:space="0" w:color="000000"/>
      </w:rPr>
      <w:t>1</w:t>
    </w:r>
    <w:r>
      <w:rPr>
        <w:rFonts w:cs="Cambria" w:ascii="Cambria" w:hAnsi="Cambria"/>
        <w:sz w:val="20"/>
        <w:bdr w:val="single" w:sz="4" w:space="0" w:color="000000"/>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rFonts w:cs="Cambria" w:ascii="Cambria" w:hAnsi="Cambria"/>
          <w:sz w:val="18"/>
          <w:szCs w:val="18"/>
        </w:rPr>
        <w:t xml:space="preserve"> </w:t>
      </w:r>
      <w:r>
        <w:rPr>
          <w:rFonts w:cs="Cambria" w:ascii="Cambria" w:hAnsi="Cambria"/>
          <w:sz w:val="18"/>
          <w:szCs w:val="18"/>
        </w:rPr>
        <w:t>Jeżeli przy zawarciu umowy działa osoba/-y pełniąca/-e funkcję organu (członka organu) lub prokurent spółki.</w:t>
      </w:r>
    </w:p>
  </w:footnote>
  <w:footnote w:id="3">
    <w:p>
      <w:pPr>
        <w:pStyle w:val="FootnoteText"/>
        <w:rPr/>
      </w:pPr>
      <w:r>
        <w:rPr>
          <w:rStyle w:val="FootnoteCharacters"/>
        </w:rPr>
        <w:footnoteRef/>
      </w:r>
      <w:r>
        <w:rPr>
          <w:rFonts w:cs="Cambria" w:ascii="Cambria" w:hAnsi="Cambria"/>
          <w:sz w:val="18"/>
          <w:szCs w:val="18"/>
        </w:rPr>
        <w:t xml:space="preserve"> </w:t>
      </w:r>
      <w:r>
        <w:rPr>
          <w:rFonts w:cs="Cambria" w:ascii="Cambria" w:hAnsi="Cambria"/>
          <w:sz w:val="18"/>
          <w:szCs w:val="18"/>
        </w:rPr>
        <w:t>Jeżeli przy zawarciu umowy działa pełnomocnik spółki.</w:t>
      </w:r>
    </w:p>
  </w:footnote>
  <w:footnote w:id="4">
    <w:p>
      <w:pPr>
        <w:pStyle w:val="FootnoteText"/>
        <w:rPr/>
      </w:pPr>
      <w:r>
        <w:rPr>
          <w:rStyle w:val="FootnoteCharacters"/>
        </w:rPr>
        <w:footnoteRef/>
      </w:r>
      <w:r>
        <w:rPr>
          <w:rFonts w:cs="Cambria" w:ascii="Cambria" w:hAnsi="Cambria"/>
          <w:sz w:val="18"/>
          <w:szCs w:val="18"/>
        </w:rPr>
        <w:t xml:space="preserve"> </w:t>
      </w:r>
      <w:r>
        <w:rPr>
          <w:rFonts w:cs="Cambria" w:ascii="Cambria" w:hAnsi="Cambria"/>
          <w:sz w:val="18"/>
          <w:szCs w:val="18"/>
        </w:rPr>
        <w:t>Jeżeli przy zawarciu umowy działa pełnomocnik tej osoby.</w:t>
      </w:r>
    </w:p>
  </w:footnote>
  <w:footnote w:id="5">
    <w:p>
      <w:pPr>
        <w:pStyle w:val="FootnoteText"/>
        <w:rPr/>
      </w:pPr>
      <w:r>
        <w:rPr>
          <w:rStyle w:val="FootnoteCharacters"/>
        </w:rPr>
        <w:footnoteRef/>
      </w:r>
      <w:r>
        <w:rPr/>
        <w:t xml:space="preserve"> </w:t>
      </w:r>
      <w:r>
        <w:rPr>
          <w:rFonts w:cs="Cambria" w:ascii="Cambria" w:hAnsi="Cambria"/>
        </w:rPr>
        <w:t>Uzupełnić zgodnie deklaracją w ofercie.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16"/>
        <w:szCs w:val="16"/>
      </w:rPr>
    </w:pPr>
    <w:r>
      <w:rPr>
        <w:sz w:val="16"/>
        <w:szCs w:val="16"/>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b w:val="false"/>
        <w:szCs w:val="24"/>
      </w:rPr>
    </w:lvl>
    <w:lvl w:ilvl="1">
      <w:start w:val="1"/>
      <w:numFmt w:val="decimal"/>
      <w:lvlText w:val="%2)"/>
      <w:lvlJc w:val="left"/>
      <w:pPr>
        <w:tabs>
          <w:tab w:val="num" w:pos="0"/>
        </w:tabs>
        <w:ind w:left="720" w:hanging="360"/>
      </w:pPr>
    </w:lvl>
    <w:lvl w:ilvl="2">
      <w:start w:val="1"/>
      <w:numFmt w:val="decimal"/>
      <w:lvlText w:val="%3."/>
      <w:lvlJc w:val="left"/>
      <w:pPr>
        <w:tabs>
          <w:tab w:val="num" w:pos="0"/>
        </w:tabs>
        <w:ind w:left="2340" w:hanging="360"/>
      </w:pPr>
      <w:rPr>
        <w:sz w:val="24"/>
        <w:b/>
        <w:szCs w:val="24"/>
        <w:rFonts w:ascii="Cambria" w:hAnsi="Cambria" w:cs="Cambria"/>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sz w:val="24"/>
        <w:szCs w:val="24"/>
        <w:rFonts w:ascii="Cambria" w:hAnsi="Cambria" w:cs="Cambria"/>
      </w:rPr>
    </w:lvl>
    <w:lvl w:ilvl="2">
      <w:start w:val="1"/>
      <w:numFmt w:val="decimal"/>
      <w:lvlText w:val="%3."/>
      <w:lvlJc w:val="left"/>
      <w:pPr>
        <w:tabs>
          <w:tab w:val="num" w:pos="0"/>
        </w:tabs>
        <w:ind w:left="2340" w:hanging="360"/>
      </w:pPr>
      <w:rPr>
        <w:b/>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rPr>
        <w:sz w:val="24"/>
        <w:b/>
        <w:szCs w:val="24"/>
        <w:rFonts w:ascii="Cambria" w:hAnsi="Cambria" w:cs="Cambria"/>
      </w:rPr>
    </w:lvl>
  </w:abstractNum>
  <w:abstractNum w:abstractNumId="4">
    <w:lvl w:ilvl="0">
      <w:start w:val="1"/>
      <w:numFmt w:val="decimal"/>
      <w:lvlText w:val="%1)"/>
      <w:lvlJc w:val="left"/>
      <w:pPr>
        <w:tabs>
          <w:tab w:val="num" w:pos="350"/>
        </w:tabs>
        <w:ind w:left="1070" w:hanging="360"/>
      </w:pPr>
      <w:rPr>
        <w:rFonts w:ascii="Cambria" w:hAnsi="Cambria" w:cs="Cambria"/>
      </w:rPr>
    </w:lvl>
    <w:lvl w:ilvl="1">
      <w:start w:val="1"/>
      <w:numFmt w:val="lowerLetter"/>
      <w:lvlText w:val="%2."/>
      <w:lvlJc w:val="left"/>
      <w:pPr>
        <w:tabs>
          <w:tab w:val="num" w:pos="350"/>
        </w:tabs>
        <w:ind w:left="1790" w:hanging="360"/>
      </w:pPr>
    </w:lvl>
    <w:lvl w:ilvl="2">
      <w:start w:val="1"/>
      <w:numFmt w:val="lowerRoman"/>
      <w:lvlText w:val="%3."/>
      <w:lvlJc w:val="right"/>
      <w:pPr>
        <w:tabs>
          <w:tab w:val="num" w:pos="350"/>
        </w:tabs>
        <w:ind w:left="2510" w:hanging="180"/>
      </w:pPr>
    </w:lvl>
    <w:lvl w:ilvl="3">
      <w:start w:val="1"/>
      <w:numFmt w:val="decimal"/>
      <w:lvlText w:val="%4."/>
      <w:lvlJc w:val="left"/>
      <w:pPr>
        <w:tabs>
          <w:tab w:val="num" w:pos="350"/>
        </w:tabs>
        <w:ind w:left="3230" w:hanging="360"/>
      </w:pPr>
    </w:lvl>
    <w:lvl w:ilvl="4">
      <w:start w:val="1"/>
      <w:numFmt w:val="lowerLetter"/>
      <w:lvlText w:val="%5."/>
      <w:lvlJc w:val="left"/>
      <w:pPr>
        <w:tabs>
          <w:tab w:val="num" w:pos="350"/>
        </w:tabs>
        <w:ind w:left="3950" w:hanging="360"/>
      </w:pPr>
    </w:lvl>
    <w:lvl w:ilvl="5">
      <w:start w:val="1"/>
      <w:numFmt w:val="lowerRoman"/>
      <w:lvlText w:val="%6."/>
      <w:lvlJc w:val="right"/>
      <w:pPr>
        <w:tabs>
          <w:tab w:val="num" w:pos="350"/>
        </w:tabs>
        <w:ind w:left="4670" w:hanging="180"/>
      </w:pPr>
    </w:lvl>
    <w:lvl w:ilvl="6">
      <w:start w:val="1"/>
      <w:numFmt w:val="decimal"/>
      <w:lvlText w:val="%7."/>
      <w:lvlJc w:val="left"/>
      <w:pPr>
        <w:tabs>
          <w:tab w:val="num" w:pos="350"/>
        </w:tabs>
        <w:ind w:left="5390" w:hanging="360"/>
      </w:pPr>
    </w:lvl>
    <w:lvl w:ilvl="7">
      <w:start w:val="1"/>
      <w:numFmt w:val="lowerLetter"/>
      <w:lvlText w:val="%8."/>
      <w:lvlJc w:val="left"/>
      <w:pPr>
        <w:tabs>
          <w:tab w:val="num" w:pos="350"/>
        </w:tabs>
        <w:ind w:left="6110" w:hanging="360"/>
      </w:pPr>
    </w:lvl>
    <w:lvl w:ilvl="8">
      <w:start w:val="1"/>
      <w:numFmt w:val="lowerRoman"/>
      <w:lvlText w:val="%9."/>
      <w:lvlJc w:val="right"/>
      <w:pPr>
        <w:tabs>
          <w:tab w:val="num" w:pos="350"/>
        </w:tabs>
        <w:ind w:left="6830" w:hanging="180"/>
      </w:pPr>
    </w:lvl>
  </w:abstractNum>
  <w:abstractNum w:abstractNumId="5">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sz w:val="24"/>
        <w:szCs w:val="24"/>
        <w:rFonts w:ascii="Cambria" w:hAnsi="Cambria"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rPr>
        <w:sz w:val="24"/>
        <w:b/>
        <w:szCs w:val="24"/>
        <w:rFonts w:ascii="Cambria" w:hAnsi="Cambria" w:cs="Cambria"/>
      </w:rPr>
    </w:lvl>
  </w:abstractNum>
  <w:abstractNum w:abstractNumId="7">
    <w:lvl w:ilvl="0">
      <w:start w:val="1"/>
      <w:numFmt w:val="decimal"/>
      <w:lvlText w:val="%1."/>
      <w:lvlJc w:val="left"/>
      <w:pPr>
        <w:tabs>
          <w:tab w:val="num" w:pos="0"/>
        </w:tabs>
        <w:ind w:left="720" w:hanging="360"/>
      </w:pPr>
      <w:rPr>
        <w:sz w:val="24"/>
        <w:b/>
        <w:szCs w:val="24"/>
        <w:rFonts w:ascii="Cambria" w:hAnsi="Cambria" w:cs="Times New Roman"/>
      </w:rPr>
    </w:lvl>
  </w:abstractNum>
  <w:abstractNum w:abstractNumId="8">
    <w:lvl w:ilvl="0">
      <w:start w:val="1"/>
      <w:numFmt w:val="decimal"/>
      <w:lvlText w:val="%1."/>
      <w:lvlJc w:val="left"/>
      <w:pPr>
        <w:tabs>
          <w:tab w:val="num" w:pos="0"/>
        </w:tabs>
        <w:ind w:left="740" w:hanging="380"/>
      </w:pPr>
      <w:rPr>
        <w:sz w:val="24"/>
        <w:b/>
        <w:szCs w:val="24"/>
        <w:rFonts w:ascii="Cambria" w:hAnsi="Cambria" w:cs="Cambria"/>
      </w:rPr>
    </w:lvl>
  </w:abstractNum>
  <w:abstractNum w:abstractNumId="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0"/>
        </w:tabs>
        <w:ind w:left="72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decimal"/>
      <w:lvlText w:val="%1."/>
      <w:lvlJc w:val="left"/>
      <w:pPr>
        <w:tabs>
          <w:tab w:val="num" w:pos="0"/>
        </w:tabs>
        <w:ind w:left="720" w:hanging="360"/>
      </w:pPr>
      <w:rPr>
        <w:sz w:val="24"/>
        <w:b/>
        <w:szCs w:val="24"/>
        <w:rFonts w:ascii="Cambria" w:hAnsi="Cambria" w:cs="Cambria"/>
      </w:rPr>
    </w:lvl>
  </w:abstractNum>
  <w:abstractNum w:abstractNumId="11">
    <w:lvl w:ilvl="0">
      <w:start w:val="1"/>
      <w:numFmt w:val="decimal"/>
      <w:lvlText w:val="%1."/>
      <w:lvlJc w:val="left"/>
      <w:pPr>
        <w:tabs>
          <w:tab w:val="num" w:pos="0"/>
        </w:tabs>
        <w:ind w:left="720" w:hanging="360"/>
      </w:pPr>
      <w:rPr>
        <w:sz w:val="24"/>
        <w:b/>
        <w:szCs w:val="24"/>
        <w:rFonts w:ascii="Cambria" w:hAnsi="Cambria" w:cs="Cambria"/>
      </w:rPr>
    </w:lvl>
  </w:abstractNum>
  <w:abstractNum w:abstractNumId="12">
    <w:lvl w:ilvl="0">
      <w:start w:val="1"/>
      <w:numFmt w:val="decimal"/>
      <w:lvlText w:val="%1)"/>
      <w:lvlJc w:val="left"/>
      <w:pPr>
        <w:tabs>
          <w:tab w:val="num" w:pos="0"/>
        </w:tabs>
        <w:ind w:left="720" w:hanging="360"/>
      </w:pPr>
      <w:rPr>
        <w:sz w:val="24"/>
        <w:szCs w:val="24"/>
        <w:rFonts w:ascii="Cambria" w:hAnsi="Cambria" w:cs="Cambria"/>
      </w:rPr>
    </w:lvl>
    <w:lvl w:ilvl="1">
      <w:start w:val="1"/>
      <w:numFmt w:val="decimal"/>
      <w:lvlText w:val="%2)"/>
      <w:lvlJc w:val="left"/>
      <w:pPr>
        <w:tabs>
          <w:tab w:val="num" w:pos="0"/>
        </w:tabs>
        <w:ind w:left="1146" w:hanging="360"/>
      </w:pPr>
    </w:lvl>
    <w:lvl w:ilvl="2">
      <w:start w:val="1"/>
      <w:numFmt w:val="decimal"/>
      <w:lvlText w:val="%3."/>
      <w:lvlJc w:val="left"/>
      <w:pPr>
        <w:ind w:left="502" w:hanging="360"/>
      </w:pPr>
      <w:rPr>
        <w:sz w:val="24"/>
        <w:b/>
        <w:szCs w:val="24"/>
        <w:rFonts w:ascii="Cambria" w:hAnsi="Cambria" w:cs="Cambria"/>
        <w:color w:val="00000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lvl w:ilvl="0">
      <w:start w:val="1"/>
      <w:numFmt w:val="decimal"/>
      <w:lvlText w:val="%1."/>
      <w:lvlJc w:val="left"/>
      <w:pPr>
        <w:tabs>
          <w:tab w:val="num" w:pos="0"/>
        </w:tabs>
        <w:ind w:left="720" w:hanging="360"/>
      </w:pPr>
      <w:rPr>
        <w:sz w:val="24"/>
        <w:b/>
        <w:szCs w:val="24"/>
        <w:rFonts w:ascii="Cambria" w:hAnsi="Cambria" w:cs="Cambria"/>
      </w:rPr>
    </w:lvl>
  </w:abstractNum>
  <w:abstractNum w:abstractNumId="14">
    <w:lvl w:ilvl="0">
      <w:start w:val="1"/>
      <w:numFmt w:val="decimal"/>
      <w:lvlText w:val="%1."/>
      <w:lvlJc w:val="left"/>
      <w:pPr>
        <w:tabs>
          <w:tab w:val="num" w:pos="0"/>
        </w:tabs>
        <w:ind w:left="720" w:hanging="360"/>
      </w:pPr>
      <w:rPr>
        <w:dstrike w:val="false"/>
        <w:strike w:val="false"/>
        <w:sz w:val="24"/>
        <w:b/>
        <w:szCs w:val="24"/>
        <w:rFonts w:ascii="Cambria" w:hAnsi="Cambria" w:cs="Cambr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decimal"/>
      <w:lvlText w:val="%1."/>
      <w:lvlJc w:val="left"/>
      <w:pPr>
        <w:tabs>
          <w:tab w:val="num" w:pos="0"/>
        </w:tabs>
        <w:ind w:left="720" w:hanging="360"/>
      </w:pPr>
      <w:rPr>
        <w:b/>
      </w:rPr>
    </w:lvl>
    <w:lvl w:ilvl="1">
      <w:start w:val="1"/>
      <w:numFmt w:val="decimal"/>
      <w:lvlText w:val="%2)"/>
      <w:lvlJc w:val="left"/>
      <w:pPr>
        <w:tabs>
          <w:tab w:val="num" w:pos="0"/>
        </w:tabs>
        <w:ind w:left="1440" w:hanging="360"/>
      </w:pPr>
      <w:rPr>
        <w:sz w:val="24"/>
        <w:b w:val="false"/>
        <w:szCs w:val="24"/>
        <w:rFonts w:ascii="Cambria" w:hAnsi="Cambria"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sz w:val="24"/>
        <w:szCs w:val="24"/>
        <w:rFonts w:ascii="Cambria" w:hAnsi="Cambria"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sz w:val="24"/>
        <w:b/>
        <w:szCs w:val="24"/>
        <w:rFonts w:ascii="Cambria" w:hAnsi="Cambria" w:cs="Cambria"/>
        <w:color w:val="00000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5"/>
      <w:numFmt w:val="decimal"/>
      <w:lvlText w:val="%1."/>
      <w:lvlJc w:val="left"/>
      <w:pPr>
        <w:tabs>
          <w:tab w:val="num" w:pos="0"/>
        </w:tabs>
        <w:ind w:left="360" w:hanging="360"/>
      </w:pPr>
      <w:rPr>
        <w:b w:val="false"/>
        <w:rFonts w:cs="Arial"/>
        <w:color w:val="000000"/>
      </w:rPr>
    </w:lvl>
    <w:lvl w:ilvl="1">
      <w:start w:val="1"/>
      <w:numFmt w:val="decimal"/>
      <w:lvlText w:val="%2."/>
      <w:lvlJc w:val="left"/>
      <w:pPr>
        <w:tabs>
          <w:tab w:val="num" w:pos="0"/>
        </w:tabs>
        <w:ind w:left="720" w:hanging="720"/>
      </w:pPr>
      <w:rPr>
        <w:b/>
        <w:rFonts w:ascii="Cambria" w:hAnsi="Cambria" w:eastAsia="Calibri" w:cs="Helvetica"/>
        <w:color w:val="000000"/>
      </w:rPr>
    </w:lvl>
    <w:lvl w:ilvl="2">
      <w:start w:val="1"/>
      <w:numFmt w:val="decimal"/>
      <w:lvlText w:val="%1.%2.%3."/>
      <w:lvlJc w:val="left"/>
      <w:pPr>
        <w:tabs>
          <w:tab w:val="num" w:pos="0"/>
        </w:tabs>
        <w:ind w:left="720" w:hanging="720"/>
      </w:pPr>
      <w:rPr>
        <w:b w:val="false"/>
        <w:rFonts w:cs="Arial"/>
        <w:color w:val="000000"/>
      </w:rPr>
    </w:lvl>
    <w:lvl w:ilvl="3">
      <w:start w:val="1"/>
      <w:numFmt w:val="decimal"/>
      <w:lvlText w:val="%1.%2.%3.%4."/>
      <w:lvlJc w:val="left"/>
      <w:pPr>
        <w:tabs>
          <w:tab w:val="num" w:pos="0"/>
        </w:tabs>
        <w:ind w:left="1080" w:hanging="1080"/>
      </w:pPr>
      <w:rPr>
        <w:b w:val="false"/>
        <w:rFonts w:cs="Arial"/>
        <w:color w:val="000000"/>
      </w:rPr>
    </w:lvl>
    <w:lvl w:ilvl="4">
      <w:start w:val="1"/>
      <w:numFmt w:val="decimal"/>
      <w:lvlText w:val="%1.%2.%3.%4.%5."/>
      <w:lvlJc w:val="left"/>
      <w:pPr>
        <w:tabs>
          <w:tab w:val="num" w:pos="0"/>
        </w:tabs>
        <w:ind w:left="1080" w:hanging="1080"/>
      </w:pPr>
      <w:rPr>
        <w:b w:val="false"/>
        <w:rFonts w:cs="Arial"/>
        <w:color w:val="000000"/>
      </w:rPr>
    </w:lvl>
    <w:lvl w:ilvl="5">
      <w:start w:val="1"/>
      <w:numFmt w:val="decimal"/>
      <w:lvlText w:val="%1.%2.%3.%4.%5.%6."/>
      <w:lvlJc w:val="left"/>
      <w:pPr>
        <w:tabs>
          <w:tab w:val="num" w:pos="0"/>
        </w:tabs>
        <w:ind w:left="1440" w:hanging="1440"/>
      </w:pPr>
      <w:rPr>
        <w:b w:val="false"/>
        <w:rFonts w:cs="Arial"/>
        <w:color w:val="000000"/>
      </w:rPr>
    </w:lvl>
    <w:lvl w:ilvl="6">
      <w:start w:val="1"/>
      <w:numFmt w:val="decimal"/>
      <w:lvlText w:val="%1.%2.%3.%4.%5.%6.%7."/>
      <w:lvlJc w:val="left"/>
      <w:pPr>
        <w:tabs>
          <w:tab w:val="num" w:pos="0"/>
        </w:tabs>
        <w:ind w:left="1440" w:hanging="1440"/>
      </w:pPr>
      <w:rPr>
        <w:b w:val="false"/>
        <w:rFonts w:cs="Arial"/>
        <w:color w:val="000000"/>
      </w:rPr>
    </w:lvl>
    <w:lvl w:ilvl="7">
      <w:start w:val="1"/>
      <w:numFmt w:val="decimal"/>
      <w:lvlText w:val="%1.%2.%3.%4.%5.%6.%7.%8."/>
      <w:lvlJc w:val="left"/>
      <w:pPr>
        <w:tabs>
          <w:tab w:val="num" w:pos="0"/>
        </w:tabs>
        <w:ind w:left="1800" w:hanging="1800"/>
      </w:pPr>
      <w:rPr>
        <w:b w:val="false"/>
        <w:rFonts w:cs="Arial"/>
        <w:color w:val="000000"/>
      </w:rPr>
    </w:lvl>
    <w:lvl w:ilvl="8">
      <w:start w:val="1"/>
      <w:numFmt w:val="decimal"/>
      <w:lvlText w:val="%1.%2.%3.%4.%5.%6.%7.%8.%9."/>
      <w:lvlJc w:val="left"/>
      <w:pPr>
        <w:tabs>
          <w:tab w:val="num" w:pos="0"/>
        </w:tabs>
        <w:ind w:left="2160" w:hanging="2160"/>
      </w:pPr>
      <w:rPr>
        <w:b w:val="false"/>
        <w:rFonts w:cs="Arial"/>
        <w:color w:val="000000"/>
      </w:rPr>
    </w:lvl>
  </w:abstractNum>
  <w:abstractNum w:abstractNumId="19">
    <w:lvl w:ilvl="0">
      <w:start w:val="3"/>
      <w:numFmt w:val="decimal"/>
      <w:lvlText w:val="%1."/>
      <w:lvlJc w:val="left"/>
      <w:pPr>
        <w:tabs>
          <w:tab w:val="num" w:pos="0"/>
        </w:tabs>
        <w:ind w:left="720" w:hanging="360"/>
      </w:pPr>
      <w:rPr>
        <w:dstrike w:val="false"/>
        <w:strike w:val="false"/>
        <w:sz w:val="24"/>
        <w:b/>
        <w:szCs w:val="24"/>
        <w:rFonts w:ascii="Cambria" w:hAnsi="Cambria" w:cs="Cambria"/>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0">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sz w:val="24"/>
        <w:szCs w:val="24"/>
        <w:rFonts w:ascii="Cambria" w:hAnsi="Cambria"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lvl w:ilvl="0">
      <w:start w:val="1"/>
      <w:numFmt w:val="decimal"/>
      <w:lvlText w:val="%1."/>
      <w:lvlJc w:val="left"/>
      <w:pPr>
        <w:tabs>
          <w:tab w:val="num" w:pos="0"/>
        </w:tabs>
        <w:ind w:left="720" w:hanging="360"/>
      </w:pPr>
      <w:rPr>
        <w:b/>
        <w:bCs w:val="false"/>
      </w:rPr>
    </w:lvl>
  </w:abstractNum>
  <w:abstractNum w:abstractNumId="22">
    <w:lvl w:ilvl="0">
      <w:start w:val="1"/>
      <w:numFmt w:val="decimal"/>
      <w:lvlText w:val="%1)"/>
      <w:lvlJc w:val="left"/>
      <w:pPr>
        <w:tabs>
          <w:tab w:val="num" w:pos="0"/>
        </w:tabs>
        <w:ind w:left="0" w:hanging="0"/>
      </w:pPr>
    </w:lvl>
  </w:abstractNum>
  <w:abstractNum w:abstractNumId="23">
    <w:lvl w:ilvl="0">
      <w:start w:val="1"/>
      <w:numFmt w:val="lowerLetter"/>
      <w:lvlText w:val="%1)"/>
      <w:lvlJc w:val="left"/>
      <w:pPr>
        <w:tabs>
          <w:tab w:val="num" w:pos="0"/>
        </w:tabs>
        <w:ind w:left="1429" w:hanging="360"/>
      </w:pPr>
    </w:lvl>
    <w:lvl w:ilvl="1">
      <w:start w:val="1"/>
      <w:numFmt w:val="decimal"/>
      <w:lvlText w:val="%2)"/>
      <w:lvlJc w:val="left"/>
      <w:pPr>
        <w:tabs>
          <w:tab w:val="num" w:pos="0"/>
        </w:tabs>
        <w:ind w:left="2149" w:hanging="360"/>
      </w:pPr>
      <w:rPr>
        <w:i w:val="false"/>
        <w:b w:val="false"/>
        <w:color w:val="000000"/>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rPr>
        <w:b/>
        <w:bCs/>
        <w:rFonts w:ascii="Cambria" w:hAnsi="Cambria" w:cs="Cambria"/>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lvl w:ilvl="0">
      <w:start w:val="1"/>
      <w:numFmt w:val="lowerLetter"/>
      <w:lvlText w:val="%1)"/>
      <w:lvlJc w:val="left"/>
      <w:pPr>
        <w:tabs>
          <w:tab w:val="num" w:pos="0"/>
        </w:tabs>
        <w:ind w:left="1494" w:hanging="360"/>
      </w:pPr>
      <w:rPr/>
    </w:lvl>
  </w:abstractNum>
  <w:abstractNum w:abstractNumId="26">
    <w:lvl w:ilvl="0">
      <w:start w:val="4"/>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360" w:hanging="360"/>
      </w:pPr>
      <w:rPr>
        <w:sz w:val="24"/>
        <w:i w:val="false"/>
        <w:b/>
        <w:szCs w:val="24"/>
        <w:rFonts w:ascii="Cambria" w:hAnsi="Cambria" w:cs="Cambria"/>
      </w:rPr>
    </w:lvl>
    <w:lvl w:ilvl="2">
      <w:start w:val="1"/>
      <w:numFmt w:val="decimal"/>
      <w:lvlText w:val="%1.%2.%3."/>
      <w:lvlJc w:val="left"/>
      <w:pPr>
        <w:tabs>
          <w:tab w:val="num" w:pos="0"/>
        </w:tabs>
        <w:ind w:left="1003" w:hanging="720"/>
      </w:pPr>
      <w:rPr>
        <w:b/>
        <w:rFonts w:cs="Times New Roman"/>
        <w:color w:val="00000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7">
    <w:lvl w:ilvl="0">
      <w:start w:val="1"/>
      <w:numFmt w:val="decimal"/>
      <w:lvlText w:val="%1)"/>
      <w:lvlJc w:val="left"/>
      <w:pPr>
        <w:tabs>
          <w:tab w:val="num" w:pos="0"/>
        </w:tabs>
        <w:ind w:left="720" w:hanging="360"/>
      </w:pPr>
    </w:lvl>
  </w:abstractNum>
  <w:abstractNum w:abstractNumId="28">
    <w:lvl w:ilvl="0">
      <w:start w:val="2"/>
      <w:numFmt w:val="decimal"/>
      <w:lvlText w:val="%1."/>
      <w:lvlJc w:val="left"/>
      <w:pPr>
        <w:tabs>
          <w:tab w:val="num" w:pos="0"/>
        </w:tabs>
        <w:ind w:left="1146" w:hanging="360"/>
      </w:pPr>
      <w:rPr>
        <w:sz w:val="24"/>
        <w:i w:val="false"/>
        <w:b/>
        <w:szCs w:val="24"/>
        <w:rFonts w:ascii="Cambria" w:hAnsi="Cambria" w:cs="Cambria"/>
      </w:rPr>
    </w:lvl>
  </w:abstractNum>
  <w:abstractNum w:abstractNumId="29">
    <w:lvl w:ilvl="0">
      <w:start w:val="1"/>
      <w:numFmt w:val="decimal"/>
      <w:lvlText w:val="%1)"/>
      <w:lvlJc w:val="left"/>
      <w:pPr>
        <w:tabs>
          <w:tab w:val="num" w:pos="0"/>
        </w:tabs>
        <w:ind w:left="1713" w:hanging="360"/>
      </w:pPr>
    </w:lvl>
  </w:abstractNum>
  <w:abstractNum w:abstractNumId="30">
    <w:lvl w:ilvl="0">
      <w:start w:val="1"/>
      <w:numFmt w:val="lowerLetter"/>
      <w:lvlText w:val="%1)"/>
      <w:lvlJc w:val="left"/>
      <w:pPr>
        <w:tabs>
          <w:tab w:val="num" w:pos="0"/>
        </w:tabs>
        <w:ind w:left="1494" w:hanging="360"/>
      </w:pPr>
    </w:lvl>
  </w:abstractNum>
  <w:abstractNum w:abstractNumId="31">
    <w:lvl w:ilvl="0">
      <w:start w:val="1"/>
      <w:numFmt w:val="decimal"/>
      <w:lvlText w:val="%1."/>
      <w:lvlJc w:val="left"/>
      <w:pPr>
        <w:tabs>
          <w:tab w:val="num" w:pos="0"/>
        </w:tabs>
        <w:ind w:left="1080" w:hanging="360"/>
      </w:pPr>
      <w:rPr>
        <w:b/>
        <w:bCs/>
      </w:rPr>
    </w:lvl>
  </w:abstractNum>
  <w:abstractNum w:abstractNumId="32">
    <w:lvl w:ilvl="0">
      <w:start w:val="1"/>
      <w:numFmt w:val="decimal"/>
      <w:lvlText w:val="%1)"/>
      <w:lvlJc w:val="left"/>
      <w:pPr>
        <w:tabs>
          <w:tab w:val="num" w:pos="0"/>
        </w:tabs>
        <w:ind w:left="720" w:hanging="360"/>
      </w:pPr>
      <w:rPr>
        <w:b w:val="false"/>
        <w:rFonts w:cs="Times New Roman"/>
      </w:rPr>
    </w:lvl>
  </w:abstractNum>
  <w:abstractNum w:abstractNumId="33">
    <w:lvl w:ilvl="0">
      <w:start w:val="1"/>
      <w:numFmt w:val="decimal"/>
      <w:lvlText w:val="%1."/>
      <w:lvlJc w:val="left"/>
      <w:pPr>
        <w:tabs>
          <w:tab w:val="num" w:pos="0"/>
        </w:tabs>
        <w:ind w:left="360" w:hanging="360"/>
      </w:pPr>
      <w:rPr>
        <w:sz w:val="24"/>
        <w:b/>
        <w:szCs w:val="24"/>
        <w:rFonts w:ascii="Cambria" w:hAnsi="Cambria" w:cs="Cambria"/>
      </w:rPr>
    </w:lvl>
  </w:abstractNum>
  <w:abstractNum w:abstractNumId="34">
    <w:lvl w:ilvl="0">
      <w:start w:val="1"/>
      <w:numFmt w:val="decimal"/>
      <w:lvlText w:val="%1."/>
      <w:lvlJc w:val="left"/>
      <w:pPr>
        <w:tabs>
          <w:tab w:val="num" w:pos="0"/>
        </w:tabs>
        <w:ind w:left="360" w:hanging="360"/>
      </w:pPr>
      <w:rPr>
        <w:b/>
      </w:r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3196"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lvl w:ilvl="0">
      <w:start w:val="1"/>
      <w:numFmt w:val="decimal"/>
      <w:lvlText w:val="%1."/>
      <w:lvlJc w:val="left"/>
      <w:pPr>
        <w:tabs>
          <w:tab w:val="num" w:pos="0"/>
        </w:tabs>
        <w:ind w:left="720" w:hanging="360"/>
      </w:pPr>
      <w:rPr>
        <w:b/>
      </w:r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2"/>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Times New Roman" w:cs="Calibri"/>
      <w:color w:val="auto"/>
      <w:sz w:val="22"/>
      <w:szCs w:val="22"/>
      <w:lang w:val="pl-PL" w:eastAsia="zh-CN" w:bidi="ar-SA"/>
    </w:rPr>
  </w:style>
  <w:style w:type="character" w:styleId="WW8Num1z0">
    <w:name w:val="WW8Num1z0"/>
    <w:qFormat/>
    <w:rPr>
      <w:b w:val="false"/>
      <w:sz w:val="24"/>
      <w:szCs w:val="24"/>
    </w:rPr>
  </w:style>
  <w:style w:type="character" w:styleId="WW8Num1z2">
    <w:name w:val="WW8Num1z2"/>
    <w:qFormat/>
    <w:rPr>
      <w:rFonts w:ascii="Cambria" w:hAnsi="Cambria" w:cs="Cambria"/>
      <w:b/>
      <w:sz w:val="24"/>
      <w:szCs w:val="24"/>
    </w:rPr>
  </w:style>
  <w:style w:type="character" w:styleId="WW8Num2z1">
    <w:name w:val="WW8Num2z1"/>
    <w:qFormat/>
    <w:rPr>
      <w:rFonts w:ascii="Cambria" w:hAnsi="Cambria" w:cs="Cambria"/>
      <w:sz w:val="24"/>
      <w:szCs w:val="24"/>
    </w:rPr>
  </w:style>
  <w:style w:type="character" w:styleId="WW8Num2z2">
    <w:name w:val="WW8Num2z2"/>
    <w:qFormat/>
    <w:rPr>
      <w:b/>
    </w:rPr>
  </w:style>
  <w:style w:type="character" w:styleId="WW8Num3z0">
    <w:name w:val="WW8Num3z0"/>
    <w:qFormat/>
    <w:rPr>
      <w:rFonts w:ascii="Cambria" w:hAnsi="Cambria" w:cs="Cambria"/>
      <w:b/>
      <w:sz w:val="24"/>
      <w:szCs w:val="24"/>
    </w:rPr>
  </w:style>
  <w:style w:type="character" w:styleId="WW8Num4z0">
    <w:name w:val="WW8Num4z0"/>
    <w:qFormat/>
    <w:rPr>
      <w:sz w:val="24"/>
      <w:szCs w:val="24"/>
    </w:rPr>
  </w:style>
  <w:style w:type="character" w:styleId="WW8Num5z0">
    <w:name w:val="WW8Num5z0"/>
    <w:qFormat/>
    <w:rPr>
      <w:rFonts w:ascii="Cambria" w:hAnsi="Cambria" w:eastAsia="Calibri" w:cs="Arial"/>
      <w:b/>
      <w:i w:val="false"/>
      <w:sz w:val="24"/>
      <w:szCs w:val="24"/>
    </w:rPr>
  </w:style>
  <w:style w:type="character" w:styleId="WW8Num6z0">
    <w:name w:val="WW8Num6z0"/>
    <w:qFormat/>
    <w:rPr>
      <w:rFonts w:ascii="Cambria" w:hAnsi="Cambria" w:cs="Cambria"/>
    </w:rPr>
  </w:style>
  <w:style w:type="character" w:styleId="WW8Num7z1">
    <w:name w:val="WW8Num7z1"/>
    <w:qFormat/>
    <w:rPr>
      <w:rFonts w:ascii="Cambria" w:hAnsi="Cambria" w:cs="Cambria"/>
      <w:sz w:val="24"/>
      <w:szCs w:val="24"/>
    </w:rPr>
  </w:style>
  <w:style w:type="character" w:styleId="WW8Num8z0">
    <w:name w:val="WW8Num8z0"/>
    <w:qFormat/>
    <w:rPr>
      <w:rFonts w:ascii="Cambria" w:hAnsi="Cambria" w:cs="Cambria"/>
      <w:b/>
      <w:sz w:val="24"/>
      <w:szCs w:val="24"/>
    </w:rPr>
  </w:style>
  <w:style w:type="character" w:styleId="WW8Num9z0">
    <w:name w:val="WW8Num9z0"/>
    <w:qFormat/>
    <w:rPr>
      <w:rFonts w:ascii="Cambria" w:hAnsi="Cambria" w:cs="Times New Roman"/>
      <w:b/>
      <w:sz w:val="24"/>
      <w:szCs w:val="24"/>
    </w:rPr>
  </w:style>
  <w:style w:type="character" w:styleId="WW8Num10z0">
    <w:name w:val="WW8Num10z0"/>
    <w:qFormat/>
    <w:rPr>
      <w:rFonts w:ascii="Cambria" w:hAnsi="Cambria" w:cs="Cambria"/>
      <w:b/>
      <w:sz w:val="24"/>
      <w:szCs w:val="24"/>
    </w:rPr>
  </w:style>
  <w:style w:type="character" w:styleId="WW8Num11z0">
    <w:name w:val="WW8Num11z0"/>
    <w:qFormat/>
    <w:rPr>
      <w:rFonts w:cs="Times New Roman"/>
    </w:rPr>
  </w:style>
  <w:style w:type="character" w:styleId="WW8Num12z0">
    <w:name w:val="WW8Num12z0"/>
    <w:qFormat/>
    <w:rPr>
      <w:rFonts w:ascii="Cambria" w:hAnsi="Cambria" w:cs="Cambria"/>
      <w:b/>
      <w:sz w:val="24"/>
      <w:szCs w:val="24"/>
    </w:rPr>
  </w:style>
  <w:style w:type="character" w:styleId="WW8Num13z0">
    <w:name w:val="WW8Num13z0"/>
    <w:qFormat/>
    <w:rPr>
      <w:rFonts w:ascii="Cambria" w:hAnsi="Cambria" w:cs="Cambria"/>
      <w:b/>
      <w:sz w:val="24"/>
      <w:szCs w:val="24"/>
    </w:rPr>
  </w:style>
  <w:style w:type="character" w:styleId="WW8Num14z0">
    <w:name w:val="WW8Num14z0"/>
    <w:qFormat/>
    <w:rPr>
      <w:rFonts w:ascii="Cambria" w:hAnsi="Cambria" w:cs="Cambria"/>
      <w:sz w:val="24"/>
      <w:szCs w:val="24"/>
    </w:rPr>
  </w:style>
  <w:style w:type="character" w:styleId="WW8Num14z2">
    <w:name w:val="WW8Num14z2"/>
    <w:qFormat/>
    <w:rPr>
      <w:rFonts w:ascii="Cambria" w:hAnsi="Cambria" w:cs="Cambria"/>
      <w:b/>
      <w:color w:val="000000"/>
      <w:sz w:val="24"/>
      <w:szCs w:val="24"/>
    </w:rPr>
  </w:style>
  <w:style w:type="character" w:styleId="WW8Num15z0">
    <w:name w:val="WW8Num15z0"/>
    <w:qFormat/>
    <w:rPr>
      <w:rFonts w:ascii="Cambria" w:hAnsi="Cambria" w:cs="Cambria"/>
      <w:b/>
      <w:sz w:val="24"/>
      <w:szCs w:val="24"/>
    </w:rPr>
  </w:style>
  <w:style w:type="character" w:styleId="WW8Num16z0">
    <w:name w:val="WW8Num16z0"/>
    <w:qFormat/>
    <w:rPr>
      <w:rFonts w:ascii="Cambria" w:hAnsi="Cambria" w:cs="Cambria"/>
      <w:b/>
      <w:strike w:val="false"/>
      <w:dstrike w:val="false"/>
      <w:sz w:val="24"/>
      <w:szCs w:val="24"/>
    </w:rPr>
  </w:style>
  <w:style w:type="character" w:styleId="WW8Num17z0">
    <w:name w:val="WW8Num17z0"/>
    <w:qFormat/>
    <w:rPr>
      <w:b/>
    </w:rPr>
  </w:style>
  <w:style w:type="character" w:styleId="WW8Num17z1">
    <w:name w:val="WW8Num17z1"/>
    <w:qFormat/>
    <w:rPr>
      <w:rFonts w:ascii="Cambria" w:hAnsi="Cambria" w:cs="Cambria"/>
      <w:b w:val="false"/>
      <w:sz w:val="24"/>
      <w:szCs w:val="24"/>
    </w:rPr>
  </w:style>
  <w:style w:type="character" w:styleId="WW8Num18z1">
    <w:name w:val="WW8Num18z1"/>
    <w:qFormat/>
    <w:rPr>
      <w:rFonts w:ascii="Cambria" w:hAnsi="Cambria" w:cs="Cambria"/>
      <w:sz w:val="24"/>
      <w:szCs w:val="24"/>
    </w:rPr>
  </w:style>
  <w:style w:type="character" w:styleId="WW8Num19z0">
    <w:name w:val="WW8Num19z0"/>
    <w:qFormat/>
    <w:rPr>
      <w:b/>
    </w:rPr>
  </w:style>
  <w:style w:type="character" w:styleId="WW8Num19z3">
    <w:name w:val="WW8Num19z3"/>
    <w:qFormat/>
    <w:rPr>
      <w:rFonts w:ascii="Cambria" w:hAnsi="Cambria" w:cs="Cambria"/>
      <w:b/>
      <w:color w:val="000000"/>
      <w:sz w:val="24"/>
      <w:szCs w:val="24"/>
    </w:rPr>
  </w:style>
  <w:style w:type="character" w:styleId="WW8Num20z0">
    <w:name w:val="WW8Num20z0"/>
    <w:qFormat/>
    <w:rPr>
      <w:rFonts w:cs="Arial"/>
      <w:b w:val="false"/>
      <w:color w:val="000000"/>
    </w:rPr>
  </w:style>
  <w:style w:type="character" w:styleId="WW8Num20z1">
    <w:name w:val="WW8Num20z1"/>
    <w:qFormat/>
    <w:rPr>
      <w:rFonts w:ascii="Cambria" w:hAnsi="Cambria" w:eastAsia="Calibri" w:cs="Helvetica"/>
      <w:b/>
      <w:color w:val="000000"/>
    </w:rPr>
  </w:style>
  <w:style w:type="character" w:styleId="WW8Num21z0">
    <w:name w:val="WW8Num21z0"/>
    <w:qFormat/>
    <w:rPr>
      <w:rFonts w:ascii="Cambria" w:hAnsi="Cambria" w:cs="Cambria"/>
      <w:b/>
      <w:strike w:val="false"/>
      <w:dstrike w:val="false"/>
      <w:sz w:val="24"/>
      <w:szCs w:val="24"/>
    </w:rPr>
  </w:style>
  <w:style w:type="character" w:styleId="WW8Num21z1">
    <w:name w:val="WW8Num21z1"/>
    <w:qFormat/>
    <w:rPr/>
  </w:style>
  <w:style w:type="character" w:styleId="WW8Num22z1">
    <w:name w:val="WW8Num22z1"/>
    <w:qFormat/>
    <w:rPr>
      <w:rFonts w:ascii="Cambria" w:hAnsi="Cambria" w:cs="Cambria"/>
      <w:sz w:val="24"/>
      <w:szCs w:val="24"/>
    </w:rPr>
  </w:style>
  <w:style w:type="character" w:styleId="WW8Num23z0">
    <w:name w:val="WW8Num23z0"/>
    <w:qFormat/>
    <w:rPr>
      <w:b/>
      <w:bCs w:val="false"/>
    </w:rPr>
  </w:style>
  <w:style w:type="character" w:styleId="WW8Num25z1">
    <w:name w:val="WW8Num25z1"/>
    <w:qFormat/>
    <w:rPr>
      <w:b w:val="false"/>
      <w:i w:val="false"/>
      <w:color w:val="000000"/>
    </w:rPr>
  </w:style>
  <w:style w:type="character" w:styleId="WW8Num26z0">
    <w:name w:val="WW8Num26z0"/>
    <w:qFormat/>
    <w:rPr>
      <w:b/>
    </w:rPr>
  </w:style>
  <w:style w:type="character" w:styleId="WW8Num27z0">
    <w:name w:val="WW8Num27z0"/>
    <w:qFormat/>
    <w:rPr>
      <w:rFonts w:ascii="Cambria" w:hAnsi="Cambria" w:cs="Cambria"/>
      <w:b/>
      <w:i w:val="false"/>
      <w:sz w:val="24"/>
      <w:szCs w:val="24"/>
    </w:rPr>
  </w:style>
  <w:style w:type="character" w:styleId="WW8Num27z1">
    <w:name w:val="WW8Num27z1"/>
    <w:qFormat/>
    <w:rPr/>
  </w:style>
  <w:style w:type="character" w:styleId="WW8Num29z0">
    <w:name w:val="WW8Num29z0"/>
    <w:qFormat/>
    <w:rPr>
      <w:b/>
    </w:rPr>
  </w:style>
  <w:style w:type="character" w:styleId="WW8Num29z2">
    <w:name w:val="WW8Num29z2"/>
    <w:qFormat/>
    <w:rPr>
      <w:rFonts w:ascii="Cambria" w:hAnsi="Cambria" w:cs="Cambria"/>
      <w:b/>
      <w:bCs/>
    </w:rPr>
  </w:style>
  <w:style w:type="character" w:styleId="WW8Num30z0">
    <w:name w:val="WW8Num30z0"/>
    <w:qFormat/>
    <w:rPr>
      <w:b/>
    </w:rPr>
  </w:style>
  <w:style w:type="character" w:styleId="WW8Num30z1">
    <w:name w:val="WW8Num30z1"/>
    <w:qFormat/>
    <w:rPr>
      <w:rFonts w:ascii="Symbol" w:hAnsi="Symbol" w:cs="Symbol"/>
    </w:rPr>
  </w:style>
  <w:style w:type="character" w:styleId="WW8Num31z0">
    <w:name w:val="WW8Num31z0"/>
    <w:qFormat/>
    <w:rPr/>
  </w:style>
  <w:style w:type="character" w:styleId="WW8Num32z0">
    <w:name w:val="WW8Num32z0"/>
    <w:qFormat/>
    <w:rPr>
      <w:rFonts w:cs="Times New Roman"/>
    </w:rPr>
  </w:style>
  <w:style w:type="character" w:styleId="WW8Num32z1">
    <w:name w:val="WW8Num32z1"/>
    <w:qFormat/>
    <w:rPr>
      <w:rFonts w:ascii="Cambria" w:hAnsi="Cambria" w:cs="Cambria"/>
      <w:b/>
      <w:i w:val="false"/>
      <w:sz w:val="24"/>
      <w:szCs w:val="24"/>
    </w:rPr>
  </w:style>
  <w:style w:type="character" w:styleId="WW8Num32z2">
    <w:name w:val="WW8Num32z2"/>
    <w:qFormat/>
    <w:rPr>
      <w:rFonts w:cs="Times New Roman"/>
      <w:b/>
      <w:color w:val="000000"/>
    </w:rPr>
  </w:style>
  <w:style w:type="character" w:styleId="WW8Num33z0">
    <w:name w:val="WW8Num33z0"/>
    <w:qFormat/>
    <w:rPr>
      <w:b w:val="false"/>
    </w:rPr>
  </w:style>
  <w:style w:type="character" w:styleId="WW8Num33z1">
    <w:name w:val="WW8Num33z1"/>
    <w:qFormat/>
    <w:rPr/>
  </w:style>
  <w:style w:type="character" w:styleId="WW8Num33z2">
    <w:name w:val="WW8Num33z2"/>
    <w:qFormat/>
    <w:rPr>
      <w:rFonts w:ascii="Cambria" w:hAnsi="Cambria" w:cs="Cambria"/>
      <w:b/>
    </w:rPr>
  </w:style>
  <w:style w:type="character" w:styleId="WW8Num34z0">
    <w:name w:val="WW8Num34z0"/>
    <w:qFormat/>
    <w:rPr>
      <w:rFonts w:cs="Times New Roman"/>
      <w:b/>
    </w:rPr>
  </w:style>
  <w:style w:type="character" w:styleId="WW8Num34z1">
    <w:name w:val="WW8Num34z1"/>
    <w:qFormat/>
    <w:rPr>
      <w:b w:val="false"/>
      <w:bCs w:val="false"/>
      <w:i w:val="false"/>
      <w:iCs w:val="false"/>
    </w:rPr>
  </w:style>
  <w:style w:type="character" w:styleId="WW8Num34z2">
    <w:name w:val="WW8Num34z2"/>
    <w:qFormat/>
    <w:rPr>
      <w:rFonts w:ascii="Cambria" w:hAnsi="Cambria" w:cs="Arial"/>
      <w:b w:val="false"/>
      <w:strike w:val="false"/>
      <w:dstrike w:val="false"/>
      <w:sz w:val="24"/>
      <w:szCs w:val="24"/>
      <w:u w:val="none"/>
    </w:rPr>
  </w:style>
  <w:style w:type="character" w:styleId="WW8Num34z3">
    <w:name w:val="WW8Num34z3"/>
    <w:qFormat/>
    <w:rPr>
      <w:rFonts w:cs="Times New Roman"/>
      <w:b w:val="false"/>
    </w:rPr>
  </w:style>
  <w:style w:type="character" w:styleId="WW8Num36z0">
    <w:name w:val="WW8Num36z0"/>
    <w:qFormat/>
    <w:rPr>
      <w:b/>
      <w:sz w:val="24"/>
      <w:szCs w:val="24"/>
    </w:rPr>
  </w:style>
  <w:style w:type="character" w:styleId="WW8Num36z1">
    <w:name w:val="WW8Num36z1"/>
    <w:qFormat/>
    <w:rPr>
      <w:rFonts w:ascii="Cambria" w:hAnsi="Cambria" w:cs="Cambria"/>
      <w:b/>
      <w:color w:val="000000"/>
      <w:sz w:val="24"/>
      <w:szCs w:val="24"/>
      <w:lang w:val="pl-PL"/>
    </w:rPr>
  </w:style>
  <w:style w:type="character" w:styleId="WW8Num37z1">
    <w:name w:val="WW8Num37z1"/>
    <w:qFormat/>
    <w:rPr>
      <w:b w:val="false"/>
      <w:bCs/>
    </w:rPr>
  </w:style>
  <w:style w:type="character" w:styleId="WW8Num37z3">
    <w:name w:val="WW8Num37z3"/>
    <w:qFormat/>
    <w:rPr/>
  </w:style>
  <w:style w:type="character" w:styleId="WW8Num38z0">
    <w:name w:val="WW8Num38z0"/>
    <w:qFormat/>
    <w:rPr>
      <w:rFonts w:ascii="Cambria" w:hAnsi="Cambria" w:cs="Cambria"/>
      <w:b/>
      <w:i w:val="false"/>
      <w:sz w:val="24"/>
      <w:szCs w:val="24"/>
    </w:rPr>
  </w:style>
  <w:style w:type="character" w:styleId="WW8Num40z0">
    <w:name w:val="WW8Num40z0"/>
    <w:qFormat/>
    <w:rPr>
      <w:rFonts w:ascii="Cambria" w:hAnsi="Cambria" w:eastAsia="Times New Roman" w:cs="Calibri"/>
    </w:rPr>
  </w:style>
  <w:style w:type="character" w:styleId="WW8Num40z1">
    <w:name w:val="WW8Num40z1"/>
    <w:qFormat/>
    <w:rPr>
      <w:rFonts w:ascii="Courier New" w:hAnsi="Courier New" w:cs="Courier New"/>
    </w:rPr>
  </w:style>
  <w:style w:type="character" w:styleId="WW8Num40z2">
    <w:name w:val="WW8Num40z2"/>
    <w:qFormat/>
    <w:rPr>
      <w:rFonts w:ascii="Wingdings" w:hAnsi="Wingdings" w:cs="Wingdings"/>
    </w:rPr>
  </w:style>
  <w:style w:type="character" w:styleId="WW8Num40z3">
    <w:name w:val="WW8Num40z3"/>
    <w:qFormat/>
    <w:rPr>
      <w:rFonts w:ascii="Symbol" w:hAnsi="Symbol" w:cs="Symbol"/>
    </w:rPr>
  </w:style>
  <w:style w:type="character" w:styleId="WW8Num41z1">
    <w:name w:val="WW8Num41z1"/>
    <w:qFormat/>
    <w:rPr>
      <w:b/>
    </w:rPr>
  </w:style>
  <w:style w:type="character" w:styleId="WW8Num42z0">
    <w:name w:val="WW8Num42z0"/>
    <w:qFormat/>
    <w:rPr>
      <w:b/>
      <w:bCs/>
    </w:rPr>
  </w:style>
  <w:style w:type="character" w:styleId="WW8Num43z0">
    <w:name w:val="WW8Num43z0"/>
    <w:qFormat/>
    <w:rPr/>
  </w:style>
  <w:style w:type="character" w:styleId="WW8Num43z1">
    <w:name w:val="WW8Num43z1"/>
    <w:qFormat/>
    <w:rPr>
      <w:b/>
      <w:color w:val="000000"/>
    </w:rPr>
  </w:style>
  <w:style w:type="character" w:styleId="WW8Num46z0">
    <w:name w:val="WW8Num46z0"/>
    <w:qFormat/>
    <w:rPr>
      <w:b/>
      <w:bCs/>
    </w:rPr>
  </w:style>
  <w:style w:type="character" w:styleId="WW8Num47z0">
    <w:name w:val="WW8Num47z0"/>
    <w:qFormat/>
    <w:rPr>
      <w:rFonts w:cs="Times New Roman"/>
      <w:b w:val="false"/>
    </w:rPr>
  </w:style>
  <w:style w:type="character" w:styleId="WW8Num47z2">
    <w:name w:val="WW8Num47z2"/>
    <w:qFormat/>
    <w:rPr>
      <w:rFonts w:cs="Times New Roman"/>
    </w:rPr>
  </w:style>
  <w:style w:type="character" w:styleId="WW8Num48z0">
    <w:name w:val="WW8Num48z0"/>
    <w:qFormat/>
    <w:rPr>
      <w:rFonts w:ascii="Cambria" w:hAnsi="Cambria" w:cs="Cambria"/>
      <w:b/>
      <w:sz w:val="24"/>
      <w:szCs w:val="24"/>
    </w:rPr>
  </w:style>
  <w:style w:type="character" w:styleId="Domylnaczcionkaakapitu">
    <w:name w:val="Domyślna czcionka akapitu"/>
    <w:qFormat/>
    <w:rPr/>
  </w:style>
  <w:style w:type="character" w:styleId="Hyperlink">
    <w:name w:val="Hyperlink"/>
    <w:rPr>
      <w:color w:val="0000FF"/>
      <w:u w:val="single"/>
    </w:rPr>
  </w:style>
  <w:style w:type="character" w:styleId="Znakiprzypiswdolnych">
    <w:name w:val="Znaki przypisów dolnych"/>
    <w:qFormat/>
    <w:rPr>
      <w:vertAlign w:val="superscript"/>
    </w:rPr>
  </w:style>
  <w:style w:type="character" w:styleId="s1">
    <w:name w:val="s1"/>
    <w:qFormat/>
    <w:rPr>
      <w:rFonts w:ascii="Times" w:hAnsi="Times" w:cs="Times"/>
      <w:sz w:val="17"/>
      <w:szCs w:val="17"/>
    </w:rPr>
  </w:style>
  <w:style w:type="character" w:styleId="FootnoteCharacters">
    <w:name w:val="Footnote Characters"/>
    <w:qFormat/>
    <w:rPr>
      <w:vertAlign w:val="superscript"/>
    </w:rPr>
  </w:style>
  <w:style w:type="character" w:styleId="NagwekZnak">
    <w:name w:val="Nagłówek Znak"/>
    <w:qFormat/>
    <w:rPr>
      <w:rFonts w:ascii="Calibri" w:hAnsi="Calibri" w:eastAsia="Times New Roman" w:cs="Calibri"/>
      <w:sz w:val="28"/>
      <w:szCs w:val="24"/>
      <w:lang w:eastAsia="zh-CN"/>
    </w:rPr>
  </w:style>
  <w:style w:type="character" w:styleId="StopkaZnak">
    <w:name w:val="Stopka Znak"/>
    <w:qFormat/>
    <w:rPr>
      <w:rFonts w:ascii="Times New Roman" w:hAnsi="Times New Roman" w:eastAsia="Times New Roman" w:cs="Times New Roman"/>
      <w:sz w:val="24"/>
      <w:szCs w:val="20"/>
      <w:lang w:eastAsia="zh-CN"/>
    </w:rPr>
  </w:style>
  <w:style w:type="character" w:styleId="TekstpodstawowywcityZnak">
    <w:name w:val="Tekst podstawowy wcięty Znak"/>
    <w:qFormat/>
    <w:rPr>
      <w:rFonts w:ascii="Calibri" w:hAnsi="Calibri" w:eastAsia="Times New Roman" w:cs="Calibri"/>
      <w:lang w:eastAsia="zh-CN"/>
    </w:rPr>
  </w:style>
  <w:style w:type="character" w:styleId="TekstprzypisudolnegoZnak">
    <w:name w:val="Tekst przypisu dolnego Znak"/>
    <w:qFormat/>
    <w:rPr>
      <w:rFonts w:ascii="Times New Roman" w:hAnsi="Times New Roman" w:eastAsia="Times New Roman" w:cs="Times New Roman"/>
      <w:sz w:val="20"/>
      <w:szCs w:val="20"/>
      <w:lang w:eastAsia="zh-CN"/>
    </w:rPr>
  </w:style>
  <w:style w:type="character" w:styleId="Odwoaniedokomentarza">
    <w:name w:val="Odwołanie do komentarza"/>
    <w:qFormat/>
    <w:rPr>
      <w:sz w:val="18"/>
      <w:szCs w:val="18"/>
    </w:rPr>
  </w:style>
  <w:style w:type="character" w:styleId="TekstkomentarzaZnak">
    <w:name w:val="Tekst komentarza Znak"/>
    <w:qFormat/>
    <w:rPr>
      <w:rFonts w:ascii="Calibri" w:hAnsi="Calibri" w:eastAsia="Times New Roman" w:cs="Calibri"/>
      <w:sz w:val="20"/>
      <w:szCs w:val="20"/>
      <w:lang w:eastAsia="zh-CN"/>
    </w:rPr>
  </w:style>
  <w:style w:type="character" w:styleId="TekstkomentarzaZnak1">
    <w:name w:val="Tekst komentarza Znak1"/>
    <w:qFormat/>
    <w:rPr>
      <w:rFonts w:ascii="Calibri" w:hAnsi="Calibri" w:eastAsia="Times New Roman" w:cs="Times New Roman"/>
      <w:sz w:val="24"/>
      <w:szCs w:val="24"/>
      <w:lang w:eastAsia="zh-CN"/>
    </w:rPr>
  </w:style>
  <w:style w:type="character" w:styleId="TekstpodstawowyZnak">
    <w:name w:val="Tekst podstawowy Znak"/>
    <w:qFormat/>
    <w:rPr>
      <w:rFonts w:ascii="Calibri" w:hAnsi="Calibri" w:eastAsia="Times New Roman" w:cs="Calibri"/>
      <w:lang w:eastAsia="zh-CN"/>
    </w:rPr>
  </w:style>
  <w:style w:type="character" w:styleId="TekstdymkaZnak">
    <w:name w:val="Tekst dymka Znak"/>
    <w:qFormat/>
    <w:rPr>
      <w:rFonts w:ascii="Tahoma" w:hAnsi="Tahoma" w:eastAsia="Times New Roman" w:cs="Tahoma"/>
      <w:sz w:val="16"/>
      <w:szCs w:val="16"/>
      <w:lang w:eastAsia="zh-CN"/>
    </w:rPr>
  </w:style>
  <w:style w:type="character" w:styleId="TematkomentarzaZnak">
    <w:name w:val="Temat komentarza Znak"/>
    <w:qFormat/>
    <w:rPr>
      <w:rFonts w:ascii="Calibri" w:hAnsi="Calibri" w:eastAsia="Times New Roman" w:cs="Calibri"/>
      <w:b/>
      <w:bCs/>
      <w:sz w:val="20"/>
      <w:szCs w:val="20"/>
      <w:lang w:eastAsia="zh-CN"/>
    </w:rPr>
  </w:style>
  <w:style w:type="character" w:styleId="AkapitzlistZnak">
    <w:name w:val="Akapit z listą Znak"/>
    <w:qFormat/>
    <w:rPr>
      <w:rFonts w:ascii="Calibri" w:hAnsi="Calibri" w:eastAsia="Calibri" w:cs="Times New Roman"/>
      <w:sz w:val="24"/>
      <w:szCs w:val="24"/>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z w:val="28"/>
      <w:szCs w:val="24"/>
    </w:rPr>
  </w:style>
  <w:style w:type="paragraph" w:styleId="Footer">
    <w:name w:val="footer"/>
    <w:basedOn w:val="Normal"/>
    <w:pPr>
      <w:spacing w:lineRule="auto" w:line="240" w:before="0" w:after="0"/>
    </w:pPr>
    <w:rPr>
      <w:rFonts w:ascii="Times New Roman" w:hAnsi="Times New Roman" w:cs="Times New Roman"/>
      <w:sz w:val="24"/>
      <w:szCs w:val="20"/>
    </w:rPr>
  </w:style>
  <w:style w:type="paragraph" w:styleId="Default">
    <w:name w:val="Default"/>
    <w:qFormat/>
    <w:pPr>
      <w:widowControl w:val="false"/>
      <w:suppressAutoHyphens w:val="true"/>
      <w:autoSpaceDE w:val="false"/>
      <w:bidi w:val="0"/>
    </w:pPr>
    <w:rPr>
      <w:rFonts w:ascii="Times New Roman" w:hAnsi="Times New Roman" w:eastAsia="Times New Roman" w:cs="Times New Roman"/>
      <w:color w:val="000000"/>
      <w:sz w:val="24"/>
      <w:szCs w:val="20"/>
      <w:lang w:val="pl-PL" w:eastAsia="zh-CN" w:bidi="ar-SA"/>
    </w:rPr>
  </w:style>
  <w:style w:type="paragraph" w:styleId="Jasnasiatkaakcent31">
    <w:name w:val="Jasna siatka — akcent 31"/>
    <w:basedOn w:val="Normal"/>
    <w:qFormat/>
    <w:pPr>
      <w:spacing w:before="0" w:after="200"/>
      <w:ind w:hanging="0" w:left="720" w:right="0"/>
      <w:contextualSpacing/>
    </w:pPr>
    <w:rPr>
      <w:rFonts w:eastAsia="Calibri"/>
    </w:rPr>
  </w:style>
  <w:style w:type="paragraph" w:styleId="BodyTextIndent">
    <w:name w:val="Body Text Indent"/>
    <w:basedOn w:val="Normal"/>
    <w:pPr>
      <w:spacing w:before="0" w:after="120"/>
      <w:ind w:hanging="0" w:left="283" w:right="0"/>
    </w:pPr>
    <w:rPr/>
  </w:style>
  <w:style w:type="paragraph" w:styleId="FootnoteText">
    <w:name w:val="footnote text"/>
    <w:basedOn w:val="Normal"/>
    <w:pPr>
      <w:spacing w:lineRule="auto" w:line="240" w:before="0" w:after="0"/>
    </w:pPr>
    <w:rPr>
      <w:rFonts w:ascii="Times New Roman" w:hAnsi="Times New Roman" w:cs="Times New Roman"/>
      <w:sz w:val="20"/>
      <w:szCs w:val="20"/>
    </w:rPr>
  </w:style>
  <w:style w:type="paragraph" w:styleId="p2">
    <w:name w:val="p2"/>
    <w:basedOn w:val="Normal"/>
    <w:qFormat/>
    <w:pPr>
      <w:spacing w:lineRule="auto" w:line="240" w:before="0" w:after="0"/>
    </w:pPr>
    <w:rPr>
      <w:rFonts w:ascii="Helvetica" w:hAnsi="Helvetica" w:cs="Helvetica"/>
      <w:sz w:val="17"/>
      <w:szCs w:val="17"/>
    </w:rPr>
  </w:style>
  <w:style w:type="paragraph" w:styleId="Standardowy2">
    <w:name w:val="Standardowy2"/>
    <w:qFormat/>
    <w:pPr>
      <w:widowControl/>
      <w:suppressAutoHyphens w:val="true"/>
      <w:bidi w:val="0"/>
    </w:pPr>
    <w:rPr>
      <w:rFonts w:ascii="Times New Roman" w:hAnsi="Times New Roman" w:eastAsia="Times New Roman" w:cs="Mangal"/>
      <w:color w:val="auto"/>
      <w:sz w:val="20"/>
      <w:szCs w:val="20"/>
      <w:lang w:val="pl-PL" w:eastAsia="zh-CN" w:bidi="hi-IN"/>
    </w:rPr>
  </w:style>
  <w:style w:type="paragraph" w:styleId="redniasiatka1akcent21">
    <w:name w:val="Średnia siatka 1 — akcent 21"/>
    <w:basedOn w:val="Normal"/>
    <w:qFormat/>
    <w:pPr>
      <w:spacing w:lineRule="auto" w:line="252" w:before="20" w:after="40"/>
      <w:ind w:hanging="0" w:left="720" w:right="0"/>
      <w:contextualSpacing/>
      <w:jc w:val="both"/>
    </w:pPr>
    <w:rPr>
      <w:rFonts w:eastAsia="SimSun;宋体"/>
      <w:sz w:val="20"/>
      <w:szCs w:val="20"/>
    </w:rPr>
  </w:style>
  <w:style w:type="paragraph" w:styleId="Tekstkomentarza">
    <w:name w:val="Tekst komentarza"/>
    <w:basedOn w:val="Normal"/>
    <w:qFormat/>
    <w:pPr/>
    <w:rPr>
      <w:rFonts w:cs="Times New Roman"/>
      <w:sz w:val="24"/>
      <w:szCs w:val="24"/>
    </w:rPr>
  </w:style>
  <w:style w:type="paragraph" w:styleId="Akapitzlist">
    <w:name w:val="Akapit z listą"/>
    <w:basedOn w:val="Normal"/>
    <w:qFormat/>
    <w:pPr>
      <w:suppressAutoHyphens w:val="false"/>
      <w:spacing w:lineRule="auto" w:line="240" w:before="0" w:after="0"/>
      <w:ind w:hanging="0" w:left="720" w:right="0"/>
      <w:contextualSpacing/>
    </w:pPr>
    <w:rPr>
      <w:rFonts w:eastAsia="Calibri" w:cs="Times New Roman"/>
      <w:sz w:val="24"/>
      <w:szCs w:val="24"/>
    </w:rPr>
  </w:style>
  <w:style w:type="paragraph" w:styleId="Tekstdymka">
    <w:name w:val="Tekst dymka"/>
    <w:basedOn w:val="Normal"/>
    <w:qFormat/>
    <w:pPr>
      <w:spacing w:lineRule="auto" w:line="240" w:before="0" w:after="0"/>
    </w:pPr>
    <w:rPr>
      <w:rFonts w:ascii="Tahoma" w:hAnsi="Tahoma" w:cs="Tahoma"/>
      <w:sz w:val="16"/>
      <w:szCs w:val="16"/>
    </w:rPr>
  </w:style>
  <w:style w:type="paragraph" w:styleId="Tematkomentarza">
    <w:name w:val="Temat komentarza"/>
    <w:basedOn w:val="Tekstkomentarza"/>
    <w:next w:val="Tekstkomentarza"/>
    <w:qFormat/>
    <w:pPr>
      <w:spacing w:lineRule="auto" w:line="240"/>
    </w:pPr>
    <w:rPr>
      <w:rFonts w:cs="Calibri"/>
      <w:b/>
      <w:bCs/>
      <w:sz w:val="20"/>
      <w:szCs w:val="20"/>
    </w:rPr>
  </w:style>
  <w:style w:type="paragraph" w:styleId="Nagwek2">
    <w:name w:val="Nagłówek2"/>
    <w:basedOn w:val="Normal"/>
    <w:next w:val="BodyText"/>
    <w:qFormat/>
    <w:pPr>
      <w:suppressAutoHyphens w:val="false"/>
      <w:spacing w:lineRule="auto" w:line="240" w:before="0" w:after="0"/>
      <w:jc w:val="center"/>
    </w:pPr>
    <w:rPr>
      <w:rFonts w:ascii="Times New Roman" w:hAnsi="Times New Roman" w:cs="Times New Roman"/>
      <w:sz w:val="24"/>
      <w:szCs w:val="24"/>
    </w:rPr>
  </w:style>
  <w:style w:type="paragraph" w:styleId="Poprawka">
    <w:name w:val="Poprawka"/>
    <w:qFormat/>
    <w:pPr>
      <w:widowControl/>
      <w:bidi w:val="0"/>
    </w:pPr>
    <w:rPr>
      <w:rFonts w:ascii="Calibri" w:hAnsi="Calibri" w:eastAsia="Times New Roman" w:cs="Calibri"/>
      <w:color w:val="auto"/>
      <w:sz w:val="22"/>
      <w:szCs w:val="22"/>
      <w:lang w:val="pl-PL"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etargi@miedzyrzecgmina.pl"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131</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2024-10-11T11:53:00Z</dcterms:created>
  <dc:creator>Robert Słowikowski</dc:creator>
  <dc:description/>
  <cp:keywords/>
  <dc:language>en-US</dc:language>
  <cp:lastModifiedBy>Szymon Lejawka</cp:lastModifiedBy>
  <cp:lastPrinted>2024-10-11T10:50:00Z</cp:lastPrinted>
  <dcterms:modified xsi:type="dcterms:W3CDTF">2026-07-30T06:22:00Z</dcterms:modified>
  <cp:revision>9</cp:revision>
  <dc:subject/>
  <dc:title>Projekt umowy - dostawa urządzeń AoIP - zapisy KSeF</dc:title>
</cp:coreProperties>
</file>