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535C6" w14:textId="77777777" w:rsidR="008F3672" w:rsidRPr="008C65F9" w:rsidRDefault="008F3672" w:rsidP="004A58EC">
      <w:pPr>
        <w:spacing w:after="120" w:line="276" w:lineRule="auto"/>
        <w:contextualSpacing/>
        <w:jc w:val="center"/>
        <w:rPr>
          <w:rFonts w:cstheme="minorHAnsi"/>
          <w:b/>
          <w:bCs/>
        </w:rPr>
      </w:pPr>
      <w:r w:rsidRPr="008C65F9">
        <w:rPr>
          <w:rFonts w:cstheme="minorHAnsi"/>
          <w:b/>
          <w:bCs/>
        </w:rPr>
        <w:t>OPIS PRZEDMIOTU ZAMÓWIENIA</w:t>
      </w:r>
    </w:p>
    <w:p w14:paraId="480DBE30" w14:textId="77777777" w:rsidR="007F3B5B" w:rsidRPr="008C65F9" w:rsidRDefault="007F3B5B" w:rsidP="00FA1230">
      <w:pPr>
        <w:spacing w:after="120" w:line="276" w:lineRule="auto"/>
        <w:contextualSpacing/>
        <w:jc w:val="both"/>
        <w:rPr>
          <w:rFonts w:cstheme="minorHAnsi"/>
        </w:rPr>
      </w:pPr>
    </w:p>
    <w:p w14:paraId="3FD255CB" w14:textId="73AE7F6B" w:rsidR="008F3672" w:rsidRPr="008C65F9" w:rsidRDefault="008F3672" w:rsidP="00FA1230">
      <w:pPr>
        <w:spacing w:after="120" w:line="276" w:lineRule="auto"/>
        <w:contextualSpacing/>
        <w:jc w:val="both"/>
        <w:rPr>
          <w:rFonts w:cstheme="minorHAnsi"/>
        </w:rPr>
      </w:pPr>
      <w:r w:rsidRPr="008C65F9">
        <w:rPr>
          <w:rFonts w:cstheme="minorHAnsi"/>
        </w:rPr>
        <w:t>Przedmiotem zamówienia jest dostawa fabrycznie nowych (niepochodzących z rynku wtórnego) urządzeń do obsługi sieci typu Audio-</w:t>
      </w:r>
      <w:proofErr w:type="spellStart"/>
      <w:r w:rsidRPr="008C65F9">
        <w:rPr>
          <w:rFonts w:cstheme="minorHAnsi"/>
        </w:rPr>
        <w:t>over</w:t>
      </w:r>
      <w:proofErr w:type="spellEnd"/>
      <w:r w:rsidRPr="008C65F9">
        <w:rPr>
          <w:rFonts w:cstheme="minorHAnsi"/>
        </w:rPr>
        <w:t>-IP</w:t>
      </w:r>
      <w:r w:rsidR="007F3B5B" w:rsidRPr="008C65F9">
        <w:rPr>
          <w:rFonts w:cstheme="minorHAnsi"/>
        </w:rPr>
        <w:t xml:space="preserve"> (</w:t>
      </w:r>
      <w:proofErr w:type="spellStart"/>
      <w:r w:rsidR="007F3B5B" w:rsidRPr="008C65F9">
        <w:rPr>
          <w:rFonts w:cstheme="minorHAnsi"/>
        </w:rPr>
        <w:t>AoIP</w:t>
      </w:r>
      <w:proofErr w:type="spellEnd"/>
      <w:r w:rsidR="007F3B5B" w:rsidRPr="008C65F9">
        <w:rPr>
          <w:rFonts w:cstheme="minorHAnsi"/>
        </w:rPr>
        <w:t>)</w:t>
      </w:r>
      <w:r w:rsidRPr="008C65F9">
        <w:rPr>
          <w:rFonts w:cstheme="minorHAnsi"/>
        </w:rPr>
        <w:t>, wraz z niezbędnym oprogramowaniem, licencjami, okablowaniem i akcesoriami. Zamawiający dopuszcza składanie ofert częściowych na jedną lub więcej części.</w:t>
      </w:r>
    </w:p>
    <w:p w14:paraId="62B0338A" w14:textId="77777777" w:rsidR="00603280" w:rsidRDefault="00603280" w:rsidP="00FA1230">
      <w:pPr>
        <w:spacing w:after="120" w:line="276" w:lineRule="auto"/>
        <w:contextualSpacing/>
        <w:jc w:val="both"/>
        <w:rPr>
          <w:rFonts w:cstheme="minorHAnsi"/>
        </w:rPr>
      </w:pPr>
    </w:p>
    <w:p w14:paraId="347DEB7F" w14:textId="1A524F12" w:rsidR="008F3672" w:rsidRPr="008C65F9" w:rsidRDefault="008F3672" w:rsidP="00FA1230">
      <w:pPr>
        <w:spacing w:after="120" w:line="276" w:lineRule="auto"/>
        <w:contextualSpacing/>
        <w:jc w:val="both"/>
        <w:rPr>
          <w:rFonts w:cstheme="minorHAnsi"/>
        </w:rPr>
      </w:pPr>
      <w:r w:rsidRPr="008C65F9">
        <w:rPr>
          <w:rFonts w:cstheme="minorHAnsi"/>
        </w:rPr>
        <w:t>Kody CPV:</w:t>
      </w:r>
    </w:p>
    <w:p w14:paraId="5DE4E684" w14:textId="77777777" w:rsidR="003431D5" w:rsidRPr="008C65F9" w:rsidRDefault="003431D5" w:rsidP="00FA1230">
      <w:pPr>
        <w:spacing w:after="120" w:line="276" w:lineRule="auto"/>
        <w:contextualSpacing/>
        <w:jc w:val="both"/>
        <w:rPr>
          <w:rFonts w:cstheme="minorHAnsi"/>
        </w:rPr>
      </w:pPr>
    </w:p>
    <w:p w14:paraId="5DC0294D" w14:textId="77777777" w:rsidR="008F3672" w:rsidRPr="008C65F9" w:rsidRDefault="008F3672" w:rsidP="00FA1230">
      <w:pPr>
        <w:spacing w:after="120" w:line="276" w:lineRule="auto"/>
        <w:ind w:left="360"/>
        <w:jc w:val="both"/>
        <w:rPr>
          <w:rFonts w:cstheme="minorHAnsi"/>
        </w:rPr>
      </w:pPr>
      <w:r w:rsidRPr="008C65F9">
        <w:rPr>
          <w:rFonts w:cstheme="minorHAnsi"/>
        </w:rPr>
        <w:t>32342410-9 Sprzęt dźwiękowy</w:t>
      </w:r>
    </w:p>
    <w:p w14:paraId="2FFD485D" w14:textId="77777777" w:rsidR="008F3672" w:rsidRPr="008C65F9" w:rsidRDefault="008F3672" w:rsidP="00FA1230">
      <w:pPr>
        <w:spacing w:after="120" w:line="276" w:lineRule="auto"/>
        <w:ind w:left="360"/>
        <w:jc w:val="both"/>
        <w:rPr>
          <w:rFonts w:cstheme="minorHAnsi"/>
        </w:rPr>
      </w:pPr>
      <w:r w:rsidRPr="008C65F9">
        <w:rPr>
          <w:rFonts w:cstheme="minorHAnsi"/>
        </w:rPr>
        <w:t>32351300-1 Akcesoria do urządzeń audio</w:t>
      </w:r>
    </w:p>
    <w:p w14:paraId="22CDE603" w14:textId="77777777" w:rsidR="008F3672" w:rsidRPr="008C65F9" w:rsidRDefault="008F3672" w:rsidP="00FA1230">
      <w:pPr>
        <w:spacing w:after="120" w:line="276" w:lineRule="auto"/>
        <w:ind w:left="360"/>
        <w:jc w:val="both"/>
        <w:rPr>
          <w:rFonts w:cstheme="minorHAnsi"/>
        </w:rPr>
      </w:pPr>
      <w:r w:rsidRPr="008C65F9">
        <w:rPr>
          <w:rFonts w:cstheme="minorHAnsi"/>
        </w:rPr>
        <w:t>32340000-8 Mikrofony i głośniki</w:t>
      </w:r>
    </w:p>
    <w:p w14:paraId="4FFDCCD7" w14:textId="77777777" w:rsidR="008F3672" w:rsidRPr="008C65F9" w:rsidRDefault="008F3672" w:rsidP="00FA1230">
      <w:pPr>
        <w:spacing w:after="120" w:line="276" w:lineRule="auto"/>
        <w:ind w:left="360"/>
        <w:jc w:val="both"/>
        <w:rPr>
          <w:rFonts w:cstheme="minorHAnsi"/>
        </w:rPr>
      </w:pPr>
      <w:r w:rsidRPr="008C65F9">
        <w:rPr>
          <w:rFonts w:cstheme="minorHAnsi"/>
        </w:rPr>
        <w:t>38710000-5 Liczniki czasu</w:t>
      </w:r>
    </w:p>
    <w:p w14:paraId="56A84672" w14:textId="77777777" w:rsidR="008F3672" w:rsidRPr="008C65F9" w:rsidRDefault="008F3672" w:rsidP="00FA1230">
      <w:pPr>
        <w:spacing w:after="120" w:line="276" w:lineRule="auto"/>
        <w:contextualSpacing/>
        <w:jc w:val="both"/>
        <w:rPr>
          <w:rFonts w:cstheme="minorHAnsi"/>
        </w:rPr>
      </w:pPr>
    </w:p>
    <w:p w14:paraId="10A3644D" w14:textId="674CCDD0" w:rsidR="008F3672" w:rsidRPr="008C65F9" w:rsidRDefault="008F3672" w:rsidP="00FA1230">
      <w:pPr>
        <w:spacing w:after="120" w:line="276" w:lineRule="auto"/>
        <w:contextualSpacing/>
        <w:jc w:val="both"/>
        <w:rPr>
          <w:rFonts w:cstheme="minorHAnsi"/>
        </w:rPr>
      </w:pPr>
      <w:r w:rsidRPr="008C65F9">
        <w:rPr>
          <w:rFonts w:cstheme="minorHAnsi"/>
        </w:rPr>
        <w:t xml:space="preserve">Wymagania </w:t>
      </w:r>
      <w:r w:rsidR="00A6484E" w:rsidRPr="008C65F9">
        <w:rPr>
          <w:rFonts w:cstheme="minorHAnsi"/>
        </w:rPr>
        <w:t xml:space="preserve">i zapisy </w:t>
      </w:r>
      <w:r w:rsidRPr="008C65F9">
        <w:rPr>
          <w:rFonts w:cstheme="minorHAnsi"/>
        </w:rPr>
        <w:t>ogólne dla wszystkich części:</w:t>
      </w:r>
    </w:p>
    <w:p w14:paraId="674B8C20" w14:textId="7401865F" w:rsidR="008F3672" w:rsidRPr="008C65F9" w:rsidRDefault="008F3672" w:rsidP="00FA1230">
      <w:pPr>
        <w:pStyle w:val="Akapitzlist"/>
        <w:numPr>
          <w:ilvl w:val="0"/>
          <w:numId w:val="1"/>
        </w:numPr>
        <w:spacing w:after="120" w:line="276" w:lineRule="auto"/>
        <w:jc w:val="both"/>
        <w:rPr>
          <w:rFonts w:cstheme="minorHAnsi"/>
        </w:rPr>
      </w:pPr>
      <w:r w:rsidRPr="008C65F9">
        <w:rPr>
          <w:rFonts w:cstheme="minorHAnsi"/>
        </w:rPr>
        <w:t>Wszystkie urządzenia fabrycznie nowe, z bieżącej produkcji.</w:t>
      </w:r>
    </w:p>
    <w:p w14:paraId="584BA3A1" w14:textId="2A88E919" w:rsidR="008F3672" w:rsidRPr="008C65F9" w:rsidRDefault="008F3672" w:rsidP="00FA1230">
      <w:pPr>
        <w:pStyle w:val="Akapitzlist"/>
        <w:numPr>
          <w:ilvl w:val="0"/>
          <w:numId w:val="1"/>
        </w:numPr>
        <w:spacing w:after="120" w:line="276" w:lineRule="auto"/>
        <w:jc w:val="both"/>
        <w:rPr>
          <w:rFonts w:cstheme="minorHAnsi"/>
        </w:rPr>
      </w:pPr>
      <w:r w:rsidRPr="008C65F9">
        <w:rPr>
          <w:rFonts w:cstheme="minorHAnsi"/>
        </w:rPr>
        <w:t>Gwarancja producenta lub dystrybutora min. 24 miesiące, obejmująca nieodpłatne aktualizacje oprogramowania układowego (</w:t>
      </w:r>
      <w:proofErr w:type="spellStart"/>
      <w:r w:rsidRPr="008C65F9">
        <w:rPr>
          <w:rFonts w:cstheme="minorHAnsi"/>
        </w:rPr>
        <w:t>firmware</w:t>
      </w:r>
      <w:proofErr w:type="spellEnd"/>
      <w:r w:rsidRPr="008C65F9">
        <w:rPr>
          <w:rFonts w:cstheme="minorHAnsi"/>
        </w:rPr>
        <w:t>) i sterowników w okresie gwarancji oraz wsparcie techniczne.</w:t>
      </w:r>
    </w:p>
    <w:p w14:paraId="68D148ED" w14:textId="323812DD" w:rsidR="008F3672" w:rsidRPr="008C65F9" w:rsidRDefault="008F3672" w:rsidP="00FA1230">
      <w:pPr>
        <w:pStyle w:val="Akapitzlist"/>
        <w:numPr>
          <w:ilvl w:val="0"/>
          <w:numId w:val="1"/>
        </w:numPr>
        <w:spacing w:after="120" w:line="276" w:lineRule="auto"/>
        <w:jc w:val="both"/>
        <w:rPr>
          <w:rFonts w:cstheme="minorHAnsi"/>
        </w:rPr>
      </w:pPr>
      <w:r w:rsidRPr="008C65F9">
        <w:rPr>
          <w:rFonts w:cstheme="minorHAnsi"/>
        </w:rPr>
        <w:t>Wykonawca dostarcza wszystkie licencje i oprogramowanie niezbędne do uzyskania wymaganej funkcjonalności.</w:t>
      </w:r>
    </w:p>
    <w:p w14:paraId="3FE7AC73" w14:textId="0C443590" w:rsidR="008F3672" w:rsidRPr="008C65F9" w:rsidRDefault="008F3672" w:rsidP="00FA1230">
      <w:pPr>
        <w:pStyle w:val="Akapitzlist"/>
        <w:numPr>
          <w:ilvl w:val="0"/>
          <w:numId w:val="1"/>
        </w:numPr>
        <w:spacing w:after="120" w:line="276" w:lineRule="auto"/>
        <w:jc w:val="both"/>
        <w:rPr>
          <w:rFonts w:cstheme="minorHAnsi"/>
        </w:rPr>
      </w:pPr>
      <w:r w:rsidRPr="008C65F9">
        <w:rPr>
          <w:rFonts w:cstheme="minorHAnsi"/>
        </w:rPr>
        <w:t>Dopuszcza się rozwiązania równoważne spełniające wszystkie wymagania minimalne określone poniżej; wykazanie równoważności spoczywa na Wykonawcy.</w:t>
      </w:r>
    </w:p>
    <w:p w14:paraId="711C519E" w14:textId="77777777" w:rsidR="00FA1230" w:rsidRPr="008C65F9" w:rsidRDefault="00FA1230" w:rsidP="00FA1230">
      <w:pPr>
        <w:pStyle w:val="Akapitzlist"/>
        <w:numPr>
          <w:ilvl w:val="0"/>
          <w:numId w:val="1"/>
        </w:numPr>
        <w:spacing w:after="120" w:line="276" w:lineRule="auto"/>
        <w:jc w:val="both"/>
        <w:rPr>
          <w:rFonts w:cstheme="minorHAnsi"/>
        </w:rPr>
      </w:pPr>
      <w:r w:rsidRPr="008C65F9">
        <w:rPr>
          <w:rFonts w:cstheme="minorHAnsi"/>
        </w:rPr>
        <w:t xml:space="preserve">Wskazanie protokołów Dante, </w:t>
      </w:r>
      <w:proofErr w:type="spellStart"/>
      <w:r w:rsidRPr="008C65F9">
        <w:rPr>
          <w:rFonts w:cstheme="minorHAnsi"/>
        </w:rPr>
        <w:t>SoundGrid</w:t>
      </w:r>
      <w:proofErr w:type="spellEnd"/>
      <w:r w:rsidRPr="008C65F9">
        <w:rPr>
          <w:rFonts w:cstheme="minorHAnsi"/>
        </w:rPr>
        <w:t xml:space="preserve">, RAVENNA i </w:t>
      </w:r>
      <w:proofErr w:type="spellStart"/>
      <w:r w:rsidRPr="008C65F9">
        <w:rPr>
          <w:rFonts w:cstheme="minorHAnsi"/>
        </w:rPr>
        <w:t>Livewire</w:t>
      </w:r>
      <w:proofErr w:type="spellEnd"/>
      <w:r w:rsidRPr="008C65F9">
        <w:rPr>
          <w:rFonts w:cstheme="minorHAnsi"/>
        </w:rPr>
        <w:t>+ wynika z konieczności zapewnienia współpracy z istniejącą infrastrukturą Zamawiającego. Dopuszcza się realizację wymaganych funkcji przez urządzenie lub zestaw urządzeń wykorzystujący inne protokoły oraz dedykowane sprzętowe konwertery, pod warunkiem spełnienia przez oferowany zestaw, na jego zewnętrznych interfejsach, wszystkich poniższych kryteriów interoperacyjności:</w:t>
      </w:r>
    </w:p>
    <w:p w14:paraId="0D44A99A" w14:textId="11192893" w:rsidR="00FA1230" w:rsidRPr="008C65F9" w:rsidRDefault="00FA1230" w:rsidP="00FA1230">
      <w:pPr>
        <w:pStyle w:val="Akapitzlist"/>
        <w:numPr>
          <w:ilvl w:val="1"/>
          <w:numId w:val="1"/>
        </w:numPr>
        <w:spacing w:after="120" w:line="276" w:lineRule="auto"/>
        <w:jc w:val="both"/>
        <w:rPr>
          <w:rFonts w:cstheme="minorHAnsi"/>
        </w:rPr>
      </w:pPr>
      <w:r w:rsidRPr="008C65F9">
        <w:rPr>
          <w:rFonts w:cstheme="minorHAnsi"/>
        </w:rPr>
        <w:t xml:space="preserve">dla połączeń Dante - obecność wymaganych kanałów nadawczych i odbiorczych w Dante Controller, możliwość routingu z urządzeniami Dante posiadanymi przez Zamawiającego oraz możliwość realizacji wszystkich wymaganych połączeń w trybie </w:t>
      </w:r>
      <w:proofErr w:type="spellStart"/>
      <w:r w:rsidRPr="008C65F9">
        <w:rPr>
          <w:rFonts w:cstheme="minorHAnsi"/>
        </w:rPr>
        <w:t>unicast</w:t>
      </w:r>
      <w:proofErr w:type="spellEnd"/>
      <w:r w:rsidRPr="008C65F9">
        <w:rPr>
          <w:rFonts w:cstheme="minorHAnsi"/>
        </w:rPr>
        <w:t>;</w:t>
      </w:r>
    </w:p>
    <w:p w14:paraId="0B57CAFF" w14:textId="698D3BCD" w:rsidR="00FA1230" w:rsidRPr="008C65F9" w:rsidRDefault="00FA1230" w:rsidP="00FA1230">
      <w:pPr>
        <w:pStyle w:val="Akapitzlist"/>
        <w:numPr>
          <w:ilvl w:val="1"/>
          <w:numId w:val="1"/>
        </w:numPr>
        <w:spacing w:after="120" w:line="276" w:lineRule="auto"/>
        <w:jc w:val="both"/>
        <w:rPr>
          <w:rFonts w:cstheme="minorHAnsi"/>
        </w:rPr>
      </w:pPr>
      <w:r w:rsidRPr="008C65F9">
        <w:rPr>
          <w:rFonts w:cstheme="minorHAnsi"/>
        </w:rPr>
        <w:t xml:space="preserve">dla połączeń </w:t>
      </w:r>
      <w:proofErr w:type="spellStart"/>
      <w:r w:rsidRPr="008C65F9">
        <w:rPr>
          <w:rFonts w:cstheme="minorHAnsi"/>
        </w:rPr>
        <w:t>SoundGrid</w:t>
      </w:r>
      <w:proofErr w:type="spellEnd"/>
      <w:r w:rsidRPr="008C65F9">
        <w:rPr>
          <w:rFonts w:cstheme="minorHAnsi"/>
        </w:rPr>
        <w:t xml:space="preserve"> - wykrywanie i routing wymaganych kanałów przez używane przez Zamawiającego systemy </w:t>
      </w:r>
      <w:proofErr w:type="spellStart"/>
      <w:r w:rsidRPr="008C65F9">
        <w:rPr>
          <w:rFonts w:cstheme="minorHAnsi"/>
        </w:rPr>
        <w:t>Waves</w:t>
      </w:r>
      <w:proofErr w:type="spellEnd"/>
      <w:r w:rsidRPr="008C65F9">
        <w:rPr>
          <w:rFonts w:cstheme="minorHAnsi"/>
        </w:rPr>
        <w:t xml:space="preserve"> LV1 i </w:t>
      </w:r>
      <w:proofErr w:type="spellStart"/>
      <w:r w:rsidRPr="008C65F9">
        <w:rPr>
          <w:rFonts w:cstheme="minorHAnsi"/>
        </w:rPr>
        <w:t>SuperRack</w:t>
      </w:r>
      <w:proofErr w:type="spellEnd"/>
      <w:r w:rsidRPr="008C65F9">
        <w:rPr>
          <w:rFonts w:cstheme="minorHAnsi"/>
        </w:rPr>
        <w:t>;</w:t>
      </w:r>
    </w:p>
    <w:p w14:paraId="42134FB6" w14:textId="306FF8E9" w:rsidR="00FA1230" w:rsidRPr="008C65F9" w:rsidRDefault="00FA1230" w:rsidP="00FA1230">
      <w:pPr>
        <w:pStyle w:val="Akapitzlist"/>
        <w:numPr>
          <w:ilvl w:val="1"/>
          <w:numId w:val="1"/>
        </w:numPr>
        <w:spacing w:after="120" w:line="276" w:lineRule="auto"/>
        <w:jc w:val="both"/>
        <w:rPr>
          <w:rFonts w:cstheme="minorHAnsi"/>
        </w:rPr>
      </w:pPr>
      <w:r w:rsidRPr="008C65F9">
        <w:rPr>
          <w:rFonts w:cstheme="minorHAnsi"/>
        </w:rPr>
        <w:t xml:space="preserve">dla połączeń RAVENNA - dwukierunkowa transmisja zgodna z wymaganiami AES67 oraz możliwość ustawienia po stronie odbiorczej bufora transmisyjnego co najmniej </w:t>
      </w:r>
      <w:r w:rsidR="00895A1A">
        <w:rPr>
          <w:rFonts w:cstheme="minorHAnsi"/>
        </w:rPr>
        <w:t>150</w:t>
      </w:r>
      <w:r w:rsidRPr="008C65F9">
        <w:rPr>
          <w:rFonts w:cstheme="minorHAnsi"/>
        </w:rPr>
        <w:t xml:space="preserve"> ms dla połączenia WAN między zestawami określonymi w Części I pkt 2 i pkt 4;</w:t>
      </w:r>
    </w:p>
    <w:p w14:paraId="79E5BFFF" w14:textId="79D28FEA" w:rsidR="00FA1230" w:rsidRPr="008C65F9" w:rsidRDefault="00FA1230" w:rsidP="00FA1230">
      <w:pPr>
        <w:pStyle w:val="Akapitzlist"/>
        <w:numPr>
          <w:ilvl w:val="1"/>
          <w:numId w:val="1"/>
        </w:numPr>
        <w:spacing w:after="120" w:line="276" w:lineRule="auto"/>
        <w:jc w:val="both"/>
        <w:rPr>
          <w:rFonts w:cstheme="minorHAnsi"/>
        </w:rPr>
      </w:pPr>
      <w:r w:rsidRPr="008C65F9">
        <w:rPr>
          <w:rFonts w:cstheme="minorHAnsi"/>
        </w:rPr>
        <w:lastRenderedPageBreak/>
        <w:t xml:space="preserve">Dopuszcza się dedykowane sprzętowe konwertery </w:t>
      </w:r>
      <w:r w:rsidR="00603280">
        <w:rPr>
          <w:rFonts w:cstheme="minorHAnsi"/>
        </w:rPr>
        <w:t>(</w:t>
      </w:r>
      <w:r w:rsidRPr="008C65F9">
        <w:rPr>
          <w:rFonts w:cstheme="minorHAnsi"/>
        </w:rPr>
        <w:t>wliczane do dopuszczalnej liczby urządzeń zestawu</w:t>
      </w:r>
      <w:r w:rsidR="00603280">
        <w:rPr>
          <w:rFonts w:cstheme="minorHAnsi"/>
        </w:rPr>
        <w:t>)</w:t>
      </w:r>
      <w:r w:rsidR="00603280" w:rsidRPr="00603280">
        <w:rPr>
          <w:rFonts w:cstheme="minorHAnsi"/>
        </w:rPr>
        <w:t>, pod warunkiem, że transmisja między urządzeniami zestawu odbywa się bez konwersji sygnału do postaci analogowej i bez wykorzystania komputera ogólnego przeznaczenia jako aktywnego mostu audio.</w:t>
      </w:r>
    </w:p>
    <w:p w14:paraId="6B4A3E53" w14:textId="7C22D18F" w:rsidR="00895A1A" w:rsidRPr="00895A1A" w:rsidRDefault="00895A1A" w:rsidP="00895A1A">
      <w:pPr>
        <w:pStyle w:val="Akapitzlist"/>
        <w:numPr>
          <w:ilvl w:val="0"/>
          <w:numId w:val="1"/>
        </w:numPr>
        <w:spacing w:after="120" w:line="276" w:lineRule="auto"/>
        <w:jc w:val="both"/>
        <w:rPr>
          <w:rFonts w:cstheme="minorHAnsi"/>
        </w:rPr>
      </w:pPr>
      <w:r w:rsidRPr="00895A1A">
        <w:rPr>
          <w:rFonts w:cstheme="minorHAnsi"/>
        </w:rPr>
        <w:t>Wykonawca wykazuje spełnienie wymagań i równoważność zaoferowanego rozwiązania za pomocą tabeli zgodności z OPZ, schematu blokowego kompletnego zestawu oraz dokumentacji technicznej producentów. Dokumenty te</w:t>
      </w:r>
      <w:r>
        <w:rPr>
          <w:rFonts w:cstheme="minorHAnsi"/>
        </w:rPr>
        <w:t xml:space="preserve"> należy dostarczyć w formie załącznika do oferty</w:t>
      </w:r>
      <w:r w:rsidRPr="00895A1A">
        <w:rPr>
          <w:rFonts w:cstheme="minorHAnsi"/>
        </w:rPr>
        <w:t>. Zamawiający może na etapie badania i oceny ofert zażądać demonstracji, próbki albo testu interoperacyjności w warunkach określonych w SWZ. Testy odbiorcze po dostawie potwierdzają zgodność dostarczonego zestawu, ale nie zastępują wykazania zgodności oferty na etapie postępowania</w:t>
      </w:r>
      <w:r>
        <w:rPr>
          <w:rFonts w:cstheme="minorHAnsi"/>
        </w:rPr>
        <w:t>.</w:t>
      </w:r>
    </w:p>
    <w:p w14:paraId="5A4AB2CA" w14:textId="4F1ECA78" w:rsidR="00FA1230" w:rsidRDefault="00FA1230" w:rsidP="00895A1A">
      <w:pPr>
        <w:pStyle w:val="Akapitzlist"/>
        <w:numPr>
          <w:ilvl w:val="0"/>
          <w:numId w:val="1"/>
        </w:numPr>
        <w:spacing w:after="120" w:line="276" w:lineRule="auto"/>
        <w:jc w:val="both"/>
        <w:rPr>
          <w:rFonts w:cstheme="minorHAnsi"/>
        </w:rPr>
      </w:pPr>
      <w:r w:rsidRPr="008C65F9">
        <w:rPr>
          <w:rFonts w:cstheme="minorHAnsi"/>
        </w:rPr>
        <w:t>Urządzenia muszą być przeznaczone do pracy ciągłej 24/7. W normalnych warunkach eksploatacji nie może być wymagany ich cykliczny restart. Wyłączenie lub restart urządzenia dopuszcza się podczas zaplanowanych prac serwisowych, aktualizacji oprogramowania oraz usuwania awarii.</w:t>
      </w:r>
    </w:p>
    <w:p w14:paraId="79FF86B2" w14:textId="7ED99031" w:rsidR="00981054" w:rsidRPr="008C65F9" w:rsidRDefault="00981054" w:rsidP="00895A1A">
      <w:pPr>
        <w:pStyle w:val="Akapitzlist"/>
        <w:numPr>
          <w:ilvl w:val="0"/>
          <w:numId w:val="1"/>
        </w:numPr>
        <w:spacing w:after="120" w:line="276" w:lineRule="auto"/>
        <w:jc w:val="both"/>
        <w:rPr>
          <w:rFonts w:cstheme="minorHAnsi"/>
        </w:rPr>
      </w:pPr>
      <w:r>
        <w:rPr>
          <w:rFonts w:cstheme="minorHAnsi"/>
        </w:rPr>
        <w:t xml:space="preserve">Urządzenia będą pracować w </w:t>
      </w:r>
      <w:r w:rsidR="008F7B51">
        <w:rPr>
          <w:rFonts w:cstheme="minorHAnsi"/>
        </w:rPr>
        <w:t>warunkach,</w:t>
      </w:r>
      <w:r>
        <w:rPr>
          <w:rFonts w:cstheme="minorHAnsi"/>
        </w:rPr>
        <w:t xml:space="preserve"> gdzie maksymalne poziomy wejściowe i wyjściowe sygnałów analogowych wynosić będą +24dBu i taka wartość powinna równać się 0 </w:t>
      </w:r>
      <w:proofErr w:type="spellStart"/>
      <w:r>
        <w:rPr>
          <w:rFonts w:cstheme="minorHAnsi"/>
        </w:rPr>
        <w:t>dBFS</w:t>
      </w:r>
      <w:proofErr w:type="spellEnd"/>
      <w:r>
        <w:rPr>
          <w:rFonts w:cstheme="minorHAnsi"/>
        </w:rPr>
        <w:t xml:space="preserve"> na przetwornikach </w:t>
      </w:r>
      <w:r w:rsidR="008F7B51">
        <w:rPr>
          <w:rFonts w:cstheme="minorHAnsi"/>
        </w:rPr>
        <w:t>wejść</w:t>
      </w:r>
      <w:r>
        <w:rPr>
          <w:rFonts w:cstheme="minorHAnsi"/>
        </w:rPr>
        <w:t xml:space="preserve"> i wejściowych </w:t>
      </w:r>
      <w:r w:rsidR="008F7B51">
        <w:rPr>
          <w:rFonts w:cstheme="minorHAnsi"/>
        </w:rPr>
        <w:t xml:space="preserve">liniowych </w:t>
      </w:r>
      <w:r>
        <w:rPr>
          <w:rFonts w:cstheme="minorHAnsi"/>
        </w:rPr>
        <w:t>urządzeń</w:t>
      </w:r>
      <w:r w:rsidR="008F7B51">
        <w:rPr>
          <w:rFonts w:cstheme="minorHAnsi"/>
        </w:rPr>
        <w:t>, oraz nie powodować przesterowania sygnałów (</w:t>
      </w:r>
      <w:proofErr w:type="spellStart"/>
      <w:r w:rsidR="008F7B51">
        <w:rPr>
          <w:rFonts w:cstheme="minorHAnsi"/>
        </w:rPr>
        <w:t>clipping</w:t>
      </w:r>
      <w:proofErr w:type="spellEnd"/>
      <w:r w:rsidR="008F7B51">
        <w:rPr>
          <w:rFonts w:cstheme="minorHAnsi"/>
        </w:rPr>
        <w:t>).</w:t>
      </w:r>
    </w:p>
    <w:p w14:paraId="41450DDA" w14:textId="26816D68" w:rsidR="00FA1230" w:rsidRPr="008C65F9" w:rsidRDefault="00FA1230" w:rsidP="00FA1230">
      <w:pPr>
        <w:pStyle w:val="Akapitzlist"/>
        <w:numPr>
          <w:ilvl w:val="0"/>
          <w:numId w:val="1"/>
        </w:numPr>
        <w:spacing w:after="120" w:line="276" w:lineRule="auto"/>
        <w:jc w:val="both"/>
        <w:rPr>
          <w:rFonts w:cstheme="minorHAnsi"/>
        </w:rPr>
      </w:pPr>
      <w:r w:rsidRPr="008C65F9">
        <w:rPr>
          <w:rFonts w:cstheme="minorHAnsi"/>
        </w:rPr>
        <w:t>Wszystkim występującym w OPZ odniesieniom do norm, standardów, profili i specyfikacji technicznych, w szczególności IEEE 1588-2008, AES67, SMPTE ST 2059-2, SMPTE ST 2110, ST 2022-7 oraz NMOS, towarzyszą wyrazy „lub równoważne”. Za równoważne uznaje się rozwiązanie zapewniające co najmniej tę samą interoperacyjność, funkcjonalność, wydajność i niezawodność w opisanych przypadkach użycia.</w:t>
      </w:r>
    </w:p>
    <w:p w14:paraId="431F1849" w14:textId="77777777" w:rsidR="00FA1230" w:rsidRPr="008C65F9" w:rsidRDefault="00FA1230" w:rsidP="00FA1230">
      <w:pPr>
        <w:jc w:val="both"/>
        <w:rPr>
          <w:rFonts w:cstheme="minorHAnsi"/>
        </w:rPr>
      </w:pPr>
    </w:p>
    <w:p w14:paraId="77EF821C" w14:textId="212F058C" w:rsidR="008F3672" w:rsidRPr="008C65F9" w:rsidRDefault="001D1831" w:rsidP="00FA1230">
      <w:pPr>
        <w:jc w:val="both"/>
        <w:rPr>
          <w:rFonts w:cstheme="minorHAnsi"/>
          <w:b/>
          <w:bCs/>
        </w:rPr>
      </w:pPr>
      <w:r w:rsidRPr="008C65F9">
        <w:rPr>
          <w:rFonts w:cstheme="minorHAnsi"/>
          <w:b/>
          <w:bCs/>
        </w:rPr>
        <w:br w:type="page"/>
      </w:r>
      <w:r w:rsidR="008F3672" w:rsidRPr="008C65F9">
        <w:rPr>
          <w:rFonts w:cstheme="minorHAnsi"/>
          <w:b/>
          <w:bCs/>
        </w:rPr>
        <w:lastRenderedPageBreak/>
        <w:t xml:space="preserve">CZĘŚĆ I </w:t>
      </w:r>
      <w:r w:rsidR="00FA1230" w:rsidRPr="008C65F9">
        <w:rPr>
          <w:rFonts w:cstheme="minorHAnsi"/>
          <w:b/>
          <w:bCs/>
        </w:rPr>
        <w:t>-</w:t>
      </w:r>
      <w:r w:rsidR="008F3672" w:rsidRPr="008C65F9">
        <w:rPr>
          <w:rFonts w:cstheme="minorHAnsi"/>
          <w:b/>
          <w:bCs/>
        </w:rPr>
        <w:t xml:space="preserve"> </w:t>
      </w:r>
      <w:r w:rsidRPr="008C65F9">
        <w:rPr>
          <w:rFonts w:cstheme="minorHAnsi"/>
          <w:b/>
          <w:bCs/>
        </w:rPr>
        <w:t>KROSOWNICE I PROCESORY SYGNAŁÓW</w:t>
      </w:r>
      <w:r w:rsidR="008F3672" w:rsidRPr="008C65F9">
        <w:rPr>
          <w:rFonts w:cstheme="minorHAnsi"/>
          <w:b/>
          <w:bCs/>
        </w:rPr>
        <w:t xml:space="preserve"> </w:t>
      </w:r>
      <w:proofErr w:type="spellStart"/>
      <w:r w:rsidR="008F3672" w:rsidRPr="008C65F9">
        <w:rPr>
          <w:rFonts w:cstheme="minorHAnsi"/>
          <w:b/>
          <w:bCs/>
        </w:rPr>
        <w:t>AoIP</w:t>
      </w:r>
      <w:proofErr w:type="spellEnd"/>
    </w:p>
    <w:p w14:paraId="7BA1BF1A" w14:textId="77777777" w:rsidR="001D1831" w:rsidRPr="008C65F9" w:rsidRDefault="001D1831" w:rsidP="00FA1230">
      <w:pPr>
        <w:spacing w:after="120" w:line="276" w:lineRule="auto"/>
        <w:contextualSpacing/>
        <w:jc w:val="both"/>
        <w:rPr>
          <w:rFonts w:cstheme="minorHAnsi"/>
          <w:b/>
          <w:bCs/>
        </w:rPr>
      </w:pPr>
    </w:p>
    <w:p w14:paraId="782CA372" w14:textId="77777777" w:rsidR="008F3672" w:rsidRPr="008C65F9" w:rsidRDefault="008F3672" w:rsidP="00FA1230">
      <w:pPr>
        <w:pStyle w:val="Akapitzlist"/>
        <w:numPr>
          <w:ilvl w:val="0"/>
          <w:numId w:val="20"/>
        </w:numPr>
        <w:spacing w:after="120" w:line="276" w:lineRule="auto"/>
        <w:ind w:left="284" w:hanging="284"/>
        <w:jc w:val="both"/>
        <w:rPr>
          <w:rFonts w:cstheme="minorHAnsi"/>
          <w:b/>
          <w:bCs/>
        </w:rPr>
      </w:pPr>
      <w:r w:rsidRPr="008C65F9">
        <w:rPr>
          <w:rFonts w:cstheme="minorHAnsi"/>
          <w:b/>
          <w:bCs/>
        </w:rPr>
        <w:t>Wymagania wspólne dla urządzeń Części I:</w:t>
      </w:r>
    </w:p>
    <w:p w14:paraId="52FD648D" w14:textId="25B6FC43" w:rsidR="00661821" w:rsidRPr="008C65F9" w:rsidRDefault="00FA1230" w:rsidP="00FA1230">
      <w:pPr>
        <w:pStyle w:val="Akapitzlist"/>
        <w:numPr>
          <w:ilvl w:val="1"/>
          <w:numId w:val="20"/>
        </w:numPr>
        <w:jc w:val="both"/>
        <w:rPr>
          <w:rFonts w:cstheme="minorHAnsi"/>
        </w:rPr>
      </w:pPr>
      <w:r w:rsidRPr="008C65F9">
        <w:rPr>
          <w:rFonts w:cstheme="minorHAnsi"/>
        </w:rPr>
        <w:t>Wymagane funkcje mogą być realizowane przez jedno urządzenie albo zestaw maksymalnie trzech aktywnych urządzeń audio, połączonych wielokanałowym, bezstratnym łączem cyfrowym</w:t>
      </w:r>
      <w:r w:rsidR="00603280">
        <w:rPr>
          <w:rFonts w:cstheme="minorHAnsi"/>
        </w:rPr>
        <w:t xml:space="preserve">. </w:t>
      </w:r>
      <w:r w:rsidRPr="008C65F9">
        <w:rPr>
          <w:rFonts w:cstheme="minorHAnsi"/>
        </w:rPr>
        <w:t xml:space="preserve">Poszczególne urządzenia mogą pracować we wspólnej albo w odrębnych domenach zegarowych. Wymagania dotyczące liczby kanałów i funkcjonalności odnoszą się do zestawu jako całości, chyba że dany punkt wyraźnie stanowi inaczej. Za aktywne urządzenie uważa się urządzenie posiadające własne zasilanie i realizujące przetwarzanie, konwersję albo routing audio. Moduły SFP, pasywne panele przyłączeniowe, przewody i zewnętrzne zasilacze nie są odrębnymi aktywnymi urządzeniami. Ich półki, uchwyty oraz wymagane przestrzenie wentylacyjne są jednak wliczane do maksymalnej wysokości zestawu. </w:t>
      </w:r>
      <w:r w:rsidR="006254DF" w:rsidRPr="006254DF">
        <w:rPr>
          <w:rFonts w:cstheme="minorHAnsi"/>
        </w:rPr>
        <w:t xml:space="preserve">Urządzenia nieposiadające własnych uchwytów </w:t>
      </w:r>
      <w:proofErr w:type="spellStart"/>
      <w:r w:rsidR="006254DF" w:rsidRPr="006254DF">
        <w:rPr>
          <w:rFonts w:cstheme="minorHAnsi"/>
        </w:rPr>
        <w:t>rack</w:t>
      </w:r>
      <w:proofErr w:type="spellEnd"/>
      <w:r w:rsidR="006254DF" w:rsidRPr="006254DF">
        <w:rPr>
          <w:rFonts w:cstheme="minorHAnsi"/>
        </w:rPr>
        <w:t xml:space="preserve"> mogą być zamontowane na wspólnej półce albo na tylnych szynach szafy w przestrzeni wysokościowej zajmowanej przez inne elementy zestawu, pod warunkiem zachowania wymagań producentów dotyczących wentylacji, serwisu i promienia gięcia przewodów. Maksymalną wysokość zestawu określa pionowa przestrzeń faktycznie zajęta w szafie, a nie suma wysokości urządzeń zamontowanych na przednich i tylnych szynach w tych samych jednostkach U.</w:t>
      </w:r>
      <w:r w:rsidR="006254DF">
        <w:rPr>
          <w:rFonts w:cstheme="minorHAnsi"/>
        </w:rPr>
        <w:t xml:space="preserve"> </w:t>
      </w:r>
      <w:r w:rsidR="000A7DB8" w:rsidRPr="008C65F9">
        <w:rPr>
          <w:rFonts w:cstheme="minorHAnsi"/>
        </w:rPr>
        <w:t xml:space="preserve">Całość zestawu zaproponowanego </w:t>
      </w:r>
      <w:r w:rsidR="00661821" w:rsidRPr="008C65F9">
        <w:rPr>
          <w:rFonts w:cstheme="minorHAnsi"/>
        </w:rPr>
        <w:t>w celu realizacji podpunktów musi</w:t>
      </w:r>
      <w:r w:rsidR="000A7DB8" w:rsidRPr="008C65F9">
        <w:rPr>
          <w:rFonts w:cstheme="minorHAnsi"/>
        </w:rPr>
        <w:t xml:space="preserve"> zająć przestrz</w:t>
      </w:r>
      <w:r w:rsidR="00661821" w:rsidRPr="008C65F9">
        <w:rPr>
          <w:rFonts w:cstheme="minorHAnsi"/>
        </w:rPr>
        <w:t>eń</w:t>
      </w:r>
      <w:r w:rsidR="000A7DB8" w:rsidRPr="008C65F9">
        <w:rPr>
          <w:rFonts w:cstheme="minorHAnsi"/>
        </w:rPr>
        <w:t xml:space="preserve"> montażow</w:t>
      </w:r>
      <w:r w:rsidR="00661821" w:rsidRPr="008C65F9">
        <w:rPr>
          <w:rFonts w:cstheme="minorHAnsi"/>
        </w:rPr>
        <w:t>ą</w:t>
      </w:r>
      <w:r w:rsidR="000A7DB8" w:rsidRPr="008C65F9">
        <w:rPr>
          <w:rFonts w:cstheme="minorHAnsi"/>
        </w:rPr>
        <w:t xml:space="preserve"> w szafie</w:t>
      </w:r>
      <w:r w:rsidR="001D1831" w:rsidRPr="008C65F9">
        <w:rPr>
          <w:rFonts w:cstheme="minorHAnsi"/>
        </w:rPr>
        <w:t xml:space="preserve"> </w:t>
      </w:r>
      <w:proofErr w:type="spellStart"/>
      <w:r w:rsidR="000A7DB8" w:rsidRPr="008C65F9">
        <w:rPr>
          <w:rFonts w:cstheme="minorHAnsi"/>
        </w:rPr>
        <w:t>rack</w:t>
      </w:r>
      <w:proofErr w:type="spellEnd"/>
      <w:r w:rsidR="000A7DB8" w:rsidRPr="008C65F9">
        <w:rPr>
          <w:rFonts w:cstheme="minorHAnsi"/>
        </w:rPr>
        <w:t xml:space="preserve"> 19”</w:t>
      </w:r>
      <w:r w:rsidR="00994B4D" w:rsidRPr="008C65F9">
        <w:rPr>
          <w:rFonts w:cstheme="minorHAnsi"/>
        </w:rPr>
        <w:t xml:space="preserve"> (ze względu na dostępne miejsce przeznaczone do montażu zamawianych urządzeń)</w:t>
      </w:r>
      <w:r w:rsidR="00661821" w:rsidRPr="008C65F9">
        <w:rPr>
          <w:rFonts w:cstheme="minorHAnsi"/>
        </w:rPr>
        <w:t>:</w:t>
      </w:r>
    </w:p>
    <w:p w14:paraId="6CFE7502" w14:textId="5027E694" w:rsidR="00661821" w:rsidRPr="008C65F9" w:rsidRDefault="00661821" w:rsidP="00FA1230">
      <w:pPr>
        <w:pStyle w:val="Akapitzlist"/>
        <w:numPr>
          <w:ilvl w:val="2"/>
          <w:numId w:val="20"/>
        </w:numPr>
        <w:spacing w:after="120" w:line="276" w:lineRule="auto"/>
        <w:jc w:val="both"/>
        <w:rPr>
          <w:rFonts w:cstheme="minorHAnsi"/>
        </w:rPr>
      </w:pPr>
      <w:r w:rsidRPr="008C65F9">
        <w:rPr>
          <w:rFonts w:cstheme="minorHAnsi"/>
        </w:rPr>
        <w:t xml:space="preserve">dla podpunktu 2. </w:t>
      </w:r>
      <w:r w:rsidR="00972AD9" w:rsidRPr="008C65F9">
        <w:rPr>
          <w:rFonts w:cstheme="minorHAnsi"/>
        </w:rPr>
        <w:t>nie większą niż</w:t>
      </w:r>
      <w:r w:rsidRPr="008C65F9">
        <w:rPr>
          <w:rFonts w:cstheme="minorHAnsi"/>
        </w:rPr>
        <w:t xml:space="preserve"> 3U</w:t>
      </w:r>
    </w:p>
    <w:p w14:paraId="58446534" w14:textId="7E8B1DFD" w:rsidR="00661821" w:rsidRPr="008C65F9" w:rsidRDefault="00661821" w:rsidP="00FA1230">
      <w:pPr>
        <w:pStyle w:val="Akapitzlist"/>
        <w:numPr>
          <w:ilvl w:val="2"/>
          <w:numId w:val="20"/>
        </w:numPr>
        <w:spacing w:after="120" w:line="276" w:lineRule="auto"/>
        <w:jc w:val="both"/>
        <w:rPr>
          <w:rFonts w:cstheme="minorHAnsi"/>
        </w:rPr>
      </w:pPr>
      <w:r w:rsidRPr="008C65F9">
        <w:rPr>
          <w:rFonts w:cstheme="minorHAnsi"/>
        </w:rPr>
        <w:t>dla</w:t>
      </w:r>
      <w:r w:rsidR="009852F2" w:rsidRPr="008C65F9">
        <w:rPr>
          <w:rFonts w:cstheme="minorHAnsi"/>
        </w:rPr>
        <w:t xml:space="preserve"> podpunktu </w:t>
      </w:r>
      <w:r w:rsidRPr="008C65F9">
        <w:rPr>
          <w:rFonts w:cstheme="minorHAnsi"/>
        </w:rPr>
        <w:t>3.</w:t>
      </w:r>
      <w:r w:rsidR="009852F2" w:rsidRPr="008C65F9">
        <w:rPr>
          <w:rFonts w:cstheme="minorHAnsi"/>
        </w:rPr>
        <w:t xml:space="preserve"> </w:t>
      </w:r>
      <w:r w:rsidR="00972AD9" w:rsidRPr="008C65F9">
        <w:rPr>
          <w:rFonts w:cstheme="minorHAnsi"/>
        </w:rPr>
        <w:t>nie większą niż</w:t>
      </w:r>
      <w:r w:rsidR="009852F2" w:rsidRPr="008C65F9">
        <w:rPr>
          <w:rFonts w:cstheme="minorHAnsi"/>
        </w:rPr>
        <w:t xml:space="preserve"> 2U</w:t>
      </w:r>
    </w:p>
    <w:p w14:paraId="15218AB4" w14:textId="77777777" w:rsidR="006254DF" w:rsidRDefault="00661821" w:rsidP="006254DF">
      <w:pPr>
        <w:pStyle w:val="Akapitzlist"/>
        <w:numPr>
          <w:ilvl w:val="2"/>
          <w:numId w:val="20"/>
        </w:numPr>
        <w:spacing w:after="120" w:line="276" w:lineRule="auto"/>
        <w:jc w:val="both"/>
        <w:rPr>
          <w:rFonts w:cstheme="minorHAnsi"/>
        </w:rPr>
      </w:pPr>
      <w:r w:rsidRPr="008C65F9">
        <w:rPr>
          <w:rFonts w:cstheme="minorHAnsi"/>
        </w:rPr>
        <w:t>dla</w:t>
      </w:r>
      <w:r w:rsidR="009852F2" w:rsidRPr="008C65F9">
        <w:rPr>
          <w:rFonts w:cstheme="minorHAnsi"/>
        </w:rPr>
        <w:t xml:space="preserve"> podpunktu</w:t>
      </w:r>
      <w:r w:rsidRPr="008C65F9">
        <w:rPr>
          <w:rFonts w:cstheme="minorHAnsi"/>
        </w:rPr>
        <w:t xml:space="preserve"> 4. </w:t>
      </w:r>
      <w:r w:rsidR="00972AD9" w:rsidRPr="008C65F9">
        <w:rPr>
          <w:rFonts w:cstheme="minorHAnsi"/>
        </w:rPr>
        <w:t>nie większą niż</w:t>
      </w:r>
      <w:r w:rsidR="009852F2" w:rsidRPr="008C65F9">
        <w:rPr>
          <w:rFonts w:cstheme="minorHAnsi"/>
        </w:rPr>
        <w:t xml:space="preserve"> </w:t>
      </w:r>
      <w:r w:rsidR="00A6484E" w:rsidRPr="008C65F9">
        <w:rPr>
          <w:rFonts w:cstheme="minorHAnsi"/>
        </w:rPr>
        <w:t>2</w:t>
      </w:r>
      <w:r w:rsidR="009852F2" w:rsidRPr="008C65F9">
        <w:rPr>
          <w:rFonts w:cstheme="minorHAnsi"/>
        </w:rPr>
        <w:t>U</w:t>
      </w:r>
      <w:r w:rsidR="00994B4D" w:rsidRPr="008C65F9">
        <w:rPr>
          <w:rFonts w:cstheme="minorHAnsi"/>
        </w:rPr>
        <w:t>.</w:t>
      </w:r>
    </w:p>
    <w:p w14:paraId="16EFEB12" w14:textId="0306B040" w:rsidR="000A7DB8" w:rsidRPr="008C65F9" w:rsidRDefault="009852F2" w:rsidP="00FA1230">
      <w:pPr>
        <w:pStyle w:val="Akapitzlist"/>
        <w:numPr>
          <w:ilvl w:val="1"/>
          <w:numId w:val="20"/>
        </w:numPr>
        <w:spacing w:after="120" w:line="276" w:lineRule="auto"/>
        <w:ind w:hanging="508"/>
        <w:jc w:val="both"/>
        <w:rPr>
          <w:rFonts w:cstheme="minorHAnsi"/>
        </w:rPr>
      </w:pPr>
      <w:r w:rsidRPr="008C65F9">
        <w:rPr>
          <w:rFonts w:cstheme="minorHAnsi"/>
        </w:rPr>
        <w:t xml:space="preserve">Należy dostarczyć z urządzeniami potrzebne uchwyty i akcesoria montażowe do szaf </w:t>
      </w:r>
      <w:proofErr w:type="spellStart"/>
      <w:r w:rsidRPr="008C65F9">
        <w:rPr>
          <w:rFonts w:cstheme="minorHAnsi"/>
        </w:rPr>
        <w:t>rack</w:t>
      </w:r>
      <w:proofErr w:type="spellEnd"/>
      <w:r w:rsidRPr="008C65F9">
        <w:rPr>
          <w:rFonts w:cstheme="minorHAnsi"/>
        </w:rPr>
        <w:t xml:space="preserve"> 19”.</w:t>
      </w:r>
    </w:p>
    <w:p w14:paraId="0E79D111" w14:textId="0A081027" w:rsidR="008C65F9" w:rsidRPr="008C65F9" w:rsidRDefault="008C65F9" w:rsidP="00FA1230">
      <w:pPr>
        <w:pStyle w:val="Akapitzlist"/>
        <w:numPr>
          <w:ilvl w:val="1"/>
          <w:numId w:val="20"/>
        </w:numPr>
        <w:spacing w:after="120" w:line="276" w:lineRule="auto"/>
        <w:ind w:hanging="508"/>
        <w:jc w:val="both"/>
        <w:rPr>
          <w:rFonts w:cstheme="minorHAnsi"/>
        </w:rPr>
      </w:pPr>
      <w:r w:rsidRPr="008C65F9">
        <w:rPr>
          <w:rFonts w:cstheme="minorHAnsi"/>
        </w:rPr>
        <w:t xml:space="preserve">Każdy zaoferowany zestaw musi umożliwiać przyjęcie co najmniej jednego zewnętrznego sygnału odniesienia PTPv2 zgodnego z AES67 lub Word </w:t>
      </w:r>
      <w:proofErr w:type="spellStart"/>
      <w:r w:rsidRPr="008C65F9">
        <w:rPr>
          <w:rFonts w:cstheme="minorHAnsi"/>
        </w:rPr>
        <w:t>Clock</w:t>
      </w:r>
      <w:proofErr w:type="spellEnd"/>
      <w:r w:rsidRPr="008C65F9">
        <w:rPr>
          <w:rFonts w:cstheme="minorHAnsi"/>
        </w:rPr>
        <w:t xml:space="preserve"> oraz rozprowadzenie właściwej synchronizacji do wszystkich jego elementów. Poszczególne urządzenia pomocnicze mogą być synchronizowane przez bezstratne połączenie cyfrowe (np. MADI, AES11, </w:t>
      </w:r>
      <w:proofErr w:type="spellStart"/>
      <w:r w:rsidRPr="008C65F9">
        <w:rPr>
          <w:rFonts w:cstheme="minorHAnsi"/>
        </w:rPr>
        <w:t>DADlink</w:t>
      </w:r>
      <w:proofErr w:type="spellEnd"/>
      <w:r w:rsidRPr="008C65F9">
        <w:rPr>
          <w:rFonts w:cstheme="minorHAnsi"/>
        </w:rPr>
        <w:t xml:space="preserve">, </w:t>
      </w:r>
      <w:proofErr w:type="spellStart"/>
      <w:r w:rsidRPr="008C65F9">
        <w:rPr>
          <w:rFonts w:cstheme="minorHAnsi"/>
        </w:rPr>
        <w:t>Optocore</w:t>
      </w:r>
      <w:proofErr w:type="spellEnd"/>
      <w:r w:rsidRPr="008C65F9">
        <w:rPr>
          <w:rFonts w:cstheme="minorHAnsi"/>
        </w:rPr>
        <w:t xml:space="preserve"> lub równoważne). Sposób synchronizacji nie może zmniejszać wymaganej liczby kanałów audio.</w:t>
      </w:r>
    </w:p>
    <w:p w14:paraId="2725974C" w14:textId="77777777" w:rsidR="009852F2" w:rsidRPr="008C65F9" w:rsidRDefault="009852F2" w:rsidP="00FA1230">
      <w:pPr>
        <w:pStyle w:val="Akapitzlist"/>
        <w:numPr>
          <w:ilvl w:val="1"/>
          <w:numId w:val="20"/>
        </w:numPr>
        <w:spacing w:after="120" w:line="276" w:lineRule="auto"/>
        <w:ind w:hanging="508"/>
        <w:jc w:val="both"/>
        <w:rPr>
          <w:rFonts w:cstheme="minorHAnsi"/>
        </w:rPr>
      </w:pPr>
      <w:r w:rsidRPr="008C65F9">
        <w:rPr>
          <w:rFonts w:cstheme="minorHAnsi"/>
        </w:rPr>
        <w:t xml:space="preserve">Dotyczy podpunktu 2 i 3: </w:t>
      </w:r>
    </w:p>
    <w:p w14:paraId="4BB3CF0B" w14:textId="51873004" w:rsidR="008C65F9" w:rsidRPr="008C65F9" w:rsidRDefault="008C65F9" w:rsidP="00FA1230">
      <w:pPr>
        <w:pStyle w:val="Akapitzlist"/>
        <w:numPr>
          <w:ilvl w:val="2"/>
          <w:numId w:val="20"/>
        </w:numPr>
        <w:spacing w:after="120" w:line="276" w:lineRule="auto"/>
        <w:jc w:val="both"/>
        <w:rPr>
          <w:rFonts w:cstheme="minorHAnsi"/>
        </w:rPr>
      </w:pPr>
      <w:r w:rsidRPr="008C65F9">
        <w:rPr>
          <w:rFonts w:cstheme="minorHAnsi"/>
        </w:rPr>
        <w:t xml:space="preserve">Zestaw jako całość musi jednocześnie obsługiwać co najmniej dwa niezależne interfejsy </w:t>
      </w:r>
      <w:proofErr w:type="spellStart"/>
      <w:r w:rsidRPr="008C65F9">
        <w:rPr>
          <w:rFonts w:cstheme="minorHAnsi"/>
        </w:rPr>
        <w:t>AoIP</w:t>
      </w:r>
      <w:proofErr w:type="spellEnd"/>
      <w:r w:rsidRPr="008C65F9">
        <w:rPr>
          <w:rFonts w:cstheme="minorHAnsi"/>
        </w:rPr>
        <w:t xml:space="preserve"> wymagane dla danego podpunktu. Interfejsy mogą być modułami jednego urządzenia albo odrębnymi urządzeniami połączonymi bezstratnym łączem cyfrowym. Zestaw musi umożliwiać dwukierunkowy routing sygnałów między tymi interfejsami.</w:t>
      </w:r>
    </w:p>
    <w:p w14:paraId="2560ED40" w14:textId="77777777" w:rsidR="008C65F9" w:rsidRPr="008C65F9" w:rsidRDefault="008C65F9" w:rsidP="008C65F9">
      <w:pPr>
        <w:pStyle w:val="Akapitzlist"/>
        <w:numPr>
          <w:ilvl w:val="2"/>
          <w:numId w:val="20"/>
        </w:numPr>
        <w:spacing w:after="120" w:line="276" w:lineRule="auto"/>
        <w:jc w:val="both"/>
        <w:rPr>
          <w:rFonts w:cstheme="minorHAnsi"/>
        </w:rPr>
      </w:pPr>
      <w:r w:rsidRPr="008C65F9">
        <w:rPr>
          <w:rFonts w:cstheme="minorHAnsi"/>
        </w:rPr>
        <w:lastRenderedPageBreak/>
        <w:t xml:space="preserve">Zestaw musi posiadać nieblokującą matrycę routingu o pojemności co najmniej 280 kanałów wejściowych i 280 kanałów wyjściowych, przy czym do wartości tej mogą być wliczane kanały fizyczne, sieciowe i wewnętrzne. Dowolny kanał wejściowy musi być możliwy do skierowania do dowolnego kanału wyjściowego. </w:t>
      </w:r>
    </w:p>
    <w:p w14:paraId="1596679C" w14:textId="7AFF0B49" w:rsidR="008C65F9" w:rsidRPr="008C65F9" w:rsidRDefault="008C65F9" w:rsidP="008C65F9">
      <w:pPr>
        <w:pStyle w:val="Akapitzlist"/>
        <w:numPr>
          <w:ilvl w:val="2"/>
          <w:numId w:val="20"/>
        </w:numPr>
        <w:spacing w:after="120" w:line="276" w:lineRule="auto"/>
        <w:jc w:val="both"/>
        <w:rPr>
          <w:rFonts w:cstheme="minorHAnsi"/>
        </w:rPr>
      </w:pPr>
      <w:r w:rsidRPr="008C65F9">
        <w:rPr>
          <w:rFonts w:cstheme="minorHAnsi"/>
        </w:rPr>
        <w:t xml:space="preserve">Zestaw musi posiadać co najmniej jedną matrycę miksującą 8 wejść × 8 wyjść, z niezależną regulacją poziomu i wyciszeniem w każdym punkcie matrycy. </w:t>
      </w:r>
    </w:p>
    <w:p w14:paraId="0FE0C313" w14:textId="1667578D" w:rsidR="008C65F9" w:rsidRPr="008C65F9" w:rsidRDefault="008C65F9" w:rsidP="00FA1230">
      <w:pPr>
        <w:pStyle w:val="Akapitzlist"/>
        <w:numPr>
          <w:ilvl w:val="1"/>
          <w:numId w:val="20"/>
        </w:numPr>
        <w:spacing w:after="120" w:line="276" w:lineRule="auto"/>
        <w:ind w:hanging="508"/>
        <w:jc w:val="both"/>
        <w:rPr>
          <w:rFonts w:cstheme="minorHAnsi"/>
        </w:rPr>
      </w:pPr>
      <w:r w:rsidRPr="008C65F9">
        <w:rPr>
          <w:rFonts w:cstheme="minorHAnsi"/>
        </w:rPr>
        <w:t>SRC musi być dostępne na każdej ścieżce łączącej urządzenia lub sieci pracujące w niezależnych domenach zegarowych, niezależnie od tego, w którym elemencie zestawu następuje konwersja. Nie wymaga się SRC na interfejsie, który zgodnie ze schematem oferowanego rozwiązania zawsze pracuje w tej samej domenie zegarowej co urządzenie źródłowe i docelowe.</w:t>
      </w:r>
    </w:p>
    <w:p w14:paraId="11DAC810" w14:textId="77777777" w:rsidR="006254DF" w:rsidRDefault="006254DF" w:rsidP="00FA1230">
      <w:pPr>
        <w:pStyle w:val="Akapitzlist"/>
        <w:numPr>
          <w:ilvl w:val="1"/>
          <w:numId w:val="20"/>
        </w:numPr>
        <w:spacing w:after="120" w:line="276" w:lineRule="auto"/>
        <w:ind w:hanging="508"/>
        <w:jc w:val="both"/>
        <w:rPr>
          <w:rFonts w:cstheme="minorHAnsi"/>
        </w:rPr>
      </w:pPr>
      <w:r w:rsidRPr="006254DF">
        <w:rPr>
          <w:rFonts w:cstheme="minorHAnsi"/>
        </w:rPr>
        <w:t xml:space="preserve">Awaria jednego zewnętrznego źródła zasilania nie może powodować przerwania routingu pomiędzy wymaganymi interfejsami </w:t>
      </w:r>
      <w:proofErr w:type="spellStart"/>
      <w:r w:rsidRPr="006254DF">
        <w:rPr>
          <w:rFonts w:cstheme="minorHAnsi"/>
        </w:rPr>
        <w:t>AoIP</w:t>
      </w:r>
      <w:proofErr w:type="spellEnd"/>
      <w:r w:rsidRPr="006254DF">
        <w:rPr>
          <w:rFonts w:cstheme="minorHAnsi"/>
        </w:rPr>
        <w:t xml:space="preserve">, MADI, analogowymi i AES3. Urządzenie główne oraz każdy sprzętowy most stanowiący jedyną ścieżkę dla tych sygnałów musi posiadać dwa niezależne wejścia zasilania albo zostać zdublowany wraz z automatycznym przełączeniem. Wymóg dwóch wejść zasilania nie dotyczy pomocniczego interfejsu USB lub </w:t>
      </w:r>
      <w:proofErr w:type="spellStart"/>
      <w:r w:rsidRPr="006254DF">
        <w:rPr>
          <w:rFonts w:cstheme="minorHAnsi"/>
        </w:rPr>
        <w:t>Thunderbolt</w:t>
      </w:r>
      <w:proofErr w:type="spellEnd"/>
      <w:r w:rsidRPr="006254DF">
        <w:rPr>
          <w:rFonts w:cstheme="minorHAnsi"/>
        </w:rPr>
        <w:t>, jeżeli jego awaria nie powoduje przerwania routingu pomiędzy pozostałymi wymaganymi interfejsami.</w:t>
      </w:r>
    </w:p>
    <w:p w14:paraId="799DE9EB" w14:textId="1D103555" w:rsidR="008C65F9" w:rsidRPr="008C65F9" w:rsidRDefault="008C65F9" w:rsidP="00FA1230">
      <w:pPr>
        <w:pStyle w:val="Akapitzlist"/>
        <w:numPr>
          <w:ilvl w:val="1"/>
          <w:numId w:val="20"/>
        </w:numPr>
        <w:spacing w:after="120" w:line="276" w:lineRule="auto"/>
        <w:ind w:hanging="508"/>
        <w:jc w:val="both"/>
        <w:rPr>
          <w:rFonts w:cstheme="minorHAnsi"/>
        </w:rPr>
      </w:pPr>
      <w:r w:rsidRPr="008C65F9">
        <w:rPr>
          <w:rFonts w:cstheme="minorHAnsi"/>
        </w:rPr>
        <w:t xml:space="preserve">Bieżący routing wszystkich zewnętrznych wejść i wyjść zestawu musi być możliwy z jednego podstawowego interfejsu użytkownika. Dopuszcza się użycie odrębnego oprogramowania do jednorazowej lub serwisowej konfiguracji pomocniczych konwerterów, w szczególności do ustawienia formatu MADI, synchronizacji, trybu sieciowego i statycznego przypisania kanałów, pod warunkiem, że ustawienia są zapisywane w pamięci nieulotnej i do normalnej eksploatacji nie jest wymagany stale podłączony komputer. </w:t>
      </w:r>
    </w:p>
    <w:p w14:paraId="72D1276D" w14:textId="77777777" w:rsidR="00895A1A" w:rsidRDefault="00895A1A" w:rsidP="00FA1230">
      <w:pPr>
        <w:pStyle w:val="Akapitzlist"/>
        <w:numPr>
          <w:ilvl w:val="1"/>
          <w:numId w:val="20"/>
        </w:numPr>
        <w:spacing w:after="120" w:line="276" w:lineRule="auto"/>
        <w:ind w:hanging="508"/>
        <w:jc w:val="both"/>
        <w:rPr>
          <w:rFonts w:cstheme="minorHAnsi"/>
        </w:rPr>
      </w:pPr>
      <w:r w:rsidRPr="00895A1A">
        <w:rPr>
          <w:rFonts w:cstheme="minorHAnsi"/>
        </w:rPr>
        <w:t>Urządzenie główne każdego zestawu musi umożliwiać skonfigurowanie priorytetowej listy co najmniej dwóch źródeł synchronizacji oraz automatyczne przejście na dostępne źródło rezerwowe po utracie źródła głównego.</w:t>
      </w:r>
    </w:p>
    <w:p w14:paraId="250B0E44" w14:textId="479F2CB7" w:rsidR="00994B4D" w:rsidRPr="008C65F9" w:rsidRDefault="008C65F9" w:rsidP="00FA1230">
      <w:pPr>
        <w:pStyle w:val="Akapitzlist"/>
        <w:numPr>
          <w:ilvl w:val="1"/>
          <w:numId w:val="20"/>
        </w:numPr>
        <w:spacing w:after="120" w:line="276" w:lineRule="auto"/>
        <w:ind w:hanging="508"/>
        <w:jc w:val="both"/>
        <w:rPr>
          <w:rFonts w:cstheme="minorHAnsi"/>
        </w:rPr>
      </w:pPr>
      <w:r w:rsidRPr="008C65F9">
        <w:rPr>
          <w:rFonts w:cstheme="minorHAnsi"/>
        </w:rPr>
        <w:t>Każdy zestaw określony w pkt 2</w:t>
      </w:r>
      <w:r w:rsidR="00895A1A">
        <w:rPr>
          <w:rFonts w:cstheme="minorHAnsi"/>
        </w:rPr>
        <w:t>-</w:t>
      </w:r>
      <w:r w:rsidRPr="008C65F9">
        <w:rPr>
          <w:rFonts w:cstheme="minorHAnsi"/>
        </w:rPr>
        <w:t xml:space="preserve">4 musi posiadać co najmniej jeden sprzętowy interfejs USB lub </w:t>
      </w:r>
      <w:proofErr w:type="spellStart"/>
      <w:r w:rsidRPr="008C65F9">
        <w:rPr>
          <w:rFonts w:cstheme="minorHAnsi"/>
        </w:rPr>
        <w:t>Thunderbolt</w:t>
      </w:r>
      <w:proofErr w:type="spellEnd"/>
      <w:r w:rsidRPr="008C65F9">
        <w:rPr>
          <w:rFonts w:cstheme="minorHAnsi"/>
        </w:rPr>
        <w:t xml:space="preserve"> zapewniający co najmniej 64 wejścia i 64 wyjścia audio przy 48 kHz. Interfejs może być wbudowany, modułowy albo stanowić odrębne urządzenie połączone z główną matrycą wielokanałowym, bezstratnym łączem cyfrowym.</w:t>
      </w:r>
    </w:p>
    <w:p w14:paraId="4AB20DFC" w14:textId="77777777" w:rsidR="009852F2" w:rsidRPr="008C65F9" w:rsidRDefault="009852F2" w:rsidP="00FA1230">
      <w:pPr>
        <w:pStyle w:val="Akapitzlist"/>
        <w:spacing w:after="120" w:line="276" w:lineRule="auto"/>
        <w:ind w:left="792"/>
        <w:jc w:val="both"/>
        <w:rPr>
          <w:rFonts w:cstheme="minorHAnsi"/>
        </w:rPr>
      </w:pPr>
    </w:p>
    <w:p w14:paraId="0008225C" w14:textId="4575569D" w:rsidR="007872F1" w:rsidRPr="008C65F9" w:rsidRDefault="008F3672" w:rsidP="00FA1230">
      <w:pPr>
        <w:pStyle w:val="Akapitzlist"/>
        <w:numPr>
          <w:ilvl w:val="0"/>
          <w:numId w:val="20"/>
        </w:numPr>
        <w:spacing w:after="120" w:line="276" w:lineRule="auto"/>
        <w:ind w:left="284" w:hanging="284"/>
        <w:jc w:val="both"/>
        <w:rPr>
          <w:rFonts w:cstheme="minorHAnsi"/>
          <w:b/>
          <w:bCs/>
        </w:rPr>
      </w:pPr>
      <w:r w:rsidRPr="008C65F9">
        <w:rPr>
          <w:rFonts w:cstheme="minorHAnsi"/>
          <w:b/>
          <w:bCs/>
        </w:rPr>
        <w:t xml:space="preserve">Urządzenie centralne - procesor/krosownica sieciowa </w:t>
      </w:r>
      <w:proofErr w:type="spellStart"/>
      <w:r w:rsidRPr="008C65F9">
        <w:rPr>
          <w:rFonts w:cstheme="minorHAnsi"/>
          <w:b/>
          <w:bCs/>
        </w:rPr>
        <w:t>AoIP</w:t>
      </w:r>
      <w:proofErr w:type="spellEnd"/>
      <w:r w:rsidRPr="008C65F9">
        <w:rPr>
          <w:rFonts w:cstheme="minorHAnsi"/>
          <w:b/>
          <w:bCs/>
        </w:rPr>
        <w:t xml:space="preserve"> </w:t>
      </w:r>
      <w:r w:rsidR="004078D8" w:rsidRPr="008C65F9">
        <w:rPr>
          <w:rFonts w:cstheme="minorHAnsi"/>
          <w:b/>
          <w:bCs/>
        </w:rPr>
        <w:t>p</w:t>
      </w:r>
      <w:r w:rsidRPr="008C65F9">
        <w:rPr>
          <w:rFonts w:cstheme="minorHAnsi"/>
          <w:b/>
          <w:bCs/>
        </w:rPr>
        <w:t xml:space="preserve">rzeznaczone do zarządzania sieciami </w:t>
      </w:r>
      <w:proofErr w:type="spellStart"/>
      <w:r w:rsidRPr="008C65F9">
        <w:rPr>
          <w:rFonts w:cstheme="minorHAnsi"/>
          <w:b/>
          <w:bCs/>
        </w:rPr>
        <w:t>AoIP</w:t>
      </w:r>
      <w:proofErr w:type="spellEnd"/>
      <w:r w:rsidRPr="008C65F9">
        <w:rPr>
          <w:rFonts w:cstheme="minorHAnsi"/>
          <w:b/>
          <w:bCs/>
        </w:rPr>
        <w:t xml:space="preserve"> rozgłośni</w:t>
      </w:r>
      <w:r w:rsidR="00D43B43" w:rsidRPr="008C65F9">
        <w:rPr>
          <w:rFonts w:cstheme="minorHAnsi"/>
          <w:b/>
          <w:bCs/>
        </w:rPr>
        <w:t xml:space="preserve"> i spoza niej</w:t>
      </w:r>
      <w:r w:rsidRPr="008C65F9">
        <w:rPr>
          <w:rFonts w:cstheme="minorHAnsi"/>
          <w:b/>
          <w:bCs/>
        </w:rPr>
        <w:t xml:space="preserve">, do zabudowy w szafie </w:t>
      </w:r>
      <w:proofErr w:type="spellStart"/>
      <w:r w:rsidRPr="008C65F9">
        <w:rPr>
          <w:rFonts w:cstheme="minorHAnsi"/>
          <w:b/>
          <w:bCs/>
        </w:rPr>
        <w:t>rack</w:t>
      </w:r>
      <w:proofErr w:type="spellEnd"/>
      <w:r w:rsidRPr="008C65F9">
        <w:rPr>
          <w:rFonts w:cstheme="minorHAnsi"/>
          <w:b/>
          <w:bCs/>
        </w:rPr>
        <w:t xml:space="preserve"> w rozdzielni elektroakustycznej</w:t>
      </w:r>
      <w:r w:rsidR="000A7DB8" w:rsidRPr="008C65F9">
        <w:rPr>
          <w:rFonts w:cstheme="minorHAnsi"/>
          <w:b/>
          <w:bCs/>
        </w:rPr>
        <w:t>, łącząca protokoły wykorzystywane w studiach Zamawiającego</w:t>
      </w:r>
      <w:r w:rsidR="004078D8" w:rsidRPr="008C65F9">
        <w:rPr>
          <w:rFonts w:cstheme="minorHAnsi"/>
          <w:b/>
          <w:bCs/>
        </w:rPr>
        <w:t xml:space="preserve"> </w:t>
      </w:r>
      <w:r w:rsidR="007D2139" w:rsidRPr="008C65F9">
        <w:rPr>
          <w:rFonts w:cstheme="minorHAnsi"/>
          <w:b/>
          <w:bCs/>
        </w:rPr>
        <w:t>-</w:t>
      </w:r>
      <w:r w:rsidR="004078D8" w:rsidRPr="008C65F9">
        <w:rPr>
          <w:rFonts w:cstheme="minorHAnsi"/>
          <w:b/>
          <w:bCs/>
        </w:rPr>
        <w:t xml:space="preserve"> 1 </w:t>
      </w:r>
      <w:r w:rsidR="00FA1230" w:rsidRPr="008C65F9">
        <w:rPr>
          <w:rFonts w:cstheme="minorHAnsi"/>
          <w:b/>
          <w:bCs/>
        </w:rPr>
        <w:t>zestaw</w:t>
      </w:r>
      <w:r w:rsidR="004078D8" w:rsidRPr="008C65F9">
        <w:rPr>
          <w:rFonts w:cstheme="minorHAnsi"/>
          <w:b/>
          <w:bCs/>
        </w:rPr>
        <w:t>.</w:t>
      </w:r>
    </w:p>
    <w:p w14:paraId="32000467" w14:textId="3B77A285" w:rsidR="007872F1" w:rsidRPr="008C65F9" w:rsidRDefault="007872F1" w:rsidP="00FA1230">
      <w:pPr>
        <w:spacing w:after="120" w:line="276" w:lineRule="auto"/>
        <w:ind w:firstLine="284"/>
        <w:jc w:val="both"/>
        <w:rPr>
          <w:rFonts w:cstheme="minorHAnsi"/>
        </w:rPr>
      </w:pPr>
      <w:r w:rsidRPr="008C65F9">
        <w:rPr>
          <w:rFonts w:cstheme="minorHAnsi"/>
        </w:rPr>
        <w:t>Konstrukcja i złącza:</w:t>
      </w:r>
    </w:p>
    <w:p w14:paraId="5154CD32" w14:textId="229E67C7" w:rsidR="008F3672" w:rsidRPr="008C65F9" w:rsidRDefault="004078D8" w:rsidP="00FA1230">
      <w:pPr>
        <w:pStyle w:val="Akapitzlist"/>
        <w:numPr>
          <w:ilvl w:val="1"/>
          <w:numId w:val="20"/>
        </w:numPr>
        <w:spacing w:after="120" w:line="276" w:lineRule="auto"/>
        <w:ind w:hanging="508"/>
        <w:jc w:val="both"/>
        <w:rPr>
          <w:rFonts w:cstheme="minorHAnsi"/>
        </w:rPr>
      </w:pPr>
      <w:r w:rsidRPr="008C65F9">
        <w:rPr>
          <w:rFonts w:cstheme="minorHAnsi"/>
        </w:rPr>
        <w:t>C</w:t>
      </w:r>
      <w:r w:rsidR="008F3672" w:rsidRPr="008C65F9">
        <w:rPr>
          <w:rFonts w:cstheme="minorHAnsi"/>
        </w:rPr>
        <w:t>o najmniej jedno wyjście słuchawkowe do odsłuchu dowolnego punktu sygnałowego</w:t>
      </w:r>
    </w:p>
    <w:p w14:paraId="5A29B895" w14:textId="63F06193" w:rsidR="008F3672" w:rsidRPr="008C65F9" w:rsidRDefault="008F3672" w:rsidP="00FA1230">
      <w:pPr>
        <w:pStyle w:val="Akapitzlist"/>
        <w:numPr>
          <w:ilvl w:val="1"/>
          <w:numId w:val="20"/>
        </w:numPr>
        <w:spacing w:after="120" w:line="276" w:lineRule="auto"/>
        <w:ind w:hanging="508"/>
        <w:jc w:val="both"/>
        <w:rPr>
          <w:rFonts w:cstheme="minorHAnsi"/>
        </w:rPr>
      </w:pPr>
      <w:r w:rsidRPr="008C65F9">
        <w:rPr>
          <w:rFonts w:cstheme="minorHAnsi"/>
        </w:rPr>
        <w:t xml:space="preserve">Złącze z siecią </w:t>
      </w:r>
      <w:r w:rsidR="006D0725" w:rsidRPr="008C65F9">
        <w:rPr>
          <w:rFonts w:cstheme="minorHAnsi"/>
        </w:rPr>
        <w:t>Ravenna</w:t>
      </w:r>
      <w:r w:rsidRPr="008C65F9">
        <w:rPr>
          <w:rFonts w:cstheme="minorHAnsi"/>
        </w:rPr>
        <w:t xml:space="preserve">: </w:t>
      </w:r>
      <w:r w:rsidR="0022209E" w:rsidRPr="008C65F9">
        <w:rPr>
          <w:rFonts w:cstheme="minorHAnsi"/>
        </w:rPr>
        <w:t xml:space="preserve">co najmniej </w:t>
      </w:r>
      <w:r w:rsidRPr="008C65F9">
        <w:rPr>
          <w:rFonts w:cstheme="minorHAnsi"/>
        </w:rPr>
        <w:t>64 wejścia x 64 wyjścia.</w:t>
      </w:r>
    </w:p>
    <w:p w14:paraId="2D3CA111" w14:textId="77F86709" w:rsidR="00BF0E84" w:rsidRDefault="00BF0E84" w:rsidP="00FA1230">
      <w:pPr>
        <w:pStyle w:val="Akapitzlist"/>
        <w:numPr>
          <w:ilvl w:val="1"/>
          <w:numId w:val="20"/>
        </w:numPr>
        <w:spacing w:after="120" w:line="276" w:lineRule="auto"/>
        <w:ind w:hanging="508"/>
        <w:jc w:val="both"/>
        <w:rPr>
          <w:rFonts w:cstheme="minorHAnsi"/>
        </w:rPr>
      </w:pPr>
      <w:r w:rsidRPr="00BF0E84">
        <w:rPr>
          <w:rFonts w:cstheme="minorHAnsi"/>
        </w:rPr>
        <w:lastRenderedPageBreak/>
        <w:t xml:space="preserve">Drugi interfejs RAVENNA, co najmniej 64 wejścia i 64 wyjścia, mogący pracować w odrębnej domenie PTP od interfejsu określonego w pkt 2.2. Odrębna domena oznacza brak konieczności synchronizacji obu sieci do wspólnego zegara. </w:t>
      </w:r>
    </w:p>
    <w:p w14:paraId="122C2B25" w14:textId="19214ABB" w:rsidR="008F3672" w:rsidRPr="008C65F9" w:rsidRDefault="008F3672" w:rsidP="00FA1230">
      <w:pPr>
        <w:pStyle w:val="Akapitzlist"/>
        <w:numPr>
          <w:ilvl w:val="1"/>
          <w:numId w:val="20"/>
        </w:numPr>
        <w:spacing w:after="120" w:line="276" w:lineRule="auto"/>
        <w:ind w:hanging="508"/>
        <w:jc w:val="both"/>
        <w:rPr>
          <w:rFonts w:cstheme="minorHAnsi"/>
        </w:rPr>
      </w:pPr>
      <w:r w:rsidRPr="008C65F9">
        <w:rPr>
          <w:rFonts w:cstheme="minorHAnsi"/>
        </w:rPr>
        <w:t xml:space="preserve">Złącze z siecią Dante: </w:t>
      </w:r>
      <w:r w:rsidR="0022209E" w:rsidRPr="008C65F9">
        <w:rPr>
          <w:rFonts w:cstheme="minorHAnsi"/>
        </w:rPr>
        <w:t xml:space="preserve">co najmniej </w:t>
      </w:r>
      <w:r w:rsidRPr="008C65F9">
        <w:rPr>
          <w:rFonts w:cstheme="minorHAnsi"/>
        </w:rPr>
        <w:t>64 wejścia x 64 wyjścia</w:t>
      </w:r>
    </w:p>
    <w:p w14:paraId="10884A0C" w14:textId="46494559" w:rsidR="006254DF" w:rsidRDefault="008F3672" w:rsidP="00FA1230">
      <w:pPr>
        <w:pStyle w:val="Akapitzlist"/>
        <w:numPr>
          <w:ilvl w:val="1"/>
          <w:numId w:val="20"/>
        </w:numPr>
        <w:spacing w:after="120" w:line="276" w:lineRule="auto"/>
        <w:ind w:hanging="508"/>
        <w:jc w:val="both"/>
        <w:rPr>
          <w:rFonts w:cstheme="minorHAnsi"/>
        </w:rPr>
      </w:pPr>
      <w:r w:rsidRPr="006254DF">
        <w:rPr>
          <w:rFonts w:cstheme="minorHAnsi"/>
        </w:rPr>
        <w:t xml:space="preserve">Analogowe wejścia/wyjścia </w:t>
      </w:r>
      <w:proofErr w:type="spellStart"/>
      <w:r w:rsidRPr="006254DF">
        <w:rPr>
          <w:rFonts w:cstheme="minorHAnsi"/>
        </w:rPr>
        <w:t>mikrofonowo-liniowe</w:t>
      </w:r>
      <w:proofErr w:type="spellEnd"/>
      <w:r w:rsidRPr="006254DF">
        <w:rPr>
          <w:rFonts w:cstheme="minorHAnsi"/>
        </w:rPr>
        <w:t>: 8 wejść (symetryczne, z zasilaniem Phantom +48V) oraz 8 wyjść liniowych symetrycznych</w:t>
      </w:r>
      <w:r w:rsidR="00BF0E84" w:rsidRPr="006254DF">
        <w:rPr>
          <w:rFonts w:cstheme="minorHAnsi"/>
        </w:rPr>
        <w:t xml:space="preserve">. </w:t>
      </w:r>
      <w:r w:rsidR="006254DF" w:rsidRPr="006254DF">
        <w:rPr>
          <w:rFonts w:cstheme="minorHAnsi"/>
        </w:rPr>
        <w:t>Dopuszcza się ustawienie wspólne dla karty, grupy kanałów albo urządzenia, konfigurowane przez wykonawcę przed odbiorem. Nie wymaga się bieżącego przełączania poziomu indywidualnie dla każdego kanału.</w:t>
      </w:r>
    </w:p>
    <w:p w14:paraId="522CB6AB" w14:textId="5BBBDF2E" w:rsidR="006254DF" w:rsidRPr="006254DF" w:rsidRDefault="008F3672" w:rsidP="006254DF">
      <w:pPr>
        <w:pStyle w:val="Akapitzlist"/>
        <w:numPr>
          <w:ilvl w:val="1"/>
          <w:numId w:val="20"/>
        </w:numPr>
        <w:spacing w:after="120" w:line="276" w:lineRule="auto"/>
        <w:ind w:hanging="508"/>
        <w:jc w:val="both"/>
        <w:rPr>
          <w:rFonts w:cstheme="minorHAnsi"/>
        </w:rPr>
      </w:pPr>
      <w:r w:rsidRPr="006254DF">
        <w:rPr>
          <w:rFonts w:cstheme="minorHAnsi"/>
        </w:rPr>
        <w:t xml:space="preserve">Cyfrowe wejścia/wyjścia AES3: </w:t>
      </w:r>
      <w:r w:rsidR="00A9558F" w:rsidRPr="006254DF">
        <w:rPr>
          <w:rFonts w:cstheme="minorHAnsi"/>
        </w:rPr>
        <w:t>8</w:t>
      </w:r>
      <w:r w:rsidRPr="006254DF">
        <w:rPr>
          <w:rFonts w:cstheme="minorHAnsi"/>
        </w:rPr>
        <w:t xml:space="preserve"> wejść i </w:t>
      </w:r>
      <w:r w:rsidR="00A9558F" w:rsidRPr="006254DF">
        <w:rPr>
          <w:rFonts w:cstheme="minorHAnsi"/>
        </w:rPr>
        <w:t>8</w:t>
      </w:r>
      <w:r w:rsidRPr="006254DF">
        <w:rPr>
          <w:rFonts w:cstheme="minorHAnsi"/>
        </w:rPr>
        <w:t xml:space="preserve"> wyjść AES3 (</w:t>
      </w:r>
      <w:r w:rsidR="00A9558F" w:rsidRPr="006254DF">
        <w:rPr>
          <w:rFonts w:cstheme="minorHAnsi"/>
        </w:rPr>
        <w:t>4</w:t>
      </w:r>
      <w:r w:rsidRPr="006254DF">
        <w:rPr>
          <w:rFonts w:cstheme="minorHAnsi"/>
        </w:rPr>
        <w:t xml:space="preserve"> </w:t>
      </w:r>
      <w:r w:rsidR="004078D8" w:rsidRPr="006254DF">
        <w:rPr>
          <w:rFonts w:cstheme="minorHAnsi"/>
        </w:rPr>
        <w:t>stereofoniczn</w:t>
      </w:r>
      <w:r w:rsidR="00A9558F" w:rsidRPr="006254DF">
        <w:rPr>
          <w:rFonts w:cstheme="minorHAnsi"/>
        </w:rPr>
        <w:t>e</w:t>
      </w:r>
      <w:r w:rsidR="004078D8" w:rsidRPr="006254DF">
        <w:rPr>
          <w:rFonts w:cstheme="minorHAnsi"/>
        </w:rPr>
        <w:t xml:space="preserve"> sygnał</w:t>
      </w:r>
      <w:r w:rsidR="00A9558F" w:rsidRPr="006254DF">
        <w:rPr>
          <w:rFonts w:cstheme="minorHAnsi"/>
        </w:rPr>
        <w:t xml:space="preserve">y </w:t>
      </w:r>
      <w:r w:rsidRPr="006254DF">
        <w:rPr>
          <w:rFonts w:cstheme="minorHAnsi"/>
        </w:rPr>
        <w:t>AES3</w:t>
      </w:r>
      <w:r w:rsidR="004078D8" w:rsidRPr="006254DF">
        <w:rPr>
          <w:rFonts w:cstheme="minorHAnsi"/>
        </w:rPr>
        <w:t xml:space="preserve"> w jedną i </w:t>
      </w:r>
      <w:r w:rsidR="00A9558F" w:rsidRPr="006254DF">
        <w:rPr>
          <w:rFonts w:cstheme="minorHAnsi"/>
        </w:rPr>
        <w:t xml:space="preserve">4 w </w:t>
      </w:r>
      <w:r w:rsidR="004078D8" w:rsidRPr="006254DF">
        <w:rPr>
          <w:rFonts w:cstheme="minorHAnsi"/>
        </w:rPr>
        <w:t>drugą stronę</w:t>
      </w:r>
      <w:r w:rsidRPr="006254DF">
        <w:rPr>
          <w:rFonts w:cstheme="minorHAnsi"/>
        </w:rPr>
        <w:t>)</w:t>
      </w:r>
      <w:r w:rsidR="00D43B43" w:rsidRPr="006254DF">
        <w:rPr>
          <w:rFonts w:cstheme="minorHAnsi"/>
        </w:rPr>
        <w:t xml:space="preserve"> </w:t>
      </w:r>
      <w:r w:rsidRPr="006254DF">
        <w:rPr>
          <w:rFonts w:cstheme="minorHAnsi"/>
        </w:rPr>
        <w:t>z przełączaną konwersją próbkowania na wejściach</w:t>
      </w:r>
      <w:r w:rsidR="006254DF">
        <w:rPr>
          <w:rFonts w:cstheme="minorHAnsi"/>
        </w:rPr>
        <w:t>.</w:t>
      </w:r>
    </w:p>
    <w:p w14:paraId="3E6AD2C2" w14:textId="1EF50629" w:rsidR="008F3672" w:rsidRPr="008C65F9" w:rsidRDefault="008F3672" w:rsidP="00FA1230">
      <w:pPr>
        <w:spacing w:after="120" w:line="276" w:lineRule="auto"/>
        <w:ind w:left="284"/>
        <w:jc w:val="both"/>
        <w:rPr>
          <w:rFonts w:cstheme="minorHAnsi"/>
        </w:rPr>
      </w:pPr>
      <w:r w:rsidRPr="008C65F9">
        <w:rPr>
          <w:rFonts w:cstheme="minorHAnsi"/>
        </w:rPr>
        <w:t>Oprogramowanie</w:t>
      </w:r>
      <w:r w:rsidR="006D0725" w:rsidRPr="008C65F9">
        <w:rPr>
          <w:rFonts w:cstheme="minorHAnsi"/>
        </w:rPr>
        <w:t xml:space="preserve"> i </w:t>
      </w:r>
      <w:r w:rsidRPr="008C65F9">
        <w:rPr>
          <w:rFonts w:cstheme="minorHAnsi"/>
        </w:rPr>
        <w:t>licencje:</w:t>
      </w:r>
    </w:p>
    <w:p w14:paraId="7536FFFC" w14:textId="3720E55D" w:rsidR="00BF0E84" w:rsidRDefault="00BF0E84" w:rsidP="00FA1230">
      <w:pPr>
        <w:pStyle w:val="Akapitzlist"/>
        <w:numPr>
          <w:ilvl w:val="1"/>
          <w:numId w:val="20"/>
        </w:numPr>
        <w:spacing w:after="120" w:line="276" w:lineRule="auto"/>
        <w:ind w:hanging="508"/>
        <w:jc w:val="both"/>
        <w:rPr>
          <w:rFonts w:cstheme="minorHAnsi"/>
        </w:rPr>
      </w:pPr>
      <w:r w:rsidRPr="00BF0E84">
        <w:rPr>
          <w:rFonts w:cstheme="minorHAnsi"/>
        </w:rPr>
        <w:t xml:space="preserve">Dostarczone licencje muszą aktywować wszystkie funkcje wymagane w OPZ, w tym routing, SRC, zapisywanie i przywoływanie konfiguracji, automatyczny wybór zastępczego wejścia według określonego przez użytkownika priorytetu oraz automatyzację działań na podstawie co najmniej stanu sygnału, zegara lub wejść sterujących. Zdalne sterowanie routingiem musi być możliwe za pomocą protokołu </w:t>
      </w:r>
      <w:proofErr w:type="spellStart"/>
      <w:r w:rsidRPr="00BF0E84">
        <w:rPr>
          <w:rFonts w:cstheme="minorHAnsi"/>
        </w:rPr>
        <w:t>Ember</w:t>
      </w:r>
      <w:proofErr w:type="spellEnd"/>
      <w:r w:rsidRPr="00BF0E84">
        <w:rPr>
          <w:rFonts w:cstheme="minorHAnsi"/>
        </w:rPr>
        <w:t>+ lub równoważnego, jawnie udokumentowanego protokołu sterującego zapewniającego ten sam zakres funkcji.</w:t>
      </w:r>
    </w:p>
    <w:p w14:paraId="623EA971" w14:textId="77777777" w:rsidR="00DD1D84" w:rsidRPr="008C65F9" w:rsidRDefault="00DD1D84" w:rsidP="00FA1230">
      <w:pPr>
        <w:pStyle w:val="Akapitzlist"/>
        <w:spacing w:after="120" w:line="276" w:lineRule="auto"/>
        <w:jc w:val="both"/>
        <w:rPr>
          <w:rFonts w:cstheme="minorHAnsi"/>
        </w:rPr>
      </w:pPr>
    </w:p>
    <w:p w14:paraId="11ECAED6" w14:textId="53DD8E2E" w:rsidR="008F3672" w:rsidRPr="008C65F9" w:rsidRDefault="008F3672" w:rsidP="00FA1230">
      <w:pPr>
        <w:pStyle w:val="Akapitzlist"/>
        <w:numPr>
          <w:ilvl w:val="0"/>
          <w:numId w:val="20"/>
        </w:numPr>
        <w:spacing w:after="120" w:line="276" w:lineRule="auto"/>
        <w:jc w:val="both"/>
        <w:rPr>
          <w:rFonts w:cstheme="minorHAnsi"/>
          <w:b/>
          <w:bCs/>
        </w:rPr>
      </w:pPr>
      <w:r w:rsidRPr="008C65F9">
        <w:rPr>
          <w:rFonts w:cstheme="minorHAnsi"/>
          <w:b/>
          <w:bCs/>
        </w:rPr>
        <w:t xml:space="preserve">Urządzenie do bezpiecznego </w:t>
      </w:r>
      <w:r w:rsidR="007D2139" w:rsidRPr="008C65F9">
        <w:rPr>
          <w:rFonts w:cstheme="minorHAnsi"/>
          <w:b/>
          <w:bCs/>
        </w:rPr>
        <w:t>integrowania</w:t>
      </w:r>
      <w:r w:rsidRPr="008C65F9">
        <w:rPr>
          <w:rFonts w:cstheme="minorHAnsi"/>
          <w:b/>
          <w:bCs/>
        </w:rPr>
        <w:t xml:space="preserve"> sieci </w:t>
      </w:r>
      <w:proofErr w:type="spellStart"/>
      <w:r w:rsidR="00D43B43" w:rsidRPr="008C65F9">
        <w:rPr>
          <w:rFonts w:cstheme="minorHAnsi"/>
          <w:b/>
          <w:bCs/>
        </w:rPr>
        <w:t>AoIP</w:t>
      </w:r>
      <w:proofErr w:type="spellEnd"/>
      <w:r w:rsidR="007872F1" w:rsidRPr="008C65F9">
        <w:rPr>
          <w:rFonts w:cstheme="minorHAnsi"/>
          <w:b/>
          <w:bCs/>
        </w:rPr>
        <w:t xml:space="preserve"> wykorzystywanej przez Zamawiającego z urządzeniami nagraniowymi, odsłuchowymi i</w:t>
      </w:r>
      <w:r w:rsidRPr="008C65F9">
        <w:rPr>
          <w:rFonts w:cstheme="minorHAnsi"/>
          <w:b/>
          <w:bCs/>
        </w:rPr>
        <w:t xml:space="preserve"> </w:t>
      </w:r>
      <w:r w:rsidR="007872F1" w:rsidRPr="008C65F9">
        <w:rPr>
          <w:rFonts w:cstheme="minorHAnsi"/>
          <w:b/>
          <w:bCs/>
        </w:rPr>
        <w:t>u</w:t>
      </w:r>
      <w:r w:rsidR="007D2139" w:rsidRPr="008C65F9">
        <w:rPr>
          <w:rFonts w:cstheme="minorHAnsi"/>
          <w:b/>
          <w:bCs/>
        </w:rPr>
        <w:t>rządze</w:t>
      </w:r>
      <w:r w:rsidR="007872F1" w:rsidRPr="008C65F9">
        <w:rPr>
          <w:rFonts w:cstheme="minorHAnsi"/>
          <w:b/>
          <w:bCs/>
        </w:rPr>
        <w:t>niami</w:t>
      </w:r>
      <w:r w:rsidR="007D2139" w:rsidRPr="008C65F9">
        <w:rPr>
          <w:rFonts w:cstheme="minorHAnsi"/>
          <w:b/>
          <w:bCs/>
        </w:rPr>
        <w:t xml:space="preserve"> </w:t>
      </w:r>
      <w:r w:rsidR="007F3B5B" w:rsidRPr="008C65F9">
        <w:rPr>
          <w:rFonts w:cstheme="minorHAnsi"/>
          <w:b/>
          <w:bCs/>
        </w:rPr>
        <w:t xml:space="preserve">typu DSP </w:t>
      </w:r>
      <w:r w:rsidR="007D2139" w:rsidRPr="008C65F9">
        <w:rPr>
          <w:rFonts w:cstheme="minorHAnsi"/>
          <w:b/>
          <w:bCs/>
        </w:rPr>
        <w:t xml:space="preserve">- </w:t>
      </w:r>
      <w:r w:rsidR="004078D8" w:rsidRPr="008C65F9">
        <w:rPr>
          <w:rFonts w:cstheme="minorHAnsi"/>
          <w:b/>
          <w:bCs/>
        </w:rPr>
        <w:t xml:space="preserve">1 </w:t>
      </w:r>
      <w:r w:rsidR="00FA1230" w:rsidRPr="008C65F9">
        <w:rPr>
          <w:rFonts w:cstheme="minorHAnsi"/>
          <w:b/>
          <w:bCs/>
        </w:rPr>
        <w:t>zestaw</w:t>
      </w:r>
      <w:r w:rsidR="004078D8" w:rsidRPr="008C65F9">
        <w:rPr>
          <w:rFonts w:cstheme="minorHAnsi"/>
          <w:b/>
          <w:bCs/>
        </w:rPr>
        <w:t>.</w:t>
      </w:r>
    </w:p>
    <w:p w14:paraId="257CB1C2" w14:textId="34799BBD" w:rsidR="008F3672" w:rsidRPr="008C65F9" w:rsidRDefault="007872F1" w:rsidP="00FA1230">
      <w:pPr>
        <w:spacing w:after="120" w:line="276" w:lineRule="auto"/>
        <w:ind w:left="284"/>
        <w:jc w:val="both"/>
        <w:rPr>
          <w:rFonts w:cstheme="minorHAnsi"/>
        </w:rPr>
      </w:pPr>
      <w:r w:rsidRPr="008C65F9">
        <w:rPr>
          <w:rFonts w:cstheme="minorHAnsi"/>
        </w:rPr>
        <w:t>K</w:t>
      </w:r>
      <w:r w:rsidR="008F3672" w:rsidRPr="008C65F9">
        <w:rPr>
          <w:rFonts w:cstheme="minorHAnsi"/>
        </w:rPr>
        <w:t>onstrukcja</w:t>
      </w:r>
      <w:r w:rsidRPr="008C65F9">
        <w:rPr>
          <w:rFonts w:cstheme="minorHAnsi"/>
        </w:rPr>
        <w:t xml:space="preserve"> i złącza</w:t>
      </w:r>
      <w:r w:rsidR="008F3672" w:rsidRPr="008C65F9">
        <w:rPr>
          <w:rFonts w:cstheme="minorHAnsi"/>
        </w:rPr>
        <w:t>:</w:t>
      </w:r>
    </w:p>
    <w:p w14:paraId="0CFC2168" w14:textId="3431C35C" w:rsidR="004078D8" w:rsidRPr="008C65F9" w:rsidRDefault="004078D8" w:rsidP="00FA1230">
      <w:pPr>
        <w:pStyle w:val="Akapitzlist"/>
        <w:numPr>
          <w:ilvl w:val="1"/>
          <w:numId w:val="20"/>
        </w:numPr>
        <w:spacing w:after="120" w:line="276" w:lineRule="auto"/>
        <w:ind w:hanging="508"/>
        <w:jc w:val="both"/>
        <w:rPr>
          <w:rFonts w:cstheme="minorHAnsi"/>
        </w:rPr>
      </w:pPr>
      <w:r w:rsidRPr="008C65F9">
        <w:rPr>
          <w:rFonts w:cstheme="minorHAnsi"/>
        </w:rPr>
        <w:t>Co najmniej jedno wyjście słuchawkowe do odsłuchu dowolnego punktu sygnałowego</w:t>
      </w:r>
    </w:p>
    <w:p w14:paraId="3A5B9FD9" w14:textId="77777777" w:rsidR="00603280" w:rsidRDefault="00603280" w:rsidP="00FA1230">
      <w:pPr>
        <w:pStyle w:val="Akapitzlist"/>
        <w:numPr>
          <w:ilvl w:val="1"/>
          <w:numId w:val="20"/>
        </w:numPr>
        <w:spacing w:after="120" w:line="276" w:lineRule="auto"/>
        <w:ind w:hanging="508"/>
        <w:jc w:val="both"/>
        <w:rPr>
          <w:rFonts w:cstheme="minorHAnsi"/>
        </w:rPr>
      </w:pPr>
      <w:r w:rsidRPr="00603280">
        <w:rPr>
          <w:rFonts w:cstheme="minorHAnsi"/>
        </w:rPr>
        <w:t>Interfejs Dante zapewniający co najmniej 64 kanały wejściowe i 64 kanały wyjściowe.</w:t>
      </w:r>
    </w:p>
    <w:p w14:paraId="79F73363" w14:textId="3A6B1D9B" w:rsidR="00603280" w:rsidRDefault="00603280" w:rsidP="00FA1230">
      <w:pPr>
        <w:pStyle w:val="Akapitzlist"/>
        <w:numPr>
          <w:ilvl w:val="1"/>
          <w:numId w:val="20"/>
        </w:numPr>
        <w:spacing w:after="120" w:line="276" w:lineRule="auto"/>
        <w:ind w:hanging="508"/>
        <w:jc w:val="both"/>
        <w:rPr>
          <w:rFonts w:cstheme="minorHAnsi"/>
        </w:rPr>
      </w:pPr>
      <w:r w:rsidRPr="00603280">
        <w:rPr>
          <w:rFonts w:cstheme="minorHAnsi"/>
        </w:rPr>
        <w:t xml:space="preserve">Interfejs </w:t>
      </w:r>
      <w:proofErr w:type="spellStart"/>
      <w:r w:rsidRPr="00603280">
        <w:rPr>
          <w:rFonts w:cstheme="minorHAnsi"/>
        </w:rPr>
        <w:t>SoundGrid</w:t>
      </w:r>
      <w:proofErr w:type="spellEnd"/>
      <w:r w:rsidRPr="00603280">
        <w:rPr>
          <w:rFonts w:cstheme="minorHAnsi"/>
        </w:rPr>
        <w:t xml:space="preserve"> zapewniający co najmniej 64 kanały wejściowe i 64 kanały wyjściowe. Interfejsy Dante i </w:t>
      </w:r>
      <w:proofErr w:type="spellStart"/>
      <w:r w:rsidRPr="00603280">
        <w:rPr>
          <w:rFonts w:cstheme="minorHAnsi"/>
        </w:rPr>
        <w:t>SoundGrid</w:t>
      </w:r>
      <w:proofErr w:type="spellEnd"/>
      <w:r w:rsidRPr="00603280">
        <w:rPr>
          <w:rFonts w:cstheme="minorHAnsi"/>
        </w:rPr>
        <w:t xml:space="preserve"> muszą mieć możliwość pracy w odrębnych sieciach LAN. W przypadku pracy w niezależnych domenach zegarowych SRC musi być realizowane zgodnie z pkt 1.5.</w:t>
      </w:r>
    </w:p>
    <w:p w14:paraId="4B7AB861" w14:textId="729930EF" w:rsidR="00BF0E84" w:rsidRDefault="00BF0E84" w:rsidP="00FA1230">
      <w:pPr>
        <w:pStyle w:val="Akapitzlist"/>
        <w:numPr>
          <w:ilvl w:val="1"/>
          <w:numId w:val="20"/>
        </w:numPr>
        <w:spacing w:after="120" w:line="276" w:lineRule="auto"/>
        <w:ind w:hanging="508"/>
        <w:jc w:val="both"/>
        <w:rPr>
          <w:rFonts w:cstheme="minorHAnsi"/>
        </w:rPr>
      </w:pPr>
      <w:r w:rsidRPr="00BF0E84">
        <w:rPr>
          <w:rFonts w:cstheme="minorHAnsi"/>
        </w:rPr>
        <w:t xml:space="preserve">Interfejs MADI koncentryczny na złączu BNC, co najmniej 64 wejścia i 64 wyjścia. Interfejs może być wbudowany, modułowy albo realizowany przez dedykowany sprzętowy konwerter cyfrowy wchodzący w skład dopuszczalnego zestawu. </w:t>
      </w:r>
    </w:p>
    <w:p w14:paraId="044778B5" w14:textId="03F63D48" w:rsidR="008D40F9" w:rsidRPr="008C65F9" w:rsidRDefault="006254DF" w:rsidP="00FA1230">
      <w:pPr>
        <w:pStyle w:val="Akapitzlist"/>
        <w:numPr>
          <w:ilvl w:val="1"/>
          <w:numId w:val="20"/>
        </w:numPr>
        <w:spacing w:after="120" w:line="276" w:lineRule="auto"/>
        <w:ind w:hanging="508"/>
        <w:jc w:val="both"/>
        <w:rPr>
          <w:rFonts w:cstheme="minorHAnsi"/>
        </w:rPr>
      </w:pPr>
      <w:r w:rsidRPr="006254DF">
        <w:rPr>
          <w:rFonts w:cstheme="minorHAnsi"/>
        </w:rPr>
        <w:t xml:space="preserve">Analogowe wejścia/wyjścia </w:t>
      </w:r>
      <w:proofErr w:type="spellStart"/>
      <w:r w:rsidRPr="006254DF">
        <w:rPr>
          <w:rFonts w:cstheme="minorHAnsi"/>
        </w:rPr>
        <w:t>mikrofonowo-liniowe</w:t>
      </w:r>
      <w:proofErr w:type="spellEnd"/>
      <w:r w:rsidRPr="006254DF">
        <w:rPr>
          <w:rFonts w:cstheme="minorHAnsi"/>
        </w:rPr>
        <w:t>: co najmniej 8 wejść symetrycznych z zasilaniem Phantom +48 V oraz co najmniej 8 symetrycznych wyjść liniowych. Dopuszcza się ustawienie poziomu odniesienia wspólne dla karty, grupy kanałów albo urządzenia.</w:t>
      </w:r>
      <w:r w:rsidR="008D40F9" w:rsidRPr="008C65F9">
        <w:rPr>
          <w:rFonts w:cstheme="minorHAnsi"/>
        </w:rPr>
        <w:t xml:space="preserve"> </w:t>
      </w:r>
    </w:p>
    <w:p w14:paraId="18E36652" w14:textId="2FC954C1" w:rsidR="008F3672" w:rsidRPr="008C65F9" w:rsidRDefault="008F3672" w:rsidP="00FA1230">
      <w:pPr>
        <w:pStyle w:val="Akapitzlist"/>
        <w:numPr>
          <w:ilvl w:val="1"/>
          <w:numId w:val="20"/>
        </w:numPr>
        <w:spacing w:after="120" w:line="276" w:lineRule="auto"/>
        <w:ind w:hanging="508"/>
        <w:jc w:val="both"/>
        <w:rPr>
          <w:rFonts w:cstheme="minorHAnsi"/>
        </w:rPr>
      </w:pPr>
      <w:r w:rsidRPr="008C65F9">
        <w:rPr>
          <w:rFonts w:cstheme="minorHAnsi"/>
        </w:rPr>
        <w:t>Cyfrowe wejścia/wyjścia AES3: 8 wejść i 8 wyjść AES3 (4 pary), z przełączaną konwersją próbkowania na wejściach.</w:t>
      </w:r>
    </w:p>
    <w:p w14:paraId="323862DB" w14:textId="7FF74D93" w:rsidR="008F3672" w:rsidRPr="008C65F9" w:rsidRDefault="008F3672" w:rsidP="00FA1230">
      <w:pPr>
        <w:spacing w:after="120" w:line="276" w:lineRule="auto"/>
        <w:ind w:left="284"/>
        <w:jc w:val="both"/>
        <w:rPr>
          <w:rFonts w:cstheme="minorHAnsi"/>
        </w:rPr>
      </w:pPr>
      <w:r w:rsidRPr="008C65F9">
        <w:rPr>
          <w:rFonts w:cstheme="minorHAnsi"/>
        </w:rPr>
        <w:lastRenderedPageBreak/>
        <w:t>Oprogramowanie</w:t>
      </w:r>
      <w:r w:rsidR="006D0725" w:rsidRPr="008C65F9">
        <w:rPr>
          <w:rFonts w:cstheme="minorHAnsi"/>
        </w:rPr>
        <w:t xml:space="preserve"> i </w:t>
      </w:r>
      <w:r w:rsidRPr="008C65F9">
        <w:rPr>
          <w:rFonts w:cstheme="minorHAnsi"/>
        </w:rPr>
        <w:t>licencje:</w:t>
      </w:r>
    </w:p>
    <w:p w14:paraId="08CE0229" w14:textId="1BF86C86" w:rsidR="00BF0E84" w:rsidRDefault="00BF0E84" w:rsidP="00BF0E84">
      <w:pPr>
        <w:pStyle w:val="Akapitzlist"/>
        <w:numPr>
          <w:ilvl w:val="1"/>
          <w:numId w:val="20"/>
        </w:numPr>
        <w:spacing w:after="120" w:line="276" w:lineRule="auto"/>
        <w:ind w:hanging="508"/>
        <w:jc w:val="both"/>
        <w:rPr>
          <w:rFonts w:cstheme="minorHAnsi"/>
        </w:rPr>
      </w:pPr>
      <w:r w:rsidRPr="006254DF">
        <w:rPr>
          <w:rFonts w:cstheme="minorHAnsi"/>
        </w:rPr>
        <w:t>Dostarczone licencje muszą aktywować wszystkie funkcje i zasoby minimalne wyraźnie wskazane w pkt 1.4</w:t>
      </w:r>
      <w:r w:rsidR="00895A1A" w:rsidRPr="006254DF">
        <w:rPr>
          <w:rFonts w:cstheme="minorHAnsi"/>
        </w:rPr>
        <w:t>-</w:t>
      </w:r>
      <w:r w:rsidRPr="006254DF">
        <w:rPr>
          <w:rFonts w:cstheme="minorHAnsi"/>
        </w:rPr>
        <w:t>1.9 oraz 3.1</w:t>
      </w:r>
      <w:r w:rsidR="00895A1A" w:rsidRPr="006254DF">
        <w:rPr>
          <w:rFonts w:cstheme="minorHAnsi"/>
        </w:rPr>
        <w:t>-</w:t>
      </w:r>
      <w:r w:rsidRPr="006254DF">
        <w:rPr>
          <w:rFonts w:cstheme="minorHAnsi"/>
        </w:rPr>
        <w:t xml:space="preserve">3.6. </w:t>
      </w:r>
      <w:r w:rsidR="006254DF" w:rsidRPr="006254DF">
        <w:rPr>
          <w:rFonts w:cstheme="minorHAnsi"/>
        </w:rPr>
        <w:t>Zestaw musi zapewniać co najmniej 32 niezależne kanały przetwarzania. Każdy z tych kanałów musi umożliwiać jednoczesne zastosowanie korekcji z wykorzystaniem co najmniej czterech filtrów IIR albo równoważnej funkcjonalnie korekcji FIR, przetwarzania dynamiki oraz opóźnienia sygnału wynoszącego co najmniej 500 ms przy częstotliwości próbkowania 48 kHz.</w:t>
      </w:r>
    </w:p>
    <w:p w14:paraId="4634DB8A" w14:textId="77777777" w:rsidR="006254DF" w:rsidRPr="006254DF" w:rsidRDefault="006254DF" w:rsidP="006254DF">
      <w:pPr>
        <w:pStyle w:val="Akapitzlist"/>
        <w:spacing w:after="120" w:line="276" w:lineRule="auto"/>
        <w:ind w:left="792"/>
        <w:jc w:val="both"/>
        <w:rPr>
          <w:rFonts w:cstheme="minorHAnsi"/>
        </w:rPr>
      </w:pPr>
    </w:p>
    <w:p w14:paraId="79EC1876" w14:textId="1514D82D" w:rsidR="007F3B5B" w:rsidRPr="00B071A3" w:rsidRDefault="008F3672" w:rsidP="00FA1230">
      <w:pPr>
        <w:pStyle w:val="Akapitzlist"/>
        <w:numPr>
          <w:ilvl w:val="0"/>
          <w:numId w:val="20"/>
        </w:numPr>
        <w:spacing w:after="120" w:line="276" w:lineRule="auto"/>
        <w:jc w:val="both"/>
        <w:rPr>
          <w:rFonts w:cstheme="minorHAnsi"/>
          <w:b/>
          <w:bCs/>
        </w:rPr>
      </w:pPr>
      <w:r w:rsidRPr="00B071A3">
        <w:rPr>
          <w:rFonts w:cstheme="minorHAnsi"/>
          <w:b/>
          <w:bCs/>
        </w:rPr>
        <w:t xml:space="preserve">Urządzenie do podłączania </w:t>
      </w:r>
      <w:r w:rsidR="000316BB" w:rsidRPr="00B071A3">
        <w:rPr>
          <w:rFonts w:cstheme="minorHAnsi"/>
          <w:b/>
          <w:bCs/>
        </w:rPr>
        <w:t>zewnętrznych urządzeń do radiowych</w:t>
      </w:r>
      <w:r w:rsidRPr="00B071A3">
        <w:rPr>
          <w:rFonts w:cstheme="minorHAnsi"/>
          <w:b/>
          <w:bCs/>
        </w:rPr>
        <w:t xml:space="preserve"> </w:t>
      </w:r>
      <w:r w:rsidR="004078D8" w:rsidRPr="00B071A3">
        <w:rPr>
          <w:rFonts w:cstheme="minorHAnsi"/>
          <w:b/>
          <w:bCs/>
        </w:rPr>
        <w:t xml:space="preserve">sieci </w:t>
      </w:r>
      <w:proofErr w:type="spellStart"/>
      <w:r w:rsidR="004078D8" w:rsidRPr="00B071A3">
        <w:rPr>
          <w:rFonts w:cstheme="minorHAnsi"/>
          <w:b/>
          <w:bCs/>
        </w:rPr>
        <w:t>AoIP</w:t>
      </w:r>
      <w:proofErr w:type="spellEnd"/>
      <w:r w:rsidR="004078D8" w:rsidRPr="00B071A3">
        <w:rPr>
          <w:rFonts w:cstheme="minorHAnsi"/>
          <w:b/>
          <w:bCs/>
        </w:rPr>
        <w:t xml:space="preserve"> </w:t>
      </w:r>
      <w:r w:rsidR="000316BB" w:rsidRPr="00B071A3">
        <w:rPr>
          <w:rFonts w:cstheme="minorHAnsi"/>
          <w:b/>
          <w:bCs/>
        </w:rPr>
        <w:t>p</w:t>
      </w:r>
      <w:r w:rsidRPr="00B071A3">
        <w:rPr>
          <w:rFonts w:cstheme="minorHAnsi"/>
          <w:b/>
          <w:bCs/>
        </w:rPr>
        <w:t>rzeznaczone do dwukierunkowej konwersji i routingu sygnałów</w:t>
      </w:r>
      <w:r w:rsidR="007872F1" w:rsidRPr="00B071A3">
        <w:rPr>
          <w:rFonts w:cstheme="minorHAnsi"/>
          <w:b/>
          <w:bCs/>
        </w:rPr>
        <w:t>, w celu realizacji nagrań i transmisji spoza rozgłośni</w:t>
      </w:r>
      <w:r w:rsidRPr="00B071A3">
        <w:rPr>
          <w:rFonts w:cstheme="minorHAnsi"/>
          <w:b/>
          <w:bCs/>
        </w:rPr>
        <w:t xml:space="preserve"> </w:t>
      </w:r>
      <w:r w:rsidR="00FA1230" w:rsidRPr="00B071A3">
        <w:rPr>
          <w:rFonts w:cstheme="minorHAnsi"/>
          <w:b/>
          <w:bCs/>
        </w:rPr>
        <w:t>-</w:t>
      </w:r>
      <w:r w:rsidR="004078D8" w:rsidRPr="00B071A3">
        <w:rPr>
          <w:rFonts w:cstheme="minorHAnsi"/>
          <w:b/>
          <w:bCs/>
        </w:rPr>
        <w:t xml:space="preserve"> </w:t>
      </w:r>
      <w:r w:rsidR="00FA1230" w:rsidRPr="00B071A3">
        <w:rPr>
          <w:rFonts w:cstheme="minorHAnsi"/>
          <w:b/>
          <w:bCs/>
        </w:rPr>
        <w:t>1 zestaw</w:t>
      </w:r>
      <w:r w:rsidR="004078D8" w:rsidRPr="00B071A3">
        <w:rPr>
          <w:rFonts w:cstheme="minorHAnsi"/>
          <w:b/>
          <w:bCs/>
        </w:rPr>
        <w:t>.</w:t>
      </w:r>
    </w:p>
    <w:p w14:paraId="06C5FAC6" w14:textId="0A78FBA6" w:rsidR="001D1831" w:rsidRPr="00B071A3" w:rsidRDefault="001D1831" w:rsidP="00FA1230">
      <w:pPr>
        <w:spacing w:after="120" w:line="276" w:lineRule="auto"/>
        <w:ind w:left="284"/>
        <w:jc w:val="both"/>
        <w:rPr>
          <w:rFonts w:cstheme="minorHAnsi"/>
        </w:rPr>
      </w:pPr>
      <w:r w:rsidRPr="00B071A3">
        <w:rPr>
          <w:rFonts w:cstheme="minorHAnsi"/>
        </w:rPr>
        <w:t>Konstrukcja i złącza:</w:t>
      </w:r>
    </w:p>
    <w:p w14:paraId="501A7D52" w14:textId="5CF43FFA" w:rsidR="008F3672" w:rsidRPr="00B071A3" w:rsidRDefault="008F3672" w:rsidP="00FA1230">
      <w:pPr>
        <w:pStyle w:val="Akapitzlist"/>
        <w:numPr>
          <w:ilvl w:val="1"/>
          <w:numId w:val="20"/>
        </w:numPr>
        <w:spacing w:after="120" w:line="276" w:lineRule="auto"/>
        <w:ind w:hanging="508"/>
        <w:jc w:val="both"/>
        <w:rPr>
          <w:rFonts w:cstheme="minorHAnsi"/>
        </w:rPr>
      </w:pPr>
      <w:r w:rsidRPr="00B071A3">
        <w:rPr>
          <w:rFonts w:cstheme="minorHAnsi"/>
        </w:rPr>
        <w:t>Dwukierunkowa konwersja i routing 64 kanałów pomiędzy siecią</w:t>
      </w:r>
      <w:r w:rsidR="000316BB" w:rsidRPr="00B071A3">
        <w:rPr>
          <w:rFonts w:cstheme="minorHAnsi"/>
        </w:rPr>
        <w:t xml:space="preserve"> </w:t>
      </w:r>
      <w:r w:rsidRPr="00B071A3">
        <w:rPr>
          <w:rFonts w:cstheme="minorHAnsi"/>
        </w:rPr>
        <w:t>Ravenna (</w:t>
      </w:r>
      <w:r w:rsidR="000316BB" w:rsidRPr="00B071A3">
        <w:rPr>
          <w:rFonts w:cstheme="minorHAnsi"/>
        </w:rPr>
        <w:t xml:space="preserve">w pełni </w:t>
      </w:r>
      <w:r w:rsidRPr="00B071A3">
        <w:rPr>
          <w:rFonts w:cstheme="minorHAnsi"/>
        </w:rPr>
        <w:t>zgodną z AES67)</w:t>
      </w:r>
      <w:r w:rsidR="004078D8" w:rsidRPr="00B071A3">
        <w:rPr>
          <w:rFonts w:cstheme="minorHAnsi"/>
        </w:rPr>
        <w:t>,</w:t>
      </w:r>
      <w:r w:rsidRPr="00B071A3">
        <w:rPr>
          <w:rFonts w:cstheme="minorHAnsi"/>
        </w:rPr>
        <w:t xml:space="preserve"> a MADI</w:t>
      </w:r>
      <w:r w:rsidR="003431D5" w:rsidRPr="00B071A3">
        <w:rPr>
          <w:rFonts w:cstheme="minorHAnsi"/>
        </w:rPr>
        <w:t xml:space="preserve"> oraz złączem USB.</w:t>
      </w:r>
    </w:p>
    <w:p w14:paraId="17312B0C" w14:textId="33DF12F6" w:rsidR="000316BB" w:rsidRPr="00B071A3" w:rsidRDefault="000A7DB8" w:rsidP="00FA1230">
      <w:pPr>
        <w:pStyle w:val="Akapitzlist"/>
        <w:numPr>
          <w:ilvl w:val="1"/>
          <w:numId w:val="20"/>
        </w:numPr>
        <w:spacing w:after="120" w:line="276" w:lineRule="auto"/>
        <w:ind w:hanging="508"/>
        <w:jc w:val="both"/>
        <w:rPr>
          <w:rFonts w:cstheme="minorHAnsi"/>
        </w:rPr>
      </w:pPr>
      <w:r w:rsidRPr="00B071A3">
        <w:rPr>
          <w:rFonts w:cstheme="minorHAnsi"/>
        </w:rPr>
        <w:t xml:space="preserve">Możliwość podłączenia sygnału </w:t>
      </w:r>
      <w:r w:rsidR="008F3672" w:rsidRPr="00B071A3">
        <w:rPr>
          <w:rFonts w:cstheme="minorHAnsi"/>
        </w:rPr>
        <w:t>MADI różnych typów: optyczny (SC)</w:t>
      </w:r>
      <w:r w:rsidR="004078D8" w:rsidRPr="00B071A3">
        <w:rPr>
          <w:rFonts w:cstheme="minorHAnsi"/>
        </w:rPr>
        <w:t xml:space="preserve"> i</w:t>
      </w:r>
      <w:r w:rsidR="008F3672" w:rsidRPr="00B071A3">
        <w:rPr>
          <w:rFonts w:cstheme="minorHAnsi"/>
        </w:rPr>
        <w:t xml:space="preserve"> koncentryczny (BNC) </w:t>
      </w:r>
    </w:p>
    <w:p w14:paraId="14A3F150" w14:textId="77777777" w:rsidR="004078D8" w:rsidRPr="00B071A3" w:rsidRDefault="004078D8" w:rsidP="00FA1230">
      <w:pPr>
        <w:pStyle w:val="Akapitzlist"/>
        <w:numPr>
          <w:ilvl w:val="1"/>
          <w:numId w:val="20"/>
        </w:numPr>
        <w:spacing w:after="120" w:line="276" w:lineRule="auto"/>
        <w:ind w:hanging="508"/>
        <w:jc w:val="both"/>
        <w:rPr>
          <w:rFonts w:cstheme="minorHAnsi"/>
        </w:rPr>
      </w:pPr>
      <w:r w:rsidRPr="00B071A3">
        <w:rPr>
          <w:rFonts w:cstheme="minorHAnsi"/>
        </w:rPr>
        <w:t>Co najmniej dwa</w:t>
      </w:r>
      <w:r w:rsidR="008F3672" w:rsidRPr="00B071A3">
        <w:rPr>
          <w:rFonts w:cstheme="minorHAnsi"/>
        </w:rPr>
        <w:t xml:space="preserve"> porty sieciowe </w:t>
      </w:r>
      <w:r w:rsidRPr="00B071A3">
        <w:rPr>
          <w:rFonts w:cstheme="minorHAnsi"/>
        </w:rPr>
        <w:t>Gigabit Ethernet,</w:t>
      </w:r>
      <w:r w:rsidR="008F3672" w:rsidRPr="00B071A3">
        <w:rPr>
          <w:rFonts w:cstheme="minorHAnsi"/>
        </w:rPr>
        <w:t xml:space="preserve"> z obsługą redundancji strumieni (dwa niezależne interfejsy sieciowe).</w:t>
      </w:r>
    </w:p>
    <w:p w14:paraId="58137881" w14:textId="6A868C10" w:rsidR="006D0725" w:rsidRPr="00B071A3" w:rsidRDefault="006D0725" w:rsidP="00FA1230">
      <w:pPr>
        <w:spacing w:after="120" w:line="276" w:lineRule="auto"/>
        <w:ind w:firstLine="284"/>
        <w:jc w:val="both"/>
        <w:rPr>
          <w:rFonts w:cstheme="minorHAnsi"/>
        </w:rPr>
      </w:pPr>
      <w:r w:rsidRPr="00B071A3">
        <w:rPr>
          <w:rFonts w:cstheme="minorHAnsi"/>
        </w:rPr>
        <w:t>Oprogramowanie i licencje:</w:t>
      </w:r>
    </w:p>
    <w:p w14:paraId="1E7F4DDF" w14:textId="151D59A5" w:rsidR="007C057C" w:rsidRDefault="006254DF" w:rsidP="007C057C">
      <w:pPr>
        <w:pStyle w:val="Akapitzlist"/>
        <w:numPr>
          <w:ilvl w:val="1"/>
          <w:numId w:val="20"/>
        </w:numPr>
        <w:spacing w:after="120" w:line="276" w:lineRule="auto"/>
        <w:ind w:hanging="508"/>
        <w:jc w:val="both"/>
        <w:rPr>
          <w:rFonts w:cstheme="minorHAnsi"/>
        </w:rPr>
      </w:pPr>
      <w:r w:rsidRPr="006254DF">
        <w:rPr>
          <w:rFonts w:cstheme="minorHAnsi"/>
        </w:rPr>
        <w:t xml:space="preserve">Zestaw musi umożliwiać routing dowolnego zewnętrznego kanału wejściowego do dowolnego zewnętrznego kanału wyjściowego oraz konfigurację co najmniej 64 par źródeł podstawowych i rezerwowych. Automatyczne przełączenie na źródło rezerwowe musi następować po utracie strumienia sieciowego albo synchronizacji. Przerwa w sygnale, liczona od chwili wykrycia awarii przez urządzenie, nie może przekroczyć 10 ms. </w:t>
      </w:r>
    </w:p>
    <w:p w14:paraId="530F82E4" w14:textId="77777777" w:rsidR="006254DF" w:rsidRPr="006254DF" w:rsidRDefault="006254DF" w:rsidP="006254DF">
      <w:pPr>
        <w:pStyle w:val="Akapitzlist"/>
        <w:spacing w:after="120" w:line="276" w:lineRule="auto"/>
        <w:ind w:left="792"/>
        <w:jc w:val="both"/>
        <w:rPr>
          <w:rFonts w:cstheme="minorHAnsi"/>
        </w:rPr>
      </w:pPr>
    </w:p>
    <w:p w14:paraId="2A043F1C" w14:textId="2BCD2841" w:rsidR="002151F9" w:rsidRPr="00B071A3" w:rsidRDefault="008F3672" w:rsidP="00FA1230">
      <w:pPr>
        <w:pStyle w:val="Akapitzlist"/>
        <w:spacing w:after="120" w:line="276" w:lineRule="auto"/>
        <w:ind w:left="0"/>
        <w:jc w:val="both"/>
        <w:rPr>
          <w:rFonts w:cstheme="minorHAnsi"/>
          <w:b/>
          <w:bCs/>
        </w:rPr>
      </w:pPr>
      <w:r w:rsidRPr="00B071A3">
        <w:rPr>
          <w:rFonts w:cstheme="minorHAnsi"/>
          <w:b/>
          <w:bCs/>
        </w:rPr>
        <w:t xml:space="preserve">CZĘŚĆ II - PRZEDWZMACNIACZ MIKROFONOWY (STAGEBOX) WSPÓŁPRACUJĄCY Z SIECIAMI </w:t>
      </w:r>
      <w:r w:rsidR="001D1831" w:rsidRPr="00B071A3">
        <w:rPr>
          <w:rFonts w:cstheme="minorHAnsi"/>
          <w:b/>
          <w:bCs/>
        </w:rPr>
        <w:t xml:space="preserve">W STANDARDZIE </w:t>
      </w:r>
      <w:r w:rsidR="002041DC">
        <w:rPr>
          <w:rFonts w:cstheme="minorHAnsi"/>
          <w:b/>
          <w:bCs/>
        </w:rPr>
        <w:t>DANTE</w:t>
      </w:r>
    </w:p>
    <w:p w14:paraId="65C77A55" w14:textId="77777777" w:rsidR="001D1831" w:rsidRPr="00B071A3" w:rsidRDefault="001D1831" w:rsidP="00FA1230">
      <w:pPr>
        <w:pStyle w:val="Akapitzlist"/>
        <w:spacing w:after="120" w:line="276" w:lineRule="auto"/>
        <w:ind w:left="0"/>
        <w:jc w:val="both"/>
        <w:rPr>
          <w:rFonts w:cstheme="minorHAnsi"/>
        </w:rPr>
      </w:pPr>
    </w:p>
    <w:p w14:paraId="38DF406D" w14:textId="0517AD1F" w:rsidR="008F3672" w:rsidRPr="00B071A3" w:rsidRDefault="008F3672" w:rsidP="00FA1230">
      <w:pPr>
        <w:pStyle w:val="Akapitzlist"/>
        <w:numPr>
          <w:ilvl w:val="0"/>
          <w:numId w:val="26"/>
        </w:numPr>
        <w:spacing w:after="120" w:line="276" w:lineRule="auto"/>
        <w:ind w:left="284" w:hanging="284"/>
        <w:jc w:val="both"/>
        <w:rPr>
          <w:rFonts w:cstheme="minorHAnsi"/>
          <w:b/>
          <w:bCs/>
        </w:rPr>
      </w:pPr>
      <w:r w:rsidRPr="00B071A3">
        <w:rPr>
          <w:rFonts w:cstheme="minorHAnsi"/>
          <w:b/>
          <w:bCs/>
        </w:rPr>
        <w:t>Sieciowy interfejs wejść/wyjść z przedwzmacniaczami mikrofonowymi</w:t>
      </w:r>
      <w:r w:rsidR="007F3B5B" w:rsidRPr="00B071A3">
        <w:rPr>
          <w:rFonts w:cstheme="minorHAnsi"/>
          <w:b/>
          <w:bCs/>
        </w:rPr>
        <w:t xml:space="preserve"> </w:t>
      </w:r>
      <w:r w:rsidRPr="00B071A3">
        <w:rPr>
          <w:rFonts w:cstheme="minorHAnsi"/>
          <w:b/>
          <w:bCs/>
        </w:rPr>
        <w:t>(</w:t>
      </w:r>
      <w:r w:rsidR="007F3B5B" w:rsidRPr="00B071A3">
        <w:rPr>
          <w:rFonts w:cstheme="minorHAnsi"/>
          <w:b/>
          <w:bCs/>
        </w:rPr>
        <w:t xml:space="preserve">typu </w:t>
      </w:r>
      <w:proofErr w:type="spellStart"/>
      <w:r w:rsidRPr="00B071A3">
        <w:rPr>
          <w:rFonts w:cstheme="minorHAnsi"/>
          <w:b/>
          <w:bCs/>
        </w:rPr>
        <w:t>stagebox</w:t>
      </w:r>
      <w:proofErr w:type="spellEnd"/>
      <w:r w:rsidRPr="00B071A3">
        <w:rPr>
          <w:rFonts w:cstheme="minorHAnsi"/>
          <w:b/>
          <w:bCs/>
        </w:rPr>
        <w:t>) - 1 szt.</w:t>
      </w:r>
    </w:p>
    <w:p w14:paraId="0127254A" w14:textId="77777777" w:rsidR="008F3672" w:rsidRPr="00B071A3" w:rsidRDefault="008F3672" w:rsidP="00FA1230">
      <w:pPr>
        <w:spacing w:after="120" w:line="276" w:lineRule="auto"/>
        <w:ind w:left="284"/>
        <w:jc w:val="both"/>
        <w:rPr>
          <w:rFonts w:cstheme="minorHAnsi"/>
        </w:rPr>
      </w:pPr>
      <w:r w:rsidRPr="00B071A3">
        <w:rPr>
          <w:rFonts w:cstheme="minorHAnsi"/>
        </w:rPr>
        <w:t>Konstrukcja i wyposażenie:</w:t>
      </w:r>
    </w:p>
    <w:p w14:paraId="55CE360A" w14:textId="07D5AFC2" w:rsidR="008F3672" w:rsidRPr="008C65F9" w:rsidRDefault="008F3672" w:rsidP="00FA1230">
      <w:pPr>
        <w:pStyle w:val="Akapitzlist"/>
        <w:numPr>
          <w:ilvl w:val="1"/>
          <w:numId w:val="26"/>
        </w:numPr>
        <w:spacing w:after="120" w:line="276" w:lineRule="auto"/>
        <w:ind w:hanging="508"/>
        <w:jc w:val="both"/>
        <w:rPr>
          <w:rFonts w:cstheme="minorHAnsi"/>
        </w:rPr>
      </w:pPr>
      <w:r w:rsidRPr="008C65F9">
        <w:rPr>
          <w:rFonts w:cstheme="minorHAnsi"/>
        </w:rPr>
        <w:t xml:space="preserve">Obudowa </w:t>
      </w:r>
      <w:proofErr w:type="spellStart"/>
      <w:r w:rsidRPr="008C65F9">
        <w:rPr>
          <w:rFonts w:cstheme="minorHAnsi"/>
        </w:rPr>
        <w:t>rack</w:t>
      </w:r>
      <w:proofErr w:type="spellEnd"/>
      <w:r w:rsidRPr="008C65F9">
        <w:rPr>
          <w:rFonts w:cstheme="minorHAnsi"/>
        </w:rPr>
        <w:t xml:space="preserve"> 19</w:t>
      </w:r>
      <w:r w:rsidR="007F3B5B" w:rsidRPr="008C65F9">
        <w:rPr>
          <w:rFonts w:cstheme="minorHAnsi"/>
        </w:rPr>
        <w:t>”</w:t>
      </w:r>
    </w:p>
    <w:p w14:paraId="62FBF346" w14:textId="14968E74" w:rsidR="008F3672" w:rsidRPr="008C65F9" w:rsidRDefault="007F3B5B" w:rsidP="00FA1230">
      <w:pPr>
        <w:pStyle w:val="Akapitzlist"/>
        <w:numPr>
          <w:ilvl w:val="1"/>
          <w:numId w:val="26"/>
        </w:numPr>
        <w:spacing w:after="120" w:line="276" w:lineRule="auto"/>
        <w:ind w:hanging="508"/>
        <w:jc w:val="both"/>
        <w:rPr>
          <w:rFonts w:cstheme="minorHAnsi"/>
        </w:rPr>
      </w:pPr>
      <w:r w:rsidRPr="008C65F9">
        <w:rPr>
          <w:rFonts w:cstheme="minorHAnsi"/>
        </w:rPr>
        <w:t>R</w:t>
      </w:r>
      <w:r w:rsidR="008F3672" w:rsidRPr="008C65F9">
        <w:rPr>
          <w:rFonts w:cstheme="minorHAnsi"/>
        </w:rPr>
        <w:t>edundantne zasilacze z niezależnymi wejściami</w:t>
      </w:r>
    </w:p>
    <w:p w14:paraId="4DEF0437" w14:textId="4DDFE0F1" w:rsidR="00EF5160" w:rsidRDefault="00895A1A" w:rsidP="00FA1230">
      <w:pPr>
        <w:pStyle w:val="Akapitzlist"/>
        <w:numPr>
          <w:ilvl w:val="1"/>
          <w:numId w:val="26"/>
        </w:numPr>
        <w:spacing w:after="120" w:line="276" w:lineRule="auto"/>
        <w:ind w:hanging="508"/>
        <w:jc w:val="both"/>
        <w:rPr>
          <w:rFonts w:cstheme="minorHAnsi"/>
        </w:rPr>
      </w:pPr>
      <w:r w:rsidRPr="00895A1A">
        <w:rPr>
          <w:rFonts w:cstheme="minorHAnsi"/>
        </w:rPr>
        <w:t xml:space="preserve">Co najmniej 32 wejścia </w:t>
      </w:r>
      <w:proofErr w:type="spellStart"/>
      <w:r w:rsidRPr="00895A1A">
        <w:rPr>
          <w:rFonts w:cstheme="minorHAnsi"/>
        </w:rPr>
        <w:t>mikrofonowo-liniowe</w:t>
      </w:r>
      <w:proofErr w:type="spellEnd"/>
      <w:r w:rsidRPr="00895A1A">
        <w:rPr>
          <w:rFonts w:cstheme="minorHAnsi"/>
        </w:rPr>
        <w:t xml:space="preserve"> ze zdalnie sterowanymi przedwzmacniaczami lub równoważną architekturą wejściową, spełniające wymagania określone w pkt </w:t>
      </w:r>
      <w:r w:rsidR="00981054">
        <w:rPr>
          <w:rFonts w:cstheme="minorHAnsi"/>
        </w:rPr>
        <w:fldChar w:fldCharType="begin"/>
      </w:r>
      <w:r w:rsidR="00981054">
        <w:rPr>
          <w:rFonts w:cstheme="minorHAnsi"/>
        </w:rPr>
        <w:instrText xml:space="preserve"> REF _Ref234933704 \r \h </w:instrText>
      </w:r>
      <w:r w:rsidR="00981054">
        <w:rPr>
          <w:rFonts w:cstheme="minorHAnsi"/>
        </w:rPr>
      </w:r>
      <w:r w:rsidR="00981054">
        <w:rPr>
          <w:rFonts w:cstheme="minorHAnsi"/>
        </w:rPr>
        <w:fldChar w:fldCharType="separate"/>
      </w:r>
      <w:r w:rsidR="00981054">
        <w:rPr>
          <w:rFonts w:cstheme="minorHAnsi"/>
        </w:rPr>
        <w:t>1.11</w:t>
      </w:r>
      <w:r w:rsidR="00981054">
        <w:rPr>
          <w:rFonts w:cstheme="minorHAnsi"/>
        </w:rPr>
        <w:fldChar w:fldCharType="end"/>
      </w:r>
      <w:r w:rsidR="00981054">
        <w:rPr>
          <w:rFonts w:cstheme="minorHAnsi"/>
        </w:rPr>
        <w:t>-</w:t>
      </w:r>
      <w:r w:rsidR="00981054">
        <w:rPr>
          <w:rFonts w:cstheme="minorHAnsi"/>
        </w:rPr>
        <w:fldChar w:fldCharType="begin"/>
      </w:r>
      <w:r w:rsidR="00981054">
        <w:rPr>
          <w:rFonts w:cstheme="minorHAnsi"/>
        </w:rPr>
        <w:instrText xml:space="preserve"> REF _Ref234933714 \r \h </w:instrText>
      </w:r>
      <w:r w:rsidR="00981054">
        <w:rPr>
          <w:rFonts w:cstheme="minorHAnsi"/>
        </w:rPr>
      </w:r>
      <w:r w:rsidR="00981054">
        <w:rPr>
          <w:rFonts w:cstheme="minorHAnsi"/>
        </w:rPr>
        <w:fldChar w:fldCharType="separate"/>
      </w:r>
      <w:r w:rsidR="00981054">
        <w:rPr>
          <w:rFonts w:cstheme="minorHAnsi"/>
        </w:rPr>
        <w:t>1.14</w:t>
      </w:r>
      <w:r w:rsidR="00981054">
        <w:rPr>
          <w:rFonts w:cstheme="minorHAnsi"/>
        </w:rPr>
        <w:fldChar w:fldCharType="end"/>
      </w:r>
      <w:r w:rsidRPr="00895A1A">
        <w:rPr>
          <w:rFonts w:cstheme="minorHAnsi"/>
        </w:rPr>
        <w:t>, na złączach XLR.</w:t>
      </w:r>
      <w:r>
        <w:rPr>
          <w:rFonts w:cstheme="minorHAnsi"/>
        </w:rPr>
        <w:t xml:space="preserve"> </w:t>
      </w:r>
    </w:p>
    <w:p w14:paraId="75F5D236" w14:textId="7ACAB783" w:rsidR="008F3672" w:rsidRPr="008C65F9" w:rsidRDefault="008F3672" w:rsidP="00FA1230">
      <w:pPr>
        <w:pStyle w:val="Akapitzlist"/>
        <w:numPr>
          <w:ilvl w:val="1"/>
          <w:numId w:val="26"/>
        </w:numPr>
        <w:spacing w:after="120" w:line="276" w:lineRule="auto"/>
        <w:ind w:hanging="508"/>
        <w:jc w:val="both"/>
        <w:rPr>
          <w:rFonts w:cstheme="minorHAnsi"/>
        </w:rPr>
      </w:pPr>
      <w:r w:rsidRPr="008C65F9">
        <w:rPr>
          <w:rFonts w:cstheme="minorHAnsi"/>
        </w:rPr>
        <w:t>Co najmniej 16 wyjść liniowych analogowych na złączach XLR.</w:t>
      </w:r>
    </w:p>
    <w:p w14:paraId="1E4DB12B" w14:textId="71872918" w:rsidR="00EF5160" w:rsidRDefault="00EF5160" w:rsidP="00FA1230">
      <w:pPr>
        <w:pStyle w:val="Akapitzlist"/>
        <w:numPr>
          <w:ilvl w:val="1"/>
          <w:numId w:val="26"/>
        </w:numPr>
        <w:spacing w:after="120" w:line="276" w:lineRule="auto"/>
        <w:ind w:hanging="508"/>
        <w:jc w:val="both"/>
        <w:rPr>
          <w:rFonts w:cstheme="minorHAnsi"/>
        </w:rPr>
      </w:pPr>
      <w:r w:rsidRPr="00EF5160">
        <w:rPr>
          <w:rFonts w:cstheme="minorHAnsi"/>
        </w:rPr>
        <w:lastRenderedPageBreak/>
        <w:t>Co najmniej 4 wejścia i 4 wyjścia AES3, z których każde przenosi po dwa niezależnie routowane kanały audio, co daje łącznie co najmniej 8 kanałów wejściowych i 8 kanałów wyjściowych. Złącza mogą być wykonane bezpośrednio jako XLR3 albo jako DB25 zgodne z AES59, pod warunkiem dostarczenia kompletnego panelu lub przewodów DB25–XLR.</w:t>
      </w:r>
    </w:p>
    <w:p w14:paraId="21548368" w14:textId="316C2ED7" w:rsidR="007C057C" w:rsidRDefault="007C057C" w:rsidP="00FA1230">
      <w:pPr>
        <w:pStyle w:val="Akapitzlist"/>
        <w:numPr>
          <w:ilvl w:val="1"/>
          <w:numId w:val="26"/>
        </w:numPr>
        <w:spacing w:after="120" w:line="276" w:lineRule="auto"/>
        <w:ind w:hanging="508"/>
        <w:jc w:val="both"/>
        <w:rPr>
          <w:rFonts w:cstheme="minorHAnsi"/>
        </w:rPr>
      </w:pPr>
      <w:r w:rsidRPr="007C057C">
        <w:rPr>
          <w:rFonts w:cstheme="minorHAnsi"/>
        </w:rPr>
        <w:t xml:space="preserve">Panel przedni musi umożliwiać odczyt, bez użycia zewnętrznego komputera, obecności sygnału, przesterowania i stanu zasilania Phantom indywidualnie dla każdego kanału oraz stanu zasilania i interfejsów sieciowych. Dopuszcza się oddzielne wskaźniki LED albo wybieralny wyświetlacz ekranowy. </w:t>
      </w:r>
    </w:p>
    <w:p w14:paraId="5AD36143" w14:textId="601BB0A5" w:rsidR="008F3672" w:rsidRPr="007C057C" w:rsidRDefault="008F3672" w:rsidP="007C057C">
      <w:pPr>
        <w:spacing w:after="120" w:line="276" w:lineRule="auto"/>
        <w:ind w:left="284"/>
        <w:jc w:val="both"/>
        <w:rPr>
          <w:rFonts w:cstheme="minorHAnsi"/>
        </w:rPr>
      </w:pPr>
      <w:r w:rsidRPr="007C057C">
        <w:rPr>
          <w:rFonts w:cstheme="minorHAnsi"/>
        </w:rPr>
        <w:t>Sieć i sterowanie:</w:t>
      </w:r>
    </w:p>
    <w:p w14:paraId="7A473E3F" w14:textId="2C144D27" w:rsidR="008F3672" w:rsidRPr="008C65F9" w:rsidRDefault="008F3672" w:rsidP="00FA1230">
      <w:pPr>
        <w:pStyle w:val="Akapitzlist"/>
        <w:numPr>
          <w:ilvl w:val="1"/>
          <w:numId w:val="26"/>
        </w:numPr>
        <w:spacing w:after="120" w:line="276" w:lineRule="auto"/>
        <w:ind w:hanging="508"/>
        <w:jc w:val="both"/>
        <w:rPr>
          <w:rFonts w:cstheme="minorHAnsi"/>
        </w:rPr>
      </w:pPr>
      <w:r w:rsidRPr="008C65F9">
        <w:rPr>
          <w:rFonts w:cstheme="minorHAnsi"/>
        </w:rPr>
        <w:t>Praca w sieci Dante z obsługą transportu AES67</w:t>
      </w:r>
    </w:p>
    <w:p w14:paraId="1A2C0135" w14:textId="52B48840" w:rsidR="008F3672" w:rsidRPr="008C65F9" w:rsidRDefault="008F3672" w:rsidP="00FA1230">
      <w:pPr>
        <w:pStyle w:val="Akapitzlist"/>
        <w:numPr>
          <w:ilvl w:val="1"/>
          <w:numId w:val="26"/>
        </w:numPr>
        <w:spacing w:after="120" w:line="276" w:lineRule="auto"/>
        <w:ind w:hanging="508"/>
        <w:jc w:val="both"/>
        <w:rPr>
          <w:rFonts w:cstheme="minorHAnsi"/>
        </w:rPr>
      </w:pPr>
      <w:r w:rsidRPr="008C65F9">
        <w:rPr>
          <w:rFonts w:cstheme="minorHAnsi"/>
        </w:rPr>
        <w:t>Para redundantnych złączy sieciowych RJ45 dla sieci</w:t>
      </w:r>
      <w:r w:rsidR="00645CF9" w:rsidRPr="008C65F9">
        <w:rPr>
          <w:rFonts w:cstheme="minorHAnsi"/>
        </w:rPr>
        <w:t xml:space="preserve"> </w:t>
      </w:r>
      <w:proofErr w:type="spellStart"/>
      <w:r w:rsidR="00645CF9" w:rsidRPr="008C65F9">
        <w:rPr>
          <w:rFonts w:cstheme="minorHAnsi"/>
        </w:rPr>
        <w:t>primary</w:t>
      </w:r>
      <w:proofErr w:type="spellEnd"/>
      <w:r w:rsidR="00645CF9" w:rsidRPr="008C65F9">
        <w:rPr>
          <w:rFonts w:cstheme="minorHAnsi"/>
        </w:rPr>
        <w:t xml:space="preserve"> i </w:t>
      </w:r>
      <w:proofErr w:type="spellStart"/>
      <w:r w:rsidR="00645CF9" w:rsidRPr="008C65F9">
        <w:rPr>
          <w:rFonts w:cstheme="minorHAnsi"/>
        </w:rPr>
        <w:t>secondary</w:t>
      </w:r>
      <w:proofErr w:type="spellEnd"/>
      <w:r w:rsidR="00645CF9" w:rsidRPr="008C65F9">
        <w:rPr>
          <w:rFonts w:cstheme="minorHAnsi"/>
        </w:rPr>
        <w:t>.</w:t>
      </w:r>
    </w:p>
    <w:p w14:paraId="5349612F" w14:textId="508716AE" w:rsidR="007C057C" w:rsidRPr="007C057C" w:rsidRDefault="007C057C" w:rsidP="007C057C">
      <w:pPr>
        <w:pStyle w:val="Akapitzlist"/>
        <w:numPr>
          <w:ilvl w:val="1"/>
          <w:numId w:val="26"/>
        </w:numPr>
        <w:spacing w:after="120" w:line="276" w:lineRule="auto"/>
        <w:ind w:hanging="508"/>
        <w:jc w:val="both"/>
        <w:rPr>
          <w:rFonts w:cstheme="minorHAnsi"/>
        </w:rPr>
      </w:pPr>
      <w:r w:rsidRPr="007C057C">
        <w:rPr>
          <w:rFonts w:cstheme="minorHAnsi"/>
        </w:rPr>
        <w:t>Dla każdego fizycznego wejścia mikrofonowego zestaw musi jednocześnie udostępniać w sieci Dante co najmniej dwie niezależne ścieżki sygnałowe: ścieżkę główną i ścieżkę, której poziom pozostaje niezmieniony przy zmianie wzmocnienia lub poziomu używanego przez operatora ścieżki głównej.</w:t>
      </w:r>
      <w:r>
        <w:rPr>
          <w:rFonts w:cstheme="minorHAnsi"/>
        </w:rPr>
        <w:t xml:space="preserve"> </w:t>
      </w:r>
      <w:r w:rsidRPr="007C057C">
        <w:rPr>
          <w:rFonts w:cstheme="minorHAnsi"/>
        </w:rPr>
        <w:t>Wymaganie może być zrealizowane przez automatyczną kompensację zmian analogowego wzmocnienia albo przez architekturę bez wspólnego regulowanego przedwzmacniacza, zapewniającą niezależne cyfrowe ścieżki regulacji poziomu. Obie ścieżki muszą być jednocześnie dostępne do subskrypcji w Dante Controller przez dowolne urządzenie Dante i nie mogą wymagać użycia konsolety tego samego producenta.</w:t>
      </w:r>
      <w:r>
        <w:rPr>
          <w:rFonts w:cstheme="minorHAnsi"/>
        </w:rPr>
        <w:t xml:space="preserve"> </w:t>
      </w:r>
    </w:p>
    <w:p w14:paraId="28019C78" w14:textId="11ABD4BA" w:rsidR="00895A1A" w:rsidRDefault="00895A1A" w:rsidP="007C057C">
      <w:pPr>
        <w:pStyle w:val="Akapitzlist"/>
        <w:numPr>
          <w:ilvl w:val="1"/>
          <w:numId w:val="26"/>
        </w:numPr>
        <w:spacing w:after="120" w:line="276" w:lineRule="auto"/>
        <w:ind w:left="709" w:hanging="508"/>
        <w:jc w:val="both"/>
        <w:rPr>
          <w:rFonts w:cstheme="minorHAnsi"/>
        </w:rPr>
      </w:pPr>
      <w:r w:rsidRPr="00895A1A">
        <w:rPr>
          <w:rFonts w:cstheme="minorHAnsi"/>
        </w:rPr>
        <w:t>Zdalne sterowanie parametrami wejść, w szczególności zasilaniem Phantom oraz poziomem sygnału w każdej wymaganej ścieżce, musi być możliwe za pomocą samodzielnej aplikacji na komputer PC albo za pomocą interfejsu dostępnego w standardowej przeglądarce internetowej, bez konieczności stosowania konsolety sterującej. W przypadku zastosowania konwencjonalnego regulowanego przedwzmacniacza zmiany jego wzmocnienia muszą być automatycznie kompensowane w ścieżce skompensowanej. W przypadku architektury bez wspólnego regulowanego przedwzmacniacza poziomy obu ścieżek muszą być regulowane niezależnie. Dopuszcza się dodatkowo sterowanie z kompatybilnej konsolety audio.</w:t>
      </w:r>
    </w:p>
    <w:p w14:paraId="4A6D7CB2" w14:textId="11EEDC6A" w:rsidR="008F3672" w:rsidRPr="007C057C" w:rsidRDefault="008F3672" w:rsidP="007C057C">
      <w:pPr>
        <w:spacing w:after="120" w:line="276" w:lineRule="auto"/>
        <w:ind w:left="201"/>
        <w:jc w:val="both"/>
        <w:rPr>
          <w:rFonts w:cstheme="minorHAnsi"/>
        </w:rPr>
      </w:pPr>
      <w:r w:rsidRPr="007C057C">
        <w:rPr>
          <w:rFonts w:cstheme="minorHAnsi"/>
        </w:rPr>
        <w:t>Parametry</w:t>
      </w:r>
      <w:r w:rsidR="001D1831" w:rsidRPr="007C057C">
        <w:rPr>
          <w:rFonts w:cstheme="minorHAnsi"/>
        </w:rPr>
        <w:t xml:space="preserve"> jakościowe</w:t>
      </w:r>
      <w:r w:rsidRPr="007C057C">
        <w:rPr>
          <w:rFonts w:cstheme="minorHAnsi"/>
        </w:rPr>
        <w:t xml:space="preserve"> wejść i wyjść:</w:t>
      </w:r>
    </w:p>
    <w:p w14:paraId="65559067" w14:textId="58DA0FEC" w:rsidR="008F3672" w:rsidRPr="008C65F9" w:rsidRDefault="008F3672" w:rsidP="00FA1230">
      <w:pPr>
        <w:pStyle w:val="Akapitzlist"/>
        <w:numPr>
          <w:ilvl w:val="1"/>
          <w:numId w:val="26"/>
        </w:numPr>
        <w:spacing w:after="120" w:line="276" w:lineRule="auto"/>
        <w:ind w:hanging="508"/>
        <w:jc w:val="both"/>
        <w:rPr>
          <w:rFonts w:cstheme="minorHAnsi"/>
        </w:rPr>
      </w:pPr>
      <w:bookmarkStart w:id="0" w:name="_Ref234933704"/>
      <w:r w:rsidRPr="008C65F9">
        <w:rPr>
          <w:rFonts w:cstheme="minorHAnsi"/>
        </w:rPr>
        <w:t xml:space="preserve">Wejścia </w:t>
      </w:r>
      <w:proofErr w:type="spellStart"/>
      <w:r w:rsidRPr="008C65F9">
        <w:rPr>
          <w:rFonts w:cstheme="minorHAnsi"/>
        </w:rPr>
        <w:t>mikrofonowo-liniowe</w:t>
      </w:r>
      <w:proofErr w:type="spellEnd"/>
      <w:r w:rsidRPr="008C65F9">
        <w:rPr>
          <w:rFonts w:cstheme="minorHAnsi"/>
        </w:rPr>
        <w:t xml:space="preserve"> symetryczne, z zasilaniem Phantom +48 V przełączanym indywidualnie.</w:t>
      </w:r>
      <w:bookmarkEnd w:id="0"/>
    </w:p>
    <w:p w14:paraId="12305640" w14:textId="2C9FD204" w:rsidR="007C057C" w:rsidRDefault="007C057C" w:rsidP="00FA1230">
      <w:pPr>
        <w:pStyle w:val="Akapitzlist"/>
        <w:numPr>
          <w:ilvl w:val="1"/>
          <w:numId w:val="26"/>
        </w:numPr>
        <w:spacing w:after="120" w:line="276" w:lineRule="auto"/>
        <w:ind w:hanging="508"/>
        <w:jc w:val="both"/>
        <w:rPr>
          <w:rFonts w:cstheme="minorHAnsi"/>
        </w:rPr>
      </w:pPr>
      <w:r w:rsidRPr="007C057C">
        <w:rPr>
          <w:rFonts w:cstheme="minorHAnsi"/>
        </w:rPr>
        <w:t xml:space="preserve">Wejście musi umożliwiać obsługę sygnałów mikrofonowych i liniowych. W przypadku zastosowania konwencjonalnego regulowanego przedwzmacniacza zakres zdalnej regulacji musi wynosić co najmniej 40 </w:t>
      </w:r>
      <w:proofErr w:type="spellStart"/>
      <w:r w:rsidRPr="007C057C">
        <w:rPr>
          <w:rFonts w:cstheme="minorHAnsi"/>
        </w:rPr>
        <w:t>dB</w:t>
      </w:r>
      <w:proofErr w:type="spellEnd"/>
      <w:r w:rsidRPr="007C057C">
        <w:rPr>
          <w:rFonts w:cstheme="minorHAnsi"/>
        </w:rPr>
        <w:t>, maksymalne musi wynosić co najmniej +</w:t>
      </w:r>
      <w:r>
        <w:rPr>
          <w:rFonts w:cstheme="minorHAnsi"/>
        </w:rPr>
        <w:t>70</w:t>
      </w:r>
      <w:r w:rsidRPr="007C057C">
        <w:rPr>
          <w:rFonts w:cstheme="minorHAnsi"/>
        </w:rPr>
        <w:t xml:space="preserve"> </w:t>
      </w:r>
      <w:proofErr w:type="spellStart"/>
      <w:r w:rsidRPr="007C057C">
        <w:rPr>
          <w:rFonts w:cstheme="minorHAnsi"/>
        </w:rPr>
        <w:t>dB</w:t>
      </w:r>
      <w:proofErr w:type="spellEnd"/>
      <w:r w:rsidRPr="007C057C">
        <w:rPr>
          <w:rFonts w:cstheme="minorHAnsi"/>
        </w:rPr>
        <w:t xml:space="preserve">, a krok regulacji nie może przekraczać 1 </w:t>
      </w:r>
      <w:proofErr w:type="spellStart"/>
      <w:r w:rsidRPr="007C057C">
        <w:rPr>
          <w:rFonts w:cstheme="minorHAnsi"/>
        </w:rPr>
        <w:t>dB</w:t>
      </w:r>
      <w:proofErr w:type="spellEnd"/>
      <w:r w:rsidRPr="007C057C">
        <w:rPr>
          <w:rFonts w:cstheme="minorHAnsi"/>
        </w:rPr>
        <w:t xml:space="preserve">. Dopuszcza się rozwiązania bez konwencjonalnej regulacji analogowego </w:t>
      </w:r>
      <w:proofErr w:type="spellStart"/>
      <w:r w:rsidRPr="007C057C">
        <w:rPr>
          <w:rFonts w:cstheme="minorHAnsi"/>
        </w:rPr>
        <w:t>gainu</w:t>
      </w:r>
      <w:proofErr w:type="spellEnd"/>
      <w:r w:rsidRPr="007C057C">
        <w:rPr>
          <w:rFonts w:cstheme="minorHAnsi"/>
        </w:rPr>
        <w:t>, pod warunkiem spełnienia wymagań dotyczących maksymalnego poziomu wejściowego, EIN, dynamiki i cyfrowego rozdzielenia sygnałów.</w:t>
      </w:r>
    </w:p>
    <w:p w14:paraId="382B42AF" w14:textId="306A51D8" w:rsidR="008F3672" w:rsidRPr="008C65F9" w:rsidRDefault="008F3672" w:rsidP="00FA1230">
      <w:pPr>
        <w:pStyle w:val="Akapitzlist"/>
        <w:numPr>
          <w:ilvl w:val="1"/>
          <w:numId w:val="26"/>
        </w:numPr>
        <w:spacing w:after="120" w:line="276" w:lineRule="auto"/>
        <w:ind w:hanging="508"/>
        <w:jc w:val="both"/>
        <w:rPr>
          <w:rFonts w:cstheme="minorHAnsi"/>
        </w:rPr>
      </w:pPr>
      <w:r w:rsidRPr="008C65F9">
        <w:rPr>
          <w:rFonts w:cstheme="minorHAnsi"/>
        </w:rPr>
        <w:lastRenderedPageBreak/>
        <w:t>Praca z częstotliwościami próbkowania co najmniej 48 kHz i 96 kHz.</w:t>
      </w:r>
      <w:r w:rsidR="007C057C">
        <w:rPr>
          <w:rFonts w:cstheme="minorHAnsi"/>
        </w:rPr>
        <w:t xml:space="preserve"> </w:t>
      </w:r>
      <w:r w:rsidR="007C057C" w:rsidRPr="007C057C">
        <w:rPr>
          <w:rFonts w:cstheme="minorHAnsi"/>
        </w:rPr>
        <w:t>Przy częstotliwości 48 kHz wszystkie wymagane wejścia i wyjścia analogowe oraz AES3 muszą być dostępne jednocześnie.</w:t>
      </w:r>
      <w:r w:rsidR="007C057C">
        <w:rPr>
          <w:rFonts w:cstheme="minorHAnsi"/>
        </w:rPr>
        <w:t xml:space="preserve"> P</w:t>
      </w:r>
      <w:r w:rsidR="007C057C" w:rsidRPr="007C057C">
        <w:rPr>
          <w:rFonts w:cstheme="minorHAnsi"/>
        </w:rPr>
        <w:t>rzy 96 kHz dopuszcza się ograniczenie liczby równocześnie dostępnych wejść do 32 oraz przełączanie części wejść między formatem analogowym i AES3.</w:t>
      </w:r>
    </w:p>
    <w:p w14:paraId="02B9D151" w14:textId="3EB9BEBB" w:rsidR="00DD1D84" w:rsidRPr="008C65F9" w:rsidRDefault="002151F9" w:rsidP="00FA1230">
      <w:pPr>
        <w:pStyle w:val="Akapitzlist"/>
        <w:numPr>
          <w:ilvl w:val="1"/>
          <w:numId w:val="26"/>
        </w:numPr>
        <w:spacing w:after="120" w:line="276" w:lineRule="auto"/>
        <w:ind w:hanging="508"/>
        <w:jc w:val="both"/>
        <w:rPr>
          <w:rFonts w:cstheme="minorHAnsi"/>
        </w:rPr>
      </w:pPr>
      <w:bookmarkStart w:id="1" w:name="_Ref234933714"/>
      <w:r w:rsidRPr="008C65F9">
        <w:rPr>
          <w:rFonts w:cstheme="minorHAnsi"/>
        </w:rPr>
        <w:t xml:space="preserve">Parametry jakościowe toru: pasmo przenoszenia w granicach ±0,5 </w:t>
      </w:r>
      <w:proofErr w:type="spellStart"/>
      <w:r w:rsidRPr="008C65F9">
        <w:rPr>
          <w:rFonts w:cstheme="minorHAnsi"/>
        </w:rPr>
        <w:t>dB</w:t>
      </w:r>
      <w:proofErr w:type="spellEnd"/>
      <w:r w:rsidRPr="008C65F9">
        <w:rPr>
          <w:rFonts w:cstheme="minorHAnsi"/>
        </w:rPr>
        <w:t xml:space="preserve"> w zakresie 20 Hz</w:t>
      </w:r>
      <w:r w:rsidR="00FA1230" w:rsidRPr="008C65F9">
        <w:rPr>
          <w:rFonts w:cstheme="minorHAnsi"/>
        </w:rPr>
        <w:t>-</w:t>
      </w:r>
      <w:r w:rsidRPr="008C65F9">
        <w:rPr>
          <w:rFonts w:cstheme="minorHAnsi"/>
        </w:rPr>
        <w:t xml:space="preserve">20 kHz; </w:t>
      </w:r>
      <w:r w:rsidR="00CA6C28" w:rsidRPr="00CA6C28">
        <w:rPr>
          <w:rFonts w:cstheme="minorHAnsi"/>
        </w:rPr>
        <w:t>THD+N nie większe niż 0,01%, przy poziomie nominalnym określonym przez producenta, w paśmie pomiarowym 20 Hz</w:t>
      </w:r>
      <w:r w:rsidR="00895A1A">
        <w:rPr>
          <w:rFonts w:cstheme="minorHAnsi"/>
        </w:rPr>
        <w:t>-</w:t>
      </w:r>
      <w:r w:rsidR="00CA6C28" w:rsidRPr="00CA6C28">
        <w:rPr>
          <w:rFonts w:cstheme="minorHAnsi"/>
        </w:rPr>
        <w:t>20 kHz, zgodnie z AES17 lub metodą równoważną</w:t>
      </w:r>
      <w:r w:rsidR="00CA6C28">
        <w:rPr>
          <w:rFonts w:cstheme="minorHAnsi"/>
        </w:rPr>
        <w:t xml:space="preserve">, </w:t>
      </w:r>
      <w:r w:rsidRPr="008C65F9">
        <w:rPr>
          <w:rFonts w:cstheme="minorHAnsi"/>
        </w:rPr>
        <w:t xml:space="preserve">równoważny szum wejściowy przedwzmacniacza (EIN) nie gorszy niż -123 </w:t>
      </w:r>
      <w:proofErr w:type="spellStart"/>
      <w:r w:rsidRPr="008C65F9">
        <w:rPr>
          <w:rFonts w:cstheme="minorHAnsi"/>
        </w:rPr>
        <w:t>dBu</w:t>
      </w:r>
      <w:proofErr w:type="spellEnd"/>
      <w:r w:rsidRPr="008C65F9">
        <w:rPr>
          <w:rFonts w:cstheme="minorHAnsi"/>
        </w:rPr>
        <w:t xml:space="preserve"> (przy źródle 150 Ω, maks. wzmocnienie); dynamika toru wejściowego (przetwornika analogowo-cyfrowego) nie mniejsza niż 115 </w:t>
      </w:r>
      <w:proofErr w:type="spellStart"/>
      <w:r w:rsidRPr="008C65F9">
        <w:rPr>
          <w:rFonts w:cstheme="minorHAnsi"/>
        </w:rPr>
        <w:t>dB</w:t>
      </w:r>
      <w:proofErr w:type="spellEnd"/>
      <w:r w:rsidRPr="008C65F9">
        <w:rPr>
          <w:rFonts w:cstheme="minorHAnsi"/>
        </w:rPr>
        <w:t xml:space="preserve"> (ważona filtrem A).</w:t>
      </w:r>
      <w:bookmarkEnd w:id="1"/>
    </w:p>
    <w:p w14:paraId="07DC2FA6" w14:textId="77777777" w:rsidR="002151F9" w:rsidRPr="008C65F9" w:rsidRDefault="002151F9" w:rsidP="00FA1230">
      <w:pPr>
        <w:pStyle w:val="Akapitzlist"/>
        <w:spacing w:after="120" w:line="276" w:lineRule="auto"/>
        <w:jc w:val="both"/>
        <w:rPr>
          <w:rFonts w:cstheme="minorHAnsi"/>
        </w:rPr>
      </w:pPr>
    </w:p>
    <w:p w14:paraId="45F41737" w14:textId="6CFC4645" w:rsidR="008F3672" w:rsidRPr="008C65F9" w:rsidRDefault="008F3672" w:rsidP="00FA1230">
      <w:pPr>
        <w:pStyle w:val="Akapitzlist"/>
        <w:numPr>
          <w:ilvl w:val="0"/>
          <w:numId w:val="26"/>
        </w:numPr>
        <w:spacing w:after="120" w:line="276" w:lineRule="auto"/>
        <w:ind w:left="284" w:hanging="284"/>
        <w:jc w:val="both"/>
        <w:rPr>
          <w:rFonts w:cstheme="minorHAnsi"/>
          <w:b/>
          <w:bCs/>
        </w:rPr>
      </w:pPr>
      <w:r w:rsidRPr="008C65F9">
        <w:rPr>
          <w:rFonts w:cstheme="minorHAnsi"/>
          <w:b/>
          <w:bCs/>
        </w:rPr>
        <w:t>Okablowanie i skrzyni</w:t>
      </w:r>
      <w:r w:rsidR="00701F66" w:rsidRPr="008C65F9">
        <w:rPr>
          <w:rFonts w:cstheme="minorHAnsi"/>
          <w:b/>
          <w:bCs/>
        </w:rPr>
        <w:t>a</w:t>
      </w:r>
      <w:r w:rsidRPr="008C65F9">
        <w:rPr>
          <w:rFonts w:cstheme="minorHAnsi"/>
          <w:b/>
          <w:bCs/>
        </w:rPr>
        <w:t xml:space="preserve"> transportow</w:t>
      </w:r>
      <w:r w:rsidR="00701F66" w:rsidRPr="008C65F9">
        <w:rPr>
          <w:rFonts w:cstheme="minorHAnsi"/>
          <w:b/>
          <w:bCs/>
        </w:rPr>
        <w:t>a</w:t>
      </w:r>
      <w:r w:rsidRPr="008C65F9">
        <w:rPr>
          <w:rFonts w:cstheme="minorHAnsi"/>
          <w:b/>
          <w:bCs/>
        </w:rPr>
        <w:t>:</w:t>
      </w:r>
    </w:p>
    <w:p w14:paraId="33515724" w14:textId="77777777" w:rsidR="005F1C18" w:rsidRDefault="005F1C18" w:rsidP="00FA1230">
      <w:pPr>
        <w:pStyle w:val="Akapitzlist"/>
        <w:numPr>
          <w:ilvl w:val="1"/>
          <w:numId w:val="26"/>
        </w:numPr>
        <w:spacing w:after="120" w:line="276" w:lineRule="auto"/>
        <w:jc w:val="both"/>
        <w:rPr>
          <w:rFonts w:cstheme="minorHAnsi"/>
        </w:rPr>
      </w:pPr>
      <w:r w:rsidRPr="005F1C18">
        <w:rPr>
          <w:rFonts w:cstheme="minorHAnsi"/>
        </w:rPr>
        <w:t xml:space="preserve">Przewód wieloparowy zakończony </w:t>
      </w:r>
      <w:r>
        <w:rPr>
          <w:rFonts w:cstheme="minorHAnsi"/>
        </w:rPr>
        <w:t xml:space="preserve">z jednej </w:t>
      </w:r>
      <w:r w:rsidRPr="005F1C18">
        <w:rPr>
          <w:rFonts w:cstheme="minorHAnsi"/>
        </w:rPr>
        <w:t xml:space="preserve">złączem bezpośrednio współpracującym mechanicznie i elektrycznie ze złączem </w:t>
      </w:r>
      <w:proofErr w:type="spellStart"/>
      <w:r>
        <w:rPr>
          <w:rFonts w:cstheme="minorHAnsi"/>
        </w:rPr>
        <w:t>spliitera</w:t>
      </w:r>
      <w:proofErr w:type="spellEnd"/>
      <w:r>
        <w:rPr>
          <w:rFonts w:cstheme="minorHAnsi"/>
        </w:rPr>
        <w:t xml:space="preserve"> mikrofonowego (</w:t>
      </w:r>
      <w:proofErr w:type="spellStart"/>
      <w:r>
        <w:rPr>
          <w:rFonts w:cstheme="minorHAnsi"/>
        </w:rPr>
        <w:t>Harting</w:t>
      </w:r>
      <w:proofErr w:type="spellEnd"/>
      <w:r>
        <w:rPr>
          <w:rFonts w:cstheme="minorHAnsi"/>
        </w:rPr>
        <w:t>, prostokątny 108-pin – na kablu powinno być złącze „żeńskie”)</w:t>
      </w:r>
      <w:r w:rsidRPr="005F1C18">
        <w:rPr>
          <w:rFonts w:cstheme="minorHAnsi"/>
        </w:rPr>
        <w:t xml:space="preserve"> posiadanym przez Zamawiającego. Dopuszcza się złącze równoważne, przez które rozumie się złącze umożliwiające bezpośrednie połączenie bez adaptera, posiadające identyczny układ mechaniczny, kodowanie, mechanizm blokowania, liczbę styków oraz przyporządkowanie styków zgodne </w:t>
      </w:r>
      <w:r>
        <w:rPr>
          <w:rFonts w:cstheme="minorHAnsi"/>
        </w:rPr>
        <w:t>z poniższym schematem:</w:t>
      </w:r>
    </w:p>
    <w:tbl>
      <w:tblPr>
        <w:tblW w:w="5040" w:type="dxa"/>
        <w:jc w:val="center"/>
        <w:tblCellMar>
          <w:left w:w="70" w:type="dxa"/>
          <w:right w:w="70" w:type="dxa"/>
        </w:tblCellMar>
        <w:tblLook w:val="04A0" w:firstRow="1" w:lastRow="0" w:firstColumn="1" w:lastColumn="0" w:noHBand="0" w:noVBand="1"/>
      </w:tblPr>
      <w:tblGrid>
        <w:gridCol w:w="1260"/>
        <w:gridCol w:w="1260"/>
        <w:gridCol w:w="1260"/>
        <w:gridCol w:w="1260"/>
      </w:tblGrid>
      <w:tr w:rsidR="00844545" w:rsidRPr="00844545" w14:paraId="733C29E2" w14:textId="77777777" w:rsidTr="00583E46">
        <w:trPr>
          <w:trHeight w:val="300"/>
          <w:jc w:val="center"/>
        </w:trPr>
        <w:tc>
          <w:tcPr>
            <w:tcW w:w="1260" w:type="dxa"/>
            <w:tcBorders>
              <w:top w:val="nil"/>
              <w:left w:val="nil"/>
              <w:bottom w:val="nil"/>
              <w:right w:val="nil"/>
            </w:tcBorders>
            <w:shd w:val="clear" w:color="D9D9D9" w:fill="D9D9D9"/>
            <w:noWrap/>
            <w:vAlign w:val="bottom"/>
            <w:hideMark/>
          </w:tcPr>
          <w:p w14:paraId="237DA66D" w14:textId="77777777" w:rsidR="00844545" w:rsidRPr="00844545" w:rsidRDefault="00844545" w:rsidP="00844545">
            <w:pPr>
              <w:spacing w:after="0" w:line="240" w:lineRule="auto"/>
              <w:rPr>
                <w:rFonts w:ascii="Times New Roman" w:eastAsia="Times New Roman" w:hAnsi="Times New Roman" w:cs="Times New Roman"/>
                <w:kern w:val="0"/>
                <w:lang w:eastAsia="pl-PL"/>
                <w14:ligatures w14:val="none"/>
              </w:rPr>
            </w:pPr>
          </w:p>
        </w:tc>
        <w:tc>
          <w:tcPr>
            <w:tcW w:w="3780" w:type="dxa"/>
            <w:gridSpan w:val="3"/>
            <w:tcBorders>
              <w:top w:val="nil"/>
              <w:left w:val="nil"/>
              <w:bottom w:val="nil"/>
              <w:right w:val="nil"/>
            </w:tcBorders>
            <w:shd w:val="clear" w:color="D9D9D9" w:fill="D9D9D9"/>
            <w:noWrap/>
            <w:vAlign w:val="bottom"/>
            <w:hideMark/>
          </w:tcPr>
          <w:p w14:paraId="076971B7" w14:textId="44E0295A" w:rsidR="00844545" w:rsidRPr="00844545" w:rsidRDefault="00844545" w:rsidP="00844545">
            <w:pPr>
              <w:spacing w:after="0" w:line="240" w:lineRule="auto"/>
              <w:jc w:val="center"/>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piny</w:t>
            </w:r>
          </w:p>
        </w:tc>
      </w:tr>
      <w:tr w:rsidR="00844545" w:rsidRPr="00844545" w14:paraId="6B8718DB" w14:textId="77777777" w:rsidTr="00844545">
        <w:trPr>
          <w:trHeight w:val="300"/>
          <w:jc w:val="center"/>
        </w:trPr>
        <w:tc>
          <w:tcPr>
            <w:tcW w:w="1260" w:type="dxa"/>
            <w:tcBorders>
              <w:top w:val="nil"/>
              <w:left w:val="nil"/>
              <w:bottom w:val="nil"/>
              <w:right w:val="nil"/>
            </w:tcBorders>
            <w:noWrap/>
            <w:vAlign w:val="bottom"/>
            <w:hideMark/>
          </w:tcPr>
          <w:p w14:paraId="661FA9FA" w14:textId="77777777" w:rsidR="00844545" w:rsidRPr="00844545" w:rsidRDefault="00844545" w:rsidP="00844545">
            <w:pPr>
              <w:spacing w:after="0" w:line="240" w:lineRule="auto"/>
              <w:jc w:val="center"/>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XLR</w:t>
            </w:r>
          </w:p>
        </w:tc>
        <w:tc>
          <w:tcPr>
            <w:tcW w:w="1260" w:type="dxa"/>
            <w:tcBorders>
              <w:top w:val="nil"/>
              <w:left w:val="nil"/>
              <w:bottom w:val="nil"/>
              <w:right w:val="nil"/>
            </w:tcBorders>
            <w:noWrap/>
            <w:vAlign w:val="bottom"/>
            <w:hideMark/>
          </w:tcPr>
          <w:p w14:paraId="67C8C4CB" w14:textId="77777777" w:rsidR="00844545" w:rsidRPr="00844545" w:rsidRDefault="00844545" w:rsidP="00844545">
            <w:pPr>
              <w:spacing w:after="0" w:line="240" w:lineRule="auto"/>
              <w:jc w:val="center"/>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w:t>
            </w:r>
          </w:p>
        </w:tc>
        <w:tc>
          <w:tcPr>
            <w:tcW w:w="1260" w:type="dxa"/>
            <w:tcBorders>
              <w:top w:val="nil"/>
              <w:left w:val="nil"/>
              <w:bottom w:val="nil"/>
              <w:right w:val="nil"/>
            </w:tcBorders>
            <w:noWrap/>
            <w:vAlign w:val="bottom"/>
            <w:hideMark/>
          </w:tcPr>
          <w:p w14:paraId="1C328BF2" w14:textId="77777777" w:rsidR="00844545" w:rsidRPr="00844545" w:rsidRDefault="00844545" w:rsidP="00844545">
            <w:pPr>
              <w:spacing w:after="0" w:line="240" w:lineRule="auto"/>
              <w:jc w:val="center"/>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w:t>
            </w:r>
          </w:p>
        </w:tc>
        <w:tc>
          <w:tcPr>
            <w:tcW w:w="1260" w:type="dxa"/>
            <w:tcBorders>
              <w:top w:val="nil"/>
              <w:left w:val="nil"/>
              <w:bottom w:val="nil"/>
              <w:right w:val="nil"/>
            </w:tcBorders>
            <w:noWrap/>
            <w:vAlign w:val="bottom"/>
            <w:hideMark/>
          </w:tcPr>
          <w:p w14:paraId="5A2F817A" w14:textId="77777777" w:rsidR="00844545" w:rsidRPr="00844545" w:rsidRDefault="00844545" w:rsidP="00844545">
            <w:pPr>
              <w:spacing w:after="0" w:line="240" w:lineRule="auto"/>
              <w:jc w:val="center"/>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GND</w:t>
            </w:r>
          </w:p>
        </w:tc>
      </w:tr>
      <w:tr w:rsidR="00844545" w:rsidRPr="00844545" w14:paraId="67E63F12"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38D18D3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w:t>
            </w:r>
          </w:p>
        </w:tc>
        <w:tc>
          <w:tcPr>
            <w:tcW w:w="1260" w:type="dxa"/>
            <w:tcBorders>
              <w:top w:val="nil"/>
              <w:left w:val="nil"/>
              <w:bottom w:val="nil"/>
              <w:right w:val="nil"/>
            </w:tcBorders>
            <w:shd w:val="clear" w:color="D9D9D9" w:fill="D9D9D9"/>
            <w:noWrap/>
            <w:vAlign w:val="bottom"/>
            <w:hideMark/>
          </w:tcPr>
          <w:p w14:paraId="5A2309A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w:t>
            </w:r>
          </w:p>
        </w:tc>
        <w:tc>
          <w:tcPr>
            <w:tcW w:w="1260" w:type="dxa"/>
            <w:tcBorders>
              <w:top w:val="nil"/>
              <w:left w:val="nil"/>
              <w:bottom w:val="nil"/>
              <w:right w:val="nil"/>
            </w:tcBorders>
            <w:shd w:val="clear" w:color="D9D9D9" w:fill="D9D9D9"/>
            <w:noWrap/>
            <w:vAlign w:val="bottom"/>
            <w:hideMark/>
          </w:tcPr>
          <w:p w14:paraId="0D3594D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19</w:t>
            </w:r>
          </w:p>
        </w:tc>
        <w:tc>
          <w:tcPr>
            <w:tcW w:w="1260" w:type="dxa"/>
            <w:tcBorders>
              <w:top w:val="nil"/>
              <w:left w:val="nil"/>
              <w:bottom w:val="nil"/>
              <w:right w:val="nil"/>
            </w:tcBorders>
            <w:shd w:val="clear" w:color="D9D9D9" w:fill="D9D9D9"/>
            <w:noWrap/>
            <w:vAlign w:val="bottom"/>
            <w:hideMark/>
          </w:tcPr>
          <w:p w14:paraId="5B9B17A0"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37</w:t>
            </w:r>
          </w:p>
        </w:tc>
      </w:tr>
      <w:tr w:rsidR="00844545" w:rsidRPr="00844545" w14:paraId="08B70490" w14:textId="77777777" w:rsidTr="00844545">
        <w:trPr>
          <w:trHeight w:val="300"/>
          <w:jc w:val="center"/>
        </w:trPr>
        <w:tc>
          <w:tcPr>
            <w:tcW w:w="1260" w:type="dxa"/>
            <w:tcBorders>
              <w:top w:val="nil"/>
              <w:left w:val="nil"/>
              <w:bottom w:val="nil"/>
              <w:right w:val="nil"/>
            </w:tcBorders>
            <w:noWrap/>
            <w:vAlign w:val="bottom"/>
            <w:hideMark/>
          </w:tcPr>
          <w:p w14:paraId="070E8F9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w:t>
            </w:r>
          </w:p>
        </w:tc>
        <w:tc>
          <w:tcPr>
            <w:tcW w:w="1260" w:type="dxa"/>
            <w:tcBorders>
              <w:top w:val="nil"/>
              <w:left w:val="nil"/>
              <w:bottom w:val="nil"/>
              <w:right w:val="nil"/>
            </w:tcBorders>
            <w:noWrap/>
            <w:vAlign w:val="bottom"/>
            <w:hideMark/>
          </w:tcPr>
          <w:p w14:paraId="54A7B64D"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w:t>
            </w:r>
          </w:p>
        </w:tc>
        <w:tc>
          <w:tcPr>
            <w:tcW w:w="1260" w:type="dxa"/>
            <w:tcBorders>
              <w:top w:val="nil"/>
              <w:left w:val="nil"/>
              <w:bottom w:val="nil"/>
              <w:right w:val="nil"/>
            </w:tcBorders>
            <w:noWrap/>
            <w:vAlign w:val="bottom"/>
            <w:hideMark/>
          </w:tcPr>
          <w:p w14:paraId="41097A0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20</w:t>
            </w:r>
          </w:p>
        </w:tc>
        <w:tc>
          <w:tcPr>
            <w:tcW w:w="1260" w:type="dxa"/>
            <w:tcBorders>
              <w:top w:val="nil"/>
              <w:left w:val="nil"/>
              <w:bottom w:val="nil"/>
              <w:right w:val="nil"/>
            </w:tcBorders>
            <w:noWrap/>
            <w:vAlign w:val="bottom"/>
            <w:hideMark/>
          </w:tcPr>
          <w:p w14:paraId="239AE7B0"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38</w:t>
            </w:r>
          </w:p>
        </w:tc>
      </w:tr>
      <w:tr w:rsidR="00844545" w:rsidRPr="00844545" w14:paraId="46B20D3A"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7036AF9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w:t>
            </w:r>
          </w:p>
        </w:tc>
        <w:tc>
          <w:tcPr>
            <w:tcW w:w="1260" w:type="dxa"/>
            <w:tcBorders>
              <w:top w:val="nil"/>
              <w:left w:val="nil"/>
              <w:bottom w:val="nil"/>
              <w:right w:val="nil"/>
            </w:tcBorders>
            <w:shd w:val="clear" w:color="D9D9D9" w:fill="D9D9D9"/>
            <w:noWrap/>
            <w:vAlign w:val="bottom"/>
            <w:hideMark/>
          </w:tcPr>
          <w:p w14:paraId="7CFA7B2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w:t>
            </w:r>
          </w:p>
        </w:tc>
        <w:tc>
          <w:tcPr>
            <w:tcW w:w="1260" w:type="dxa"/>
            <w:tcBorders>
              <w:top w:val="nil"/>
              <w:left w:val="nil"/>
              <w:bottom w:val="nil"/>
              <w:right w:val="nil"/>
            </w:tcBorders>
            <w:shd w:val="clear" w:color="D9D9D9" w:fill="D9D9D9"/>
            <w:noWrap/>
            <w:vAlign w:val="bottom"/>
            <w:hideMark/>
          </w:tcPr>
          <w:p w14:paraId="3052B460"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21</w:t>
            </w:r>
          </w:p>
        </w:tc>
        <w:tc>
          <w:tcPr>
            <w:tcW w:w="1260" w:type="dxa"/>
            <w:tcBorders>
              <w:top w:val="nil"/>
              <w:left w:val="nil"/>
              <w:bottom w:val="nil"/>
              <w:right w:val="nil"/>
            </w:tcBorders>
            <w:shd w:val="clear" w:color="D9D9D9" w:fill="D9D9D9"/>
            <w:noWrap/>
            <w:vAlign w:val="bottom"/>
            <w:hideMark/>
          </w:tcPr>
          <w:p w14:paraId="6FDE8570"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39</w:t>
            </w:r>
          </w:p>
        </w:tc>
      </w:tr>
      <w:tr w:rsidR="00844545" w:rsidRPr="00844545" w14:paraId="59F8E0A2" w14:textId="77777777" w:rsidTr="00844545">
        <w:trPr>
          <w:trHeight w:val="300"/>
          <w:jc w:val="center"/>
        </w:trPr>
        <w:tc>
          <w:tcPr>
            <w:tcW w:w="1260" w:type="dxa"/>
            <w:tcBorders>
              <w:top w:val="nil"/>
              <w:left w:val="nil"/>
              <w:bottom w:val="nil"/>
              <w:right w:val="nil"/>
            </w:tcBorders>
            <w:noWrap/>
            <w:vAlign w:val="bottom"/>
            <w:hideMark/>
          </w:tcPr>
          <w:p w14:paraId="37B2478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w:t>
            </w:r>
          </w:p>
        </w:tc>
        <w:tc>
          <w:tcPr>
            <w:tcW w:w="1260" w:type="dxa"/>
            <w:tcBorders>
              <w:top w:val="nil"/>
              <w:left w:val="nil"/>
              <w:bottom w:val="nil"/>
              <w:right w:val="nil"/>
            </w:tcBorders>
            <w:noWrap/>
            <w:vAlign w:val="bottom"/>
            <w:hideMark/>
          </w:tcPr>
          <w:p w14:paraId="4D6E0D1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w:t>
            </w:r>
          </w:p>
        </w:tc>
        <w:tc>
          <w:tcPr>
            <w:tcW w:w="1260" w:type="dxa"/>
            <w:tcBorders>
              <w:top w:val="nil"/>
              <w:left w:val="nil"/>
              <w:bottom w:val="nil"/>
              <w:right w:val="nil"/>
            </w:tcBorders>
            <w:noWrap/>
            <w:vAlign w:val="bottom"/>
            <w:hideMark/>
          </w:tcPr>
          <w:p w14:paraId="11F9BE9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22</w:t>
            </w:r>
          </w:p>
        </w:tc>
        <w:tc>
          <w:tcPr>
            <w:tcW w:w="1260" w:type="dxa"/>
            <w:tcBorders>
              <w:top w:val="nil"/>
              <w:left w:val="nil"/>
              <w:bottom w:val="nil"/>
              <w:right w:val="nil"/>
            </w:tcBorders>
            <w:noWrap/>
            <w:vAlign w:val="bottom"/>
            <w:hideMark/>
          </w:tcPr>
          <w:p w14:paraId="3510A0E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40</w:t>
            </w:r>
          </w:p>
        </w:tc>
      </w:tr>
      <w:tr w:rsidR="00844545" w:rsidRPr="00844545" w14:paraId="2C752C44"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3BCE7B3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w:t>
            </w:r>
          </w:p>
        </w:tc>
        <w:tc>
          <w:tcPr>
            <w:tcW w:w="1260" w:type="dxa"/>
            <w:tcBorders>
              <w:top w:val="nil"/>
              <w:left w:val="nil"/>
              <w:bottom w:val="nil"/>
              <w:right w:val="nil"/>
            </w:tcBorders>
            <w:shd w:val="clear" w:color="D9D9D9" w:fill="D9D9D9"/>
            <w:noWrap/>
            <w:vAlign w:val="bottom"/>
            <w:hideMark/>
          </w:tcPr>
          <w:p w14:paraId="7B5A016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w:t>
            </w:r>
          </w:p>
        </w:tc>
        <w:tc>
          <w:tcPr>
            <w:tcW w:w="1260" w:type="dxa"/>
            <w:tcBorders>
              <w:top w:val="nil"/>
              <w:left w:val="nil"/>
              <w:bottom w:val="nil"/>
              <w:right w:val="nil"/>
            </w:tcBorders>
            <w:shd w:val="clear" w:color="D9D9D9" w:fill="D9D9D9"/>
            <w:noWrap/>
            <w:vAlign w:val="bottom"/>
            <w:hideMark/>
          </w:tcPr>
          <w:p w14:paraId="46F512D4"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23</w:t>
            </w:r>
          </w:p>
        </w:tc>
        <w:tc>
          <w:tcPr>
            <w:tcW w:w="1260" w:type="dxa"/>
            <w:tcBorders>
              <w:top w:val="nil"/>
              <w:left w:val="nil"/>
              <w:bottom w:val="nil"/>
              <w:right w:val="nil"/>
            </w:tcBorders>
            <w:shd w:val="clear" w:color="D9D9D9" w:fill="D9D9D9"/>
            <w:noWrap/>
            <w:vAlign w:val="bottom"/>
            <w:hideMark/>
          </w:tcPr>
          <w:p w14:paraId="42E0284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41</w:t>
            </w:r>
          </w:p>
        </w:tc>
      </w:tr>
      <w:tr w:rsidR="00844545" w:rsidRPr="00844545" w14:paraId="3A09F466" w14:textId="77777777" w:rsidTr="00844545">
        <w:trPr>
          <w:trHeight w:val="300"/>
          <w:jc w:val="center"/>
        </w:trPr>
        <w:tc>
          <w:tcPr>
            <w:tcW w:w="1260" w:type="dxa"/>
            <w:tcBorders>
              <w:top w:val="nil"/>
              <w:left w:val="nil"/>
              <w:bottom w:val="nil"/>
              <w:right w:val="nil"/>
            </w:tcBorders>
            <w:noWrap/>
            <w:vAlign w:val="bottom"/>
            <w:hideMark/>
          </w:tcPr>
          <w:p w14:paraId="263000B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w:t>
            </w:r>
          </w:p>
        </w:tc>
        <w:tc>
          <w:tcPr>
            <w:tcW w:w="1260" w:type="dxa"/>
            <w:tcBorders>
              <w:top w:val="nil"/>
              <w:left w:val="nil"/>
              <w:bottom w:val="nil"/>
              <w:right w:val="nil"/>
            </w:tcBorders>
            <w:noWrap/>
            <w:vAlign w:val="bottom"/>
            <w:hideMark/>
          </w:tcPr>
          <w:p w14:paraId="1A979E4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w:t>
            </w:r>
          </w:p>
        </w:tc>
        <w:tc>
          <w:tcPr>
            <w:tcW w:w="1260" w:type="dxa"/>
            <w:tcBorders>
              <w:top w:val="nil"/>
              <w:left w:val="nil"/>
              <w:bottom w:val="nil"/>
              <w:right w:val="nil"/>
            </w:tcBorders>
            <w:noWrap/>
            <w:vAlign w:val="bottom"/>
            <w:hideMark/>
          </w:tcPr>
          <w:p w14:paraId="459F0B8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24</w:t>
            </w:r>
          </w:p>
        </w:tc>
        <w:tc>
          <w:tcPr>
            <w:tcW w:w="1260" w:type="dxa"/>
            <w:tcBorders>
              <w:top w:val="nil"/>
              <w:left w:val="nil"/>
              <w:bottom w:val="nil"/>
              <w:right w:val="nil"/>
            </w:tcBorders>
            <w:noWrap/>
            <w:vAlign w:val="bottom"/>
            <w:hideMark/>
          </w:tcPr>
          <w:p w14:paraId="018A848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42</w:t>
            </w:r>
          </w:p>
        </w:tc>
      </w:tr>
      <w:tr w:rsidR="00844545" w:rsidRPr="00844545" w14:paraId="0650B0A4"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2AF1B4FD"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w:t>
            </w:r>
          </w:p>
        </w:tc>
        <w:tc>
          <w:tcPr>
            <w:tcW w:w="1260" w:type="dxa"/>
            <w:tcBorders>
              <w:top w:val="nil"/>
              <w:left w:val="nil"/>
              <w:bottom w:val="nil"/>
              <w:right w:val="nil"/>
            </w:tcBorders>
            <w:shd w:val="clear" w:color="D9D9D9" w:fill="D9D9D9"/>
            <w:noWrap/>
            <w:vAlign w:val="bottom"/>
            <w:hideMark/>
          </w:tcPr>
          <w:p w14:paraId="15B91B3D"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w:t>
            </w:r>
          </w:p>
        </w:tc>
        <w:tc>
          <w:tcPr>
            <w:tcW w:w="1260" w:type="dxa"/>
            <w:tcBorders>
              <w:top w:val="nil"/>
              <w:left w:val="nil"/>
              <w:bottom w:val="nil"/>
              <w:right w:val="nil"/>
            </w:tcBorders>
            <w:shd w:val="clear" w:color="D9D9D9" w:fill="D9D9D9"/>
            <w:noWrap/>
            <w:vAlign w:val="bottom"/>
            <w:hideMark/>
          </w:tcPr>
          <w:p w14:paraId="7956B804"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25</w:t>
            </w:r>
          </w:p>
        </w:tc>
        <w:tc>
          <w:tcPr>
            <w:tcW w:w="1260" w:type="dxa"/>
            <w:tcBorders>
              <w:top w:val="nil"/>
              <w:left w:val="nil"/>
              <w:bottom w:val="nil"/>
              <w:right w:val="nil"/>
            </w:tcBorders>
            <w:shd w:val="clear" w:color="D9D9D9" w:fill="D9D9D9"/>
            <w:noWrap/>
            <w:vAlign w:val="bottom"/>
            <w:hideMark/>
          </w:tcPr>
          <w:p w14:paraId="0EDE6EE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43</w:t>
            </w:r>
          </w:p>
        </w:tc>
      </w:tr>
      <w:tr w:rsidR="00844545" w:rsidRPr="00844545" w14:paraId="0EF961C1" w14:textId="77777777" w:rsidTr="00844545">
        <w:trPr>
          <w:trHeight w:val="300"/>
          <w:jc w:val="center"/>
        </w:trPr>
        <w:tc>
          <w:tcPr>
            <w:tcW w:w="1260" w:type="dxa"/>
            <w:tcBorders>
              <w:top w:val="nil"/>
              <w:left w:val="nil"/>
              <w:bottom w:val="nil"/>
              <w:right w:val="nil"/>
            </w:tcBorders>
            <w:noWrap/>
            <w:vAlign w:val="bottom"/>
            <w:hideMark/>
          </w:tcPr>
          <w:p w14:paraId="6095439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w:t>
            </w:r>
          </w:p>
        </w:tc>
        <w:tc>
          <w:tcPr>
            <w:tcW w:w="1260" w:type="dxa"/>
            <w:tcBorders>
              <w:top w:val="nil"/>
              <w:left w:val="nil"/>
              <w:bottom w:val="nil"/>
              <w:right w:val="nil"/>
            </w:tcBorders>
            <w:noWrap/>
            <w:vAlign w:val="bottom"/>
            <w:hideMark/>
          </w:tcPr>
          <w:p w14:paraId="594DF02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w:t>
            </w:r>
          </w:p>
        </w:tc>
        <w:tc>
          <w:tcPr>
            <w:tcW w:w="1260" w:type="dxa"/>
            <w:tcBorders>
              <w:top w:val="nil"/>
              <w:left w:val="nil"/>
              <w:bottom w:val="nil"/>
              <w:right w:val="nil"/>
            </w:tcBorders>
            <w:noWrap/>
            <w:vAlign w:val="bottom"/>
            <w:hideMark/>
          </w:tcPr>
          <w:p w14:paraId="1E03309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26</w:t>
            </w:r>
          </w:p>
        </w:tc>
        <w:tc>
          <w:tcPr>
            <w:tcW w:w="1260" w:type="dxa"/>
            <w:tcBorders>
              <w:top w:val="nil"/>
              <w:left w:val="nil"/>
              <w:bottom w:val="nil"/>
              <w:right w:val="nil"/>
            </w:tcBorders>
            <w:noWrap/>
            <w:vAlign w:val="bottom"/>
            <w:hideMark/>
          </w:tcPr>
          <w:p w14:paraId="7B6C90BB"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44</w:t>
            </w:r>
          </w:p>
        </w:tc>
      </w:tr>
      <w:tr w:rsidR="00844545" w:rsidRPr="00844545" w14:paraId="276898A5"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1027DA7F"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w:t>
            </w:r>
          </w:p>
        </w:tc>
        <w:tc>
          <w:tcPr>
            <w:tcW w:w="1260" w:type="dxa"/>
            <w:tcBorders>
              <w:top w:val="nil"/>
              <w:left w:val="nil"/>
              <w:bottom w:val="nil"/>
              <w:right w:val="nil"/>
            </w:tcBorders>
            <w:shd w:val="clear" w:color="D9D9D9" w:fill="D9D9D9"/>
            <w:noWrap/>
            <w:vAlign w:val="bottom"/>
            <w:hideMark/>
          </w:tcPr>
          <w:p w14:paraId="63F5E22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w:t>
            </w:r>
          </w:p>
        </w:tc>
        <w:tc>
          <w:tcPr>
            <w:tcW w:w="1260" w:type="dxa"/>
            <w:tcBorders>
              <w:top w:val="nil"/>
              <w:left w:val="nil"/>
              <w:bottom w:val="nil"/>
              <w:right w:val="nil"/>
            </w:tcBorders>
            <w:shd w:val="clear" w:color="D9D9D9" w:fill="D9D9D9"/>
            <w:noWrap/>
            <w:vAlign w:val="bottom"/>
            <w:hideMark/>
          </w:tcPr>
          <w:p w14:paraId="6AF1A57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27</w:t>
            </w:r>
          </w:p>
        </w:tc>
        <w:tc>
          <w:tcPr>
            <w:tcW w:w="1260" w:type="dxa"/>
            <w:tcBorders>
              <w:top w:val="nil"/>
              <w:left w:val="nil"/>
              <w:bottom w:val="nil"/>
              <w:right w:val="nil"/>
            </w:tcBorders>
            <w:shd w:val="clear" w:color="D9D9D9" w:fill="D9D9D9"/>
            <w:noWrap/>
            <w:vAlign w:val="bottom"/>
            <w:hideMark/>
          </w:tcPr>
          <w:p w14:paraId="5366BCDF"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45</w:t>
            </w:r>
          </w:p>
        </w:tc>
      </w:tr>
      <w:tr w:rsidR="00844545" w:rsidRPr="00844545" w14:paraId="4987BEFC" w14:textId="77777777" w:rsidTr="00844545">
        <w:trPr>
          <w:trHeight w:val="300"/>
          <w:jc w:val="center"/>
        </w:trPr>
        <w:tc>
          <w:tcPr>
            <w:tcW w:w="1260" w:type="dxa"/>
            <w:tcBorders>
              <w:top w:val="nil"/>
              <w:left w:val="nil"/>
              <w:bottom w:val="nil"/>
              <w:right w:val="nil"/>
            </w:tcBorders>
            <w:noWrap/>
            <w:vAlign w:val="bottom"/>
            <w:hideMark/>
          </w:tcPr>
          <w:p w14:paraId="72B4BF6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10</w:t>
            </w:r>
          </w:p>
        </w:tc>
        <w:tc>
          <w:tcPr>
            <w:tcW w:w="1260" w:type="dxa"/>
            <w:tcBorders>
              <w:top w:val="nil"/>
              <w:left w:val="nil"/>
              <w:bottom w:val="nil"/>
              <w:right w:val="nil"/>
            </w:tcBorders>
            <w:noWrap/>
            <w:vAlign w:val="bottom"/>
            <w:hideMark/>
          </w:tcPr>
          <w:p w14:paraId="1B203EAB"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10</w:t>
            </w:r>
          </w:p>
        </w:tc>
        <w:tc>
          <w:tcPr>
            <w:tcW w:w="1260" w:type="dxa"/>
            <w:tcBorders>
              <w:top w:val="nil"/>
              <w:left w:val="nil"/>
              <w:bottom w:val="nil"/>
              <w:right w:val="nil"/>
            </w:tcBorders>
            <w:noWrap/>
            <w:vAlign w:val="bottom"/>
            <w:hideMark/>
          </w:tcPr>
          <w:p w14:paraId="3F10F50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28</w:t>
            </w:r>
          </w:p>
        </w:tc>
        <w:tc>
          <w:tcPr>
            <w:tcW w:w="1260" w:type="dxa"/>
            <w:tcBorders>
              <w:top w:val="nil"/>
              <w:left w:val="nil"/>
              <w:bottom w:val="nil"/>
              <w:right w:val="nil"/>
            </w:tcBorders>
            <w:noWrap/>
            <w:vAlign w:val="bottom"/>
            <w:hideMark/>
          </w:tcPr>
          <w:p w14:paraId="0894A4ED"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46</w:t>
            </w:r>
          </w:p>
        </w:tc>
      </w:tr>
      <w:tr w:rsidR="00844545" w:rsidRPr="00844545" w14:paraId="45A7E1B4"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77B6ADC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11</w:t>
            </w:r>
          </w:p>
        </w:tc>
        <w:tc>
          <w:tcPr>
            <w:tcW w:w="1260" w:type="dxa"/>
            <w:tcBorders>
              <w:top w:val="nil"/>
              <w:left w:val="nil"/>
              <w:bottom w:val="nil"/>
              <w:right w:val="nil"/>
            </w:tcBorders>
            <w:shd w:val="clear" w:color="D9D9D9" w:fill="D9D9D9"/>
            <w:noWrap/>
            <w:vAlign w:val="bottom"/>
            <w:hideMark/>
          </w:tcPr>
          <w:p w14:paraId="36366CA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11</w:t>
            </w:r>
          </w:p>
        </w:tc>
        <w:tc>
          <w:tcPr>
            <w:tcW w:w="1260" w:type="dxa"/>
            <w:tcBorders>
              <w:top w:val="nil"/>
              <w:left w:val="nil"/>
              <w:bottom w:val="nil"/>
              <w:right w:val="nil"/>
            </w:tcBorders>
            <w:shd w:val="clear" w:color="D9D9D9" w:fill="D9D9D9"/>
            <w:noWrap/>
            <w:vAlign w:val="bottom"/>
            <w:hideMark/>
          </w:tcPr>
          <w:p w14:paraId="60F36B7B"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29</w:t>
            </w:r>
          </w:p>
        </w:tc>
        <w:tc>
          <w:tcPr>
            <w:tcW w:w="1260" w:type="dxa"/>
            <w:tcBorders>
              <w:top w:val="nil"/>
              <w:left w:val="nil"/>
              <w:bottom w:val="nil"/>
              <w:right w:val="nil"/>
            </w:tcBorders>
            <w:shd w:val="clear" w:color="D9D9D9" w:fill="D9D9D9"/>
            <w:noWrap/>
            <w:vAlign w:val="bottom"/>
            <w:hideMark/>
          </w:tcPr>
          <w:p w14:paraId="756F309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47</w:t>
            </w:r>
          </w:p>
        </w:tc>
      </w:tr>
      <w:tr w:rsidR="00844545" w:rsidRPr="00844545" w14:paraId="77D86E63" w14:textId="77777777" w:rsidTr="00844545">
        <w:trPr>
          <w:trHeight w:val="300"/>
          <w:jc w:val="center"/>
        </w:trPr>
        <w:tc>
          <w:tcPr>
            <w:tcW w:w="1260" w:type="dxa"/>
            <w:tcBorders>
              <w:top w:val="nil"/>
              <w:left w:val="nil"/>
              <w:bottom w:val="nil"/>
              <w:right w:val="nil"/>
            </w:tcBorders>
            <w:noWrap/>
            <w:vAlign w:val="bottom"/>
            <w:hideMark/>
          </w:tcPr>
          <w:p w14:paraId="548A8FE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12</w:t>
            </w:r>
          </w:p>
        </w:tc>
        <w:tc>
          <w:tcPr>
            <w:tcW w:w="1260" w:type="dxa"/>
            <w:tcBorders>
              <w:top w:val="nil"/>
              <w:left w:val="nil"/>
              <w:bottom w:val="nil"/>
              <w:right w:val="nil"/>
            </w:tcBorders>
            <w:noWrap/>
            <w:vAlign w:val="bottom"/>
            <w:hideMark/>
          </w:tcPr>
          <w:p w14:paraId="62C0799F"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12</w:t>
            </w:r>
          </w:p>
        </w:tc>
        <w:tc>
          <w:tcPr>
            <w:tcW w:w="1260" w:type="dxa"/>
            <w:tcBorders>
              <w:top w:val="nil"/>
              <w:left w:val="nil"/>
              <w:bottom w:val="nil"/>
              <w:right w:val="nil"/>
            </w:tcBorders>
            <w:noWrap/>
            <w:vAlign w:val="bottom"/>
            <w:hideMark/>
          </w:tcPr>
          <w:p w14:paraId="0D06B2A4"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30</w:t>
            </w:r>
          </w:p>
        </w:tc>
        <w:tc>
          <w:tcPr>
            <w:tcW w:w="1260" w:type="dxa"/>
            <w:tcBorders>
              <w:top w:val="nil"/>
              <w:left w:val="nil"/>
              <w:bottom w:val="nil"/>
              <w:right w:val="nil"/>
            </w:tcBorders>
            <w:noWrap/>
            <w:vAlign w:val="bottom"/>
            <w:hideMark/>
          </w:tcPr>
          <w:p w14:paraId="54FFE3F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48</w:t>
            </w:r>
          </w:p>
        </w:tc>
      </w:tr>
      <w:tr w:rsidR="00844545" w:rsidRPr="00844545" w14:paraId="345C3810"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450FC400"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13</w:t>
            </w:r>
          </w:p>
        </w:tc>
        <w:tc>
          <w:tcPr>
            <w:tcW w:w="1260" w:type="dxa"/>
            <w:tcBorders>
              <w:top w:val="nil"/>
              <w:left w:val="nil"/>
              <w:bottom w:val="nil"/>
              <w:right w:val="nil"/>
            </w:tcBorders>
            <w:shd w:val="clear" w:color="D9D9D9" w:fill="D9D9D9"/>
            <w:noWrap/>
            <w:vAlign w:val="bottom"/>
            <w:hideMark/>
          </w:tcPr>
          <w:p w14:paraId="08DF0D8B"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13</w:t>
            </w:r>
          </w:p>
        </w:tc>
        <w:tc>
          <w:tcPr>
            <w:tcW w:w="1260" w:type="dxa"/>
            <w:tcBorders>
              <w:top w:val="nil"/>
              <w:left w:val="nil"/>
              <w:bottom w:val="nil"/>
              <w:right w:val="nil"/>
            </w:tcBorders>
            <w:shd w:val="clear" w:color="D9D9D9" w:fill="D9D9D9"/>
            <w:noWrap/>
            <w:vAlign w:val="bottom"/>
            <w:hideMark/>
          </w:tcPr>
          <w:p w14:paraId="7017434B"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31</w:t>
            </w:r>
          </w:p>
        </w:tc>
        <w:tc>
          <w:tcPr>
            <w:tcW w:w="1260" w:type="dxa"/>
            <w:tcBorders>
              <w:top w:val="nil"/>
              <w:left w:val="nil"/>
              <w:bottom w:val="nil"/>
              <w:right w:val="nil"/>
            </w:tcBorders>
            <w:shd w:val="clear" w:color="D9D9D9" w:fill="D9D9D9"/>
            <w:noWrap/>
            <w:vAlign w:val="bottom"/>
            <w:hideMark/>
          </w:tcPr>
          <w:p w14:paraId="477D7E1F"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49</w:t>
            </w:r>
          </w:p>
        </w:tc>
      </w:tr>
      <w:tr w:rsidR="00844545" w:rsidRPr="00844545" w14:paraId="75B18C5A" w14:textId="77777777" w:rsidTr="00844545">
        <w:trPr>
          <w:trHeight w:val="300"/>
          <w:jc w:val="center"/>
        </w:trPr>
        <w:tc>
          <w:tcPr>
            <w:tcW w:w="1260" w:type="dxa"/>
            <w:tcBorders>
              <w:top w:val="nil"/>
              <w:left w:val="nil"/>
              <w:bottom w:val="nil"/>
              <w:right w:val="nil"/>
            </w:tcBorders>
            <w:noWrap/>
            <w:vAlign w:val="bottom"/>
            <w:hideMark/>
          </w:tcPr>
          <w:p w14:paraId="50DF9E9F"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14</w:t>
            </w:r>
          </w:p>
        </w:tc>
        <w:tc>
          <w:tcPr>
            <w:tcW w:w="1260" w:type="dxa"/>
            <w:tcBorders>
              <w:top w:val="nil"/>
              <w:left w:val="nil"/>
              <w:bottom w:val="nil"/>
              <w:right w:val="nil"/>
            </w:tcBorders>
            <w:noWrap/>
            <w:vAlign w:val="bottom"/>
            <w:hideMark/>
          </w:tcPr>
          <w:p w14:paraId="2DD50750"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14</w:t>
            </w:r>
          </w:p>
        </w:tc>
        <w:tc>
          <w:tcPr>
            <w:tcW w:w="1260" w:type="dxa"/>
            <w:tcBorders>
              <w:top w:val="nil"/>
              <w:left w:val="nil"/>
              <w:bottom w:val="nil"/>
              <w:right w:val="nil"/>
            </w:tcBorders>
            <w:noWrap/>
            <w:vAlign w:val="bottom"/>
            <w:hideMark/>
          </w:tcPr>
          <w:p w14:paraId="608661D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32</w:t>
            </w:r>
          </w:p>
        </w:tc>
        <w:tc>
          <w:tcPr>
            <w:tcW w:w="1260" w:type="dxa"/>
            <w:tcBorders>
              <w:top w:val="nil"/>
              <w:left w:val="nil"/>
              <w:bottom w:val="nil"/>
              <w:right w:val="nil"/>
            </w:tcBorders>
            <w:noWrap/>
            <w:vAlign w:val="bottom"/>
            <w:hideMark/>
          </w:tcPr>
          <w:p w14:paraId="1E63CCB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50</w:t>
            </w:r>
          </w:p>
        </w:tc>
      </w:tr>
      <w:tr w:rsidR="00844545" w:rsidRPr="00844545" w14:paraId="67E921A2"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37624CE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15</w:t>
            </w:r>
          </w:p>
        </w:tc>
        <w:tc>
          <w:tcPr>
            <w:tcW w:w="1260" w:type="dxa"/>
            <w:tcBorders>
              <w:top w:val="nil"/>
              <w:left w:val="nil"/>
              <w:bottom w:val="nil"/>
              <w:right w:val="nil"/>
            </w:tcBorders>
            <w:shd w:val="clear" w:color="D9D9D9" w:fill="D9D9D9"/>
            <w:noWrap/>
            <w:vAlign w:val="bottom"/>
            <w:hideMark/>
          </w:tcPr>
          <w:p w14:paraId="512D55F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15</w:t>
            </w:r>
          </w:p>
        </w:tc>
        <w:tc>
          <w:tcPr>
            <w:tcW w:w="1260" w:type="dxa"/>
            <w:tcBorders>
              <w:top w:val="nil"/>
              <w:left w:val="nil"/>
              <w:bottom w:val="nil"/>
              <w:right w:val="nil"/>
            </w:tcBorders>
            <w:shd w:val="clear" w:color="D9D9D9" w:fill="D9D9D9"/>
            <w:noWrap/>
            <w:vAlign w:val="bottom"/>
            <w:hideMark/>
          </w:tcPr>
          <w:p w14:paraId="5348D8D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33</w:t>
            </w:r>
          </w:p>
        </w:tc>
        <w:tc>
          <w:tcPr>
            <w:tcW w:w="1260" w:type="dxa"/>
            <w:tcBorders>
              <w:top w:val="nil"/>
              <w:left w:val="nil"/>
              <w:bottom w:val="nil"/>
              <w:right w:val="nil"/>
            </w:tcBorders>
            <w:shd w:val="clear" w:color="D9D9D9" w:fill="D9D9D9"/>
            <w:noWrap/>
            <w:vAlign w:val="bottom"/>
            <w:hideMark/>
          </w:tcPr>
          <w:p w14:paraId="2CB2F18B"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51</w:t>
            </w:r>
          </w:p>
        </w:tc>
      </w:tr>
      <w:tr w:rsidR="00844545" w:rsidRPr="00844545" w14:paraId="5DD83A7E" w14:textId="77777777" w:rsidTr="00844545">
        <w:trPr>
          <w:trHeight w:val="300"/>
          <w:jc w:val="center"/>
        </w:trPr>
        <w:tc>
          <w:tcPr>
            <w:tcW w:w="1260" w:type="dxa"/>
            <w:tcBorders>
              <w:top w:val="nil"/>
              <w:left w:val="nil"/>
              <w:bottom w:val="nil"/>
              <w:right w:val="nil"/>
            </w:tcBorders>
            <w:noWrap/>
            <w:vAlign w:val="bottom"/>
            <w:hideMark/>
          </w:tcPr>
          <w:p w14:paraId="75BC304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16</w:t>
            </w:r>
          </w:p>
        </w:tc>
        <w:tc>
          <w:tcPr>
            <w:tcW w:w="1260" w:type="dxa"/>
            <w:tcBorders>
              <w:top w:val="nil"/>
              <w:left w:val="nil"/>
              <w:bottom w:val="nil"/>
              <w:right w:val="nil"/>
            </w:tcBorders>
            <w:noWrap/>
            <w:vAlign w:val="bottom"/>
            <w:hideMark/>
          </w:tcPr>
          <w:p w14:paraId="4F94C0E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16</w:t>
            </w:r>
          </w:p>
        </w:tc>
        <w:tc>
          <w:tcPr>
            <w:tcW w:w="1260" w:type="dxa"/>
            <w:tcBorders>
              <w:top w:val="nil"/>
              <w:left w:val="nil"/>
              <w:bottom w:val="nil"/>
              <w:right w:val="nil"/>
            </w:tcBorders>
            <w:noWrap/>
            <w:vAlign w:val="bottom"/>
            <w:hideMark/>
          </w:tcPr>
          <w:p w14:paraId="18B91EE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34</w:t>
            </w:r>
          </w:p>
        </w:tc>
        <w:tc>
          <w:tcPr>
            <w:tcW w:w="1260" w:type="dxa"/>
            <w:tcBorders>
              <w:top w:val="nil"/>
              <w:left w:val="nil"/>
              <w:bottom w:val="nil"/>
              <w:right w:val="nil"/>
            </w:tcBorders>
            <w:noWrap/>
            <w:vAlign w:val="bottom"/>
            <w:hideMark/>
          </w:tcPr>
          <w:p w14:paraId="10E28A1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52</w:t>
            </w:r>
          </w:p>
        </w:tc>
      </w:tr>
      <w:tr w:rsidR="00844545" w:rsidRPr="00844545" w14:paraId="24025BDA"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4B48DF1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17</w:t>
            </w:r>
          </w:p>
        </w:tc>
        <w:tc>
          <w:tcPr>
            <w:tcW w:w="1260" w:type="dxa"/>
            <w:tcBorders>
              <w:top w:val="nil"/>
              <w:left w:val="nil"/>
              <w:bottom w:val="nil"/>
              <w:right w:val="nil"/>
            </w:tcBorders>
            <w:shd w:val="clear" w:color="D9D9D9" w:fill="D9D9D9"/>
            <w:noWrap/>
            <w:vAlign w:val="bottom"/>
            <w:hideMark/>
          </w:tcPr>
          <w:p w14:paraId="45A2939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17</w:t>
            </w:r>
          </w:p>
        </w:tc>
        <w:tc>
          <w:tcPr>
            <w:tcW w:w="1260" w:type="dxa"/>
            <w:tcBorders>
              <w:top w:val="nil"/>
              <w:left w:val="nil"/>
              <w:bottom w:val="nil"/>
              <w:right w:val="nil"/>
            </w:tcBorders>
            <w:shd w:val="clear" w:color="D9D9D9" w:fill="D9D9D9"/>
            <w:noWrap/>
            <w:vAlign w:val="bottom"/>
            <w:hideMark/>
          </w:tcPr>
          <w:p w14:paraId="090446A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35</w:t>
            </w:r>
          </w:p>
        </w:tc>
        <w:tc>
          <w:tcPr>
            <w:tcW w:w="1260" w:type="dxa"/>
            <w:tcBorders>
              <w:top w:val="nil"/>
              <w:left w:val="nil"/>
              <w:bottom w:val="nil"/>
              <w:right w:val="nil"/>
            </w:tcBorders>
            <w:shd w:val="clear" w:color="D9D9D9" w:fill="D9D9D9"/>
            <w:noWrap/>
            <w:vAlign w:val="bottom"/>
            <w:hideMark/>
          </w:tcPr>
          <w:p w14:paraId="0417E6E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53</w:t>
            </w:r>
          </w:p>
        </w:tc>
      </w:tr>
      <w:tr w:rsidR="00844545" w:rsidRPr="00844545" w14:paraId="4E4C0D1B" w14:textId="77777777" w:rsidTr="00844545">
        <w:trPr>
          <w:trHeight w:val="300"/>
          <w:jc w:val="center"/>
        </w:trPr>
        <w:tc>
          <w:tcPr>
            <w:tcW w:w="1260" w:type="dxa"/>
            <w:tcBorders>
              <w:top w:val="nil"/>
              <w:left w:val="nil"/>
              <w:bottom w:val="nil"/>
              <w:right w:val="nil"/>
            </w:tcBorders>
            <w:noWrap/>
            <w:vAlign w:val="bottom"/>
            <w:hideMark/>
          </w:tcPr>
          <w:p w14:paraId="098A808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18</w:t>
            </w:r>
          </w:p>
        </w:tc>
        <w:tc>
          <w:tcPr>
            <w:tcW w:w="1260" w:type="dxa"/>
            <w:tcBorders>
              <w:top w:val="nil"/>
              <w:left w:val="nil"/>
              <w:bottom w:val="nil"/>
              <w:right w:val="nil"/>
            </w:tcBorders>
            <w:noWrap/>
            <w:vAlign w:val="bottom"/>
            <w:hideMark/>
          </w:tcPr>
          <w:p w14:paraId="2172909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18</w:t>
            </w:r>
          </w:p>
        </w:tc>
        <w:tc>
          <w:tcPr>
            <w:tcW w:w="1260" w:type="dxa"/>
            <w:tcBorders>
              <w:top w:val="nil"/>
              <w:left w:val="nil"/>
              <w:bottom w:val="nil"/>
              <w:right w:val="nil"/>
            </w:tcBorders>
            <w:noWrap/>
            <w:vAlign w:val="bottom"/>
            <w:hideMark/>
          </w:tcPr>
          <w:p w14:paraId="4320E15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36</w:t>
            </w:r>
          </w:p>
        </w:tc>
        <w:tc>
          <w:tcPr>
            <w:tcW w:w="1260" w:type="dxa"/>
            <w:tcBorders>
              <w:top w:val="nil"/>
              <w:left w:val="nil"/>
              <w:bottom w:val="nil"/>
              <w:right w:val="nil"/>
            </w:tcBorders>
            <w:noWrap/>
            <w:vAlign w:val="bottom"/>
            <w:hideMark/>
          </w:tcPr>
          <w:p w14:paraId="5F72B30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54</w:t>
            </w:r>
          </w:p>
        </w:tc>
      </w:tr>
      <w:tr w:rsidR="00844545" w:rsidRPr="00844545" w14:paraId="17954977"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569FA9A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19</w:t>
            </w:r>
          </w:p>
        </w:tc>
        <w:tc>
          <w:tcPr>
            <w:tcW w:w="1260" w:type="dxa"/>
            <w:tcBorders>
              <w:top w:val="nil"/>
              <w:left w:val="nil"/>
              <w:bottom w:val="nil"/>
              <w:right w:val="nil"/>
            </w:tcBorders>
            <w:shd w:val="clear" w:color="D9D9D9" w:fill="D9D9D9"/>
            <w:noWrap/>
            <w:vAlign w:val="bottom"/>
            <w:hideMark/>
          </w:tcPr>
          <w:p w14:paraId="463CA4F7"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55</w:t>
            </w:r>
          </w:p>
        </w:tc>
        <w:tc>
          <w:tcPr>
            <w:tcW w:w="1260" w:type="dxa"/>
            <w:tcBorders>
              <w:top w:val="nil"/>
              <w:left w:val="nil"/>
              <w:bottom w:val="nil"/>
              <w:right w:val="nil"/>
            </w:tcBorders>
            <w:shd w:val="clear" w:color="D9D9D9" w:fill="D9D9D9"/>
            <w:noWrap/>
            <w:vAlign w:val="bottom"/>
            <w:hideMark/>
          </w:tcPr>
          <w:p w14:paraId="1F917924"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73</w:t>
            </w:r>
          </w:p>
        </w:tc>
        <w:tc>
          <w:tcPr>
            <w:tcW w:w="1260" w:type="dxa"/>
            <w:tcBorders>
              <w:top w:val="nil"/>
              <w:left w:val="nil"/>
              <w:bottom w:val="nil"/>
              <w:right w:val="nil"/>
            </w:tcBorders>
            <w:shd w:val="clear" w:color="D9D9D9" w:fill="D9D9D9"/>
            <w:noWrap/>
            <w:vAlign w:val="bottom"/>
            <w:hideMark/>
          </w:tcPr>
          <w:p w14:paraId="2AE112A7"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91</w:t>
            </w:r>
          </w:p>
        </w:tc>
      </w:tr>
      <w:tr w:rsidR="00844545" w:rsidRPr="00844545" w14:paraId="1B19C59E" w14:textId="77777777" w:rsidTr="00844545">
        <w:trPr>
          <w:trHeight w:val="300"/>
          <w:jc w:val="center"/>
        </w:trPr>
        <w:tc>
          <w:tcPr>
            <w:tcW w:w="1260" w:type="dxa"/>
            <w:tcBorders>
              <w:top w:val="nil"/>
              <w:left w:val="nil"/>
              <w:bottom w:val="nil"/>
              <w:right w:val="nil"/>
            </w:tcBorders>
            <w:noWrap/>
            <w:vAlign w:val="bottom"/>
            <w:hideMark/>
          </w:tcPr>
          <w:p w14:paraId="553027E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20</w:t>
            </w:r>
          </w:p>
        </w:tc>
        <w:tc>
          <w:tcPr>
            <w:tcW w:w="1260" w:type="dxa"/>
            <w:tcBorders>
              <w:top w:val="nil"/>
              <w:left w:val="nil"/>
              <w:bottom w:val="nil"/>
              <w:right w:val="nil"/>
            </w:tcBorders>
            <w:noWrap/>
            <w:vAlign w:val="bottom"/>
            <w:hideMark/>
          </w:tcPr>
          <w:p w14:paraId="3378BD2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56</w:t>
            </w:r>
          </w:p>
        </w:tc>
        <w:tc>
          <w:tcPr>
            <w:tcW w:w="1260" w:type="dxa"/>
            <w:tcBorders>
              <w:top w:val="nil"/>
              <w:left w:val="nil"/>
              <w:bottom w:val="nil"/>
              <w:right w:val="nil"/>
            </w:tcBorders>
            <w:noWrap/>
            <w:vAlign w:val="bottom"/>
            <w:hideMark/>
          </w:tcPr>
          <w:p w14:paraId="39FDB6B8"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74</w:t>
            </w:r>
          </w:p>
        </w:tc>
        <w:tc>
          <w:tcPr>
            <w:tcW w:w="1260" w:type="dxa"/>
            <w:tcBorders>
              <w:top w:val="nil"/>
              <w:left w:val="nil"/>
              <w:bottom w:val="nil"/>
              <w:right w:val="nil"/>
            </w:tcBorders>
            <w:noWrap/>
            <w:vAlign w:val="bottom"/>
            <w:hideMark/>
          </w:tcPr>
          <w:p w14:paraId="55578F1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92</w:t>
            </w:r>
          </w:p>
        </w:tc>
      </w:tr>
      <w:tr w:rsidR="00844545" w:rsidRPr="00844545" w14:paraId="00C10C74"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46BF0AD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lastRenderedPageBreak/>
              <w:t>21</w:t>
            </w:r>
          </w:p>
        </w:tc>
        <w:tc>
          <w:tcPr>
            <w:tcW w:w="1260" w:type="dxa"/>
            <w:tcBorders>
              <w:top w:val="nil"/>
              <w:left w:val="nil"/>
              <w:bottom w:val="nil"/>
              <w:right w:val="nil"/>
            </w:tcBorders>
            <w:shd w:val="clear" w:color="D9D9D9" w:fill="D9D9D9"/>
            <w:noWrap/>
            <w:vAlign w:val="bottom"/>
            <w:hideMark/>
          </w:tcPr>
          <w:p w14:paraId="2A0F24F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57</w:t>
            </w:r>
          </w:p>
        </w:tc>
        <w:tc>
          <w:tcPr>
            <w:tcW w:w="1260" w:type="dxa"/>
            <w:tcBorders>
              <w:top w:val="nil"/>
              <w:left w:val="nil"/>
              <w:bottom w:val="nil"/>
              <w:right w:val="nil"/>
            </w:tcBorders>
            <w:shd w:val="clear" w:color="D9D9D9" w:fill="D9D9D9"/>
            <w:noWrap/>
            <w:vAlign w:val="bottom"/>
            <w:hideMark/>
          </w:tcPr>
          <w:p w14:paraId="220A9358"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75</w:t>
            </w:r>
          </w:p>
        </w:tc>
        <w:tc>
          <w:tcPr>
            <w:tcW w:w="1260" w:type="dxa"/>
            <w:tcBorders>
              <w:top w:val="nil"/>
              <w:left w:val="nil"/>
              <w:bottom w:val="nil"/>
              <w:right w:val="nil"/>
            </w:tcBorders>
            <w:shd w:val="clear" w:color="D9D9D9" w:fill="D9D9D9"/>
            <w:noWrap/>
            <w:vAlign w:val="bottom"/>
            <w:hideMark/>
          </w:tcPr>
          <w:p w14:paraId="0AC34880"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93</w:t>
            </w:r>
          </w:p>
        </w:tc>
      </w:tr>
      <w:tr w:rsidR="00844545" w:rsidRPr="00844545" w14:paraId="09BD3764" w14:textId="77777777" w:rsidTr="00844545">
        <w:trPr>
          <w:trHeight w:val="300"/>
          <w:jc w:val="center"/>
        </w:trPr>
        <w:tc>
          <w:tcPr>
            <w:tcW w:w="1260" w:type="dxa"/>
            <w:tcBorders>
              <w:top w:val="nil"/>
              <w:left w:val="nil"/>
              <w:bottom w:val="nil"/>
              <w:right w:val="nil"/>
            </w:tcBorders>
            <w:noWrap/>
            <w:vAlign w:val="bottom"/>
            <w:hideMark/>
          </w:tcPr>
          <w:p w14:paraId="0907693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22</w:t>
            </w:r>
          </w:p>
        </w:tc>
        <w:tc>
          <w:tcPr>
            <w:tcW w:w="1260" w:type="dxa"/>
            <w:tcBorders>
              <w:top w:val="nil"/>
              <w:left w:val="nil"/>
              <w:bottom w:val="nil"/>
              <w:right w:val="nil"/>
            </w:tcBorders>
            <w:noWrap/>
            <w:vAlign w:val="bottom"/>
            <w:hideMark/>
          </w:tcPr>
          <w:p w14:paraId="7C5C9A8D"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58</w:t>
            </w:r>
          </w:p>
        </w:tc>
        <w:tc>
          <w:tcPr>
            <w:tcW w:w="1260" w:type="dxa"/>
            <w:tcBorders>
              <w:top w:val="nil"/>
              <w:left w:val="nil"/>
              <w:bottom w:val="nil"/>
              <w:right w:val="nil"/>
            </w:tcBorders>
            <w:noWrap/>
            <w:vAlign w:val="bottom"/>
            <w:hideMark/>
          </w:tcPr>
          <w:p w14:paraId="07A21FAE"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76</w:t>
            </w:r>
          </w:p>
        </w:tc>
        <w:tc>
          <w:tcPr>
            <w:tcW w:w="1260" w:type="dxa"/>
            <w:tcBorders>
              <w:top w:val="nil"/>
              <w:left w:val="nil"/>
              <w:bottom w:val="nil"/>
              <w:right w:val="nil"/>
            </w:tcBorders>
            <w:noWrap/>
            <w:vAlign w:val="bottom"/>
            <w:hideMark/>
          </w:tcPr>
          <w:p w14:paraId="71A6093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94</w:t>
            </w:r>
          </w:p>
        </w:tc>
      </w:tr>
      <w:tr w:rsidR="00844545" w:rsidRPr="00844545" w14:paraId="12DF5961"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3B029CB8"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23</w:t>
            </w:r>
          </w:p>
        </w:tc>
        <w:tc>
          <w:tcPr>
            <w:tcW w:w="1260" w:type="dxa"/>
            <w:tcBorders>
              <w:top w:val="nil"/>
              <w:left w:val="nil"/>
              <w:bottom w:val="nil"/>
              <w:right w:val="nil"/>
            </w:tcBorders>
            <w:shd w:val="clear" w:color="D9D9D9" w:fill="D9D9D9"/>
            <w:noWrap/>
            <w:vAlign w:val="bottom"/>
            <w:hideMark/>
          </w:tcPr>
          <w:p w14:paraId="6E430AD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59</w:t>
            </w:r>
          </w:p>
        </w:tc>
        <w:tc>
          <w:tcPr>
            <w:tcW w:w="1260" w:type="dxa"/>
            <w:tcBorders>
              <w:top w:val="nil"/>
              <w:left w:val="nil"/>
              <w:bottom w:val="nil"/>
              <w:right w:val="nil"/>
            </w:tcBorders>
            <w:shd w:val="clear" w:color="D9D9D9" w:fill="D9D9D9"/>
            <w:noWrap/>
            <w:vAlign w:val="bottom"/>
            <w:hideMark/>
          </w:tcPr>
          <w:p w14:paraId="1D02FB2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77</w:t>
            </w:r>
          </w:p>
        </w:tc>
        <w:tc>
          <w:tcPr>
            <w:tcW w:w="1260" w:type="dxa"/>
            <w:tcBorders>
              <w:top w:val="nil"/>
              <w:left w:val="nil"/>
              <w:bottom w:val="nil"/>
              <w:right w:val="nil"/>
            </w:tcBorders>
            <w:shd w:val="clear" w:color="D9D9D9" w:fill="D9D9D9"/>
            <w:noWrap/>
            <w:vAlign w:val="bottom"/>
            <w:hideMark/>
          </w:tcPr>
          <w:p w14:paraId="166A9B9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95</w:t>
            </w:r>
          </w:p>
        </w:tc>
      </w:tr>
      <w:tr w:rsidR="00844545" w:rsidRPr="00844545" w14:paraId="08DAA20B" w14:textId="77777777" w:rsidTr="00844545">
        <w:trPr>
          <w:trHeight w:val="300"/>
          <w:jc w:val="center"/>
        </w:trPr>
        <w:tc>
          <w:tcPr>
            <w:tcW w:w="1260" w:type="dxa"/>
            <w:tcBorders>
              <w:top w:val="nil"/>
              <w:left w:val="nil"/>
              <w:bottom w:val="nil"/>
              <w:right w:val="nil"/>
            </w:tcBorders>
            <w:noWrap/>
            <w:vAlign w:val="bottom"/>
            <w:hideMark/>
          </w:tcPr>
          <w:p w14:paraId="1D74A53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24</w:t>
            </w:r>
          </w:p>
        </w:tc>
        <w:tc>
          <w:tcPr>
            <w:tcW w:w="1260" w:type="dxa"/>
            <w:tcBorders>
              <w:top w:val="nil"/>
              <w:left w:val="nil"/>
              <w:bottom w:val="nil"/>
              <w:right w:val="nil"/>
            </w:tcBorders>
            <w:noWrap/>
            <w:vAlign w:val="bottom"/>
            <w:hideMark/>
          </w:tcPr>
          <w:p w14:paraId="1EF24988"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60</w:t>
            </w:r>
          </w:p>
        </w:tc>
        <w:tc>
          <w:tcPr>
            <w:tcW w:w="1260" w:type="dxa"/>
            <w:tcBorders>
              <w:top w:val="nil"/>
              <w:left w:val="nil"/>
              <w:bottom w:val="nil"/>
              <w:right w:val="nil"/>
            </w:tcBorders>
            <w:noWrap/>
            <w:vAlign w:val="bottom"/>
            <w:hideMark/>
          </w:tcPr>
          <w:p w14:paraId="4FFB9C2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78</w:t>
            </w:r>
          </w:p>
        </w:tc>
        <w:tc>
          <w:tcPr>
            <w:tcW w:w="1260" w:type="dxa"/>
            <w:tcBorders>
              <w:top w:val="nil"/>
              <w:left w:val="nil"/>
              <w:bottom w:val="nil"/>
              <w:right w:val="nil"/>
            </w:tcBorders>
            <w:noWrap/>
            <w:vAlign w:val="bottom"/>
            <w:hideMark/>
          </w:tcPr>
          <w:p w14:paraId="02A180E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96</w:t>
            </w:r>
          </w:p>
        </w:tc>
      </w:tr>
      <w:tr w:rsidR="00844545" w:rsidRPr="00844545" w14:paraId="77A70B26"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4687331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25</w:t>
            </w:r>
          </w:p>
        </w:tc>
        <w:tc>
          <w:tcPr>
            <w:tcW w:w="1260" w:type="dxa"/>
            <w:tcBorders>
              <w:top w:val="nil"/>
              <w:left w:val="nil"/>
              <w:bottom w:val="nil"/>
              <w:right w:val="nil"/>
            </w:tcBorders>
            <w:shd w:val="clear" w:color="D9D9D9" w:fill="D9D9D9"/>
            <w:noWrap/>
            <w:vAlign w:val="bottom"/>
            <w:hideMark/>
          </w:tcPr>
          <w:p w14:paraId="4BC0324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61</w:t>
            </w:r>
          </w:p>
        </w:tc>
        <w:tc>
          <w:tcPr>
            <w:tcW w:w="1260" w:type="dxa"/>
            <w:tcBorders>
              <w:top w:val="nil"/>
              <w:left w:val="nil"/>
              <w:bottom w:val="nil"/>
              <w:right w:val="nil"/>
            </w:tcBorders>
            <w:shd w:val="clear" w:color="D9D9D9" w:fill="D9D9D9"/>
            <w:noWrap/>
            <w:vAlign w:val="bottom"/>
            <w:hideMark/>
          </w:tcPr>
          <w:p w14:paraId="275556B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79</w:t>
            </w:r>
          </w:p>
        </w:tc>
        <w:tc>
          <w:tcPr>
            <w:tcW w:w="1260" w:type="dxa"/>
            <w:tcBorders>
              <w:top w:val="nil"/>
              <w:left w:val="nil"/>
              <w:bottom w:val="nil"/>
              <w:right w:val="nil"/>
            </w:tcBorders>
            <w:shd w:val="clear" w:color="D9D9D9" w:fill="D9D9D9"/>
            <w:noWrap/>
            <w:vAlign w:val="bottom"/>
            <w:hideMark/>
          </w:tcPr>
          <w:p w14:paraId="0FEC4F3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97</w:t>
            </w:r>
          </w:p>
        </w:tc>
      </w:tr>
      <w:tr w:rsidR="00844545" w:rsidRPr="00844545" w14:paraId="1B9066BF" w14:textId="77777777" w:rsidTr="00844545">
        <w:trPr>
          <w:trHeight w:val="300"/>
          <w:jc w:val="center"/>
        </w:trPr>
        <w:tc>
          <w:tcPr>
            <w:tcW w:w="1260" w:type="dxa"/>
            <w:tcBorders>
              <w:top w:val="nil"/>
              <w:left w:val="nil"/>
              <w:bottom w:val="nil"/>
              <w:right w:val="nil"/>
            </w:tcBorders>
            <w:noWrap/>
            <w:vAlign w:val="bottom"/>
            <w:hideMark/>
          </w:tcPr>
          <w:p w14:paraId="5E63B6C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26</w:t>
            </w:r>
          </w:p>
        </w:tc>
        <w:tc>
          <w:tcPr>
            <w:tcW w:w="1260" w:type="dxa"/>
            <w:tcBorders>
              <w:top w:val="nil"/>
              <w:left w:val="nil"/>
              <w:bottom w:val="nil"/>
              <w:right w:val="nil"/>
            </w:tcBorders>
            <w:noWrap/>
            <w:vAlign w:val="bottom"/>
            <w:hideMark/>
          </w:tcPr>
          <w:p w14:paraId="3267C17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62</w:t>
            </w:r>
          </w:p>
        </w:tc>
        <w:tc>
          <w:tcPr>
            <w:tcW w:w="1260" w:type="dxa"/>
            <w:tcBorders>
              <w:top w:val="nil"/>
              <w:left w:val="nil"/>
              <w:bottom w:val="nil"/>
              <w:right w:val="nil"/>
            </w:tcBorders>
            <w:noWrap/>
            <w:vAlign w:val="bottom"/>
            <w:hideMark/>
          </w:tcPr>
          <w:p w14:paraId="5174DB0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80</w:t>
            </w:r>
          </w:p>
        </w:tc>
        <w:tc>
          <w:tcPr>
            <w:tcW w:w="1260" w:type="dxa"/>
            <w:tcBorders>
              <w:top w:val="nil"/>
              <w:left w:val="nil"/>
              <w:bottom w:val="nil"/>
              <w:right w:val="nil"/>
            </w:tcBorders>
            <w:noWrap/>
            <w:vAlign w:val="bottom"/>
            <w:hideMark/>
          </w:tcPr>
          <w:p w14:paraId="0B03604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98</w:t>
            </w:r>
          </w:p>
        </w:tc>
      </w:tr>
      <w:tr w:rsidR="00844545" w:rsidRPr="00844545" w14:paraId="0D9A5322"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0DC26BA8"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27</w:t>
            </w:r>
          </w:p>
        </w:tc>
        <w:tc>
          <w:tcPr>
            <w:tcW w:w="1260" w:type="dxa"/>
            <w:tcBorders>
              <w:top w:val="nil"/>
              <w:left w:val="nil"/>
              <w:bottom w:val="nil"/>
              <w:right w:val="nil"/>
            </w:tcBorders>
            <w:shd w:val="clear" w:color="D9D9D9" w:fill="D9D9D9"/>
            <w:noWrap/>
            <w:vAlign w:val="bottom"/>
            <w:hideMark/>
          </w:tcPr>
          <w:p w14:paraId="76A8BD5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63</w:t>
            </w:r>
          </w:p>
        </w:tc>
        <w:tc>
          <w:tcPr>
            <w:tcW w:w="1260" w:type="dxa"/>
            <w:tcBorders>
              <w:top w:val="nil"/>
              <w:left w:val="nil"/>
              <w:bottom w:val="nil"/>
              <w:right w:val="nil"/>
            </w:tcBorders>
            <w:shd w:val="clear" w:color="D9D9D9" w:fill="D9D9D9"/>
            <w:noWrap/>
            <w:vAlign w:val="bottom"/>
            <w:hideMark/>
          </w:tcPr>
          <w:p w14:paraId="427453A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81</w:t>
            </w:r>
          </w:p>
        </w:tc>
        <w:tc>
          <w:tcPr>
            <w:tcW w:w="1260" w:type="dxa"/>
            <w:tcBorders>
              <w:top w:val="nil"/>
              <w:left w:val="nil"/>
              <w:bottom w:val="nil"/>
              <w:right w:val="nil"/>
            </w:tcBorders>
            <w:shd w:val="clear" w:color="D9D9D9" w:fill="D9D9D9"/>
            <w:noWrap/>
            <w:vAlign w:val="bottom"/>
            <w:hideMark/>
          </w:tcPr>
          <w:p w14:paraId="03B9E53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99</w:t>
            </w:r>
          </w:p>
        </w:tc>
      </w:tr>
      <w:tr w:rsidR="00844545" w:rsidRPr="00844545" w14:paraId="570E70FB" w14:textId="77777777" w:rsidTr="00844545">
        <w:trPr>
          <w:trHeight w:val="300"/>
          <w:jc w:val="center"/>
        </w:trPr>
        <w:tc>
          <w:tcPr>
            <w:tcW w:w="1260" w:type="dxa"/>
            <w:tcBorders>
              <w:top w:val="nil"/>
              <w:left w:val="nil"/>
              <w:bottom w:val="nil"/>
              <w:right w:val="nil"/>
            </w:tcBorders>
            <w:noWrap/>
            <w:vAlign w:val="bottom"/>
            <w:hideMark/>
          </w:tcPr>
          <w:p w14:paraId="7473FA04"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28</w:t>
            </w:r>
          </w:p>
        </w:tc>
        <w:tc>
          <w:tcPr>
            <w:tcW w:w="1260" w:type="dxa"/>
            <w:tcBorders>
              <w:top w:val="nil"/>
              <w:left w:val="nil"/>
              <w:bottom w:val="nil"/>
              <w:right w:val="nil"/>
            </w:tcBorders>
            <w:noWrap/>
            <w:vAlign w:val="bottom"/>
            <w:hideMark/>
          </w:tcPr>
          <w:p w14:paraId="204B744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64</w:t>
            </w:r>
          </w:p>
        </w:tc>
        <w:tc>
          <w:tcPr>
            <w:tcW w:w="1260" w:type="dxa"/>
            <w:tcBorders>
              <w:top w:val="nil"/>
              <w:left w:val="nil"/>
              <w:bottom w:val="nil"/>
              <w:right w:val="nil"/>
            </w:tcBorders>
            <w:noWrap/>
            <w:vAlign w:val="bottom"/>
            <w:hideMark/>
          </w:tcPr>
          <w:p w14:paraId="09B86EFC"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82</w:t>
            </w:r>
          </w:p>
        </w:tc>
        <w:tc>
          <w:tcPr>
            <w:tcW w:w="1260" w:type="dxa"/>
            <w:tcBorders>
              <w:top w:val="nil"/>
              <w:left w:val="nil"/>
              <w:bottom w:val="nil"/>
              <w:right w:val="nil"/>
            </w:tcBorders>
            <w:noWrap/>
            <w:vAlign w:val="bottom"/>
            <w:hideMark/>
          </w:tcPr>
          <w:p w14:paraId="03866CF4"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100</w:t>
            </w:r>
          </w:p>
        </w:tc>
      </w:tr>
      <w:tr w:rsidR="00844545" w:rsidRPr="00844545" w14:paraId="2D91CDAE"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60112AB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29</w:t>
            </w:r>
          </w:p>
        </w:tc>
        <w:tc>
          <w:tcPr>
            <w:tcW w:w="1260" w:type="dxa"/>
            <w:tcBorders>
              <w:top w:val="nil"/>
              <w:left w:val="nil"/>
              <w:bottom w:val="nil"/>
              <w:right w:val="nil"/>
            </w:tcBorders>
            <w:shd w:val="clear" w:color="D9D9D9" w:fill="D9D9D9"/>
            <w:noWrap/>
            <w:vAlign w:val="bottom"/>
            <w:hideMark/>
          </w:tcPr>
          <w:p w14:paraId="0D9FBC85"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65</w:t>
            </w:r>
          </w:p>
        </w:tc>
        <w:tc>
          <w:tcPr>
            <w:tcW w:w="1260" w:type="dxa"/>
            <w:tcBorders>
              <w:top w:val="nil"/>
              <w:left w:val="nil"/>
              <w:bottom w:val="nil"/>
              <w:right w:val="nil"/>
            </w:tcBorders>
            <w:shd w:val="clear" w:color="D9D9D9" w:fill="D9D9D9"/>
            <w:noWrap/>
            <w:vAlign w:val="bottom"/>
            <w:hideMark/>
          </w:tcPr>
          <w:p w14:paraId="440FE33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83</w:t>
            </w:r>
          </w:p>
        </w:tc>
        <w:tc>
          <w:tcPr>
            <w:tcW w:w="1260" w:type="dxa"/>
            <w:tcBorders>
              <w:top w:val="nil"/>
              <w:left w:val="nil"/>
              <w:bottom w:val="nil"/>
              <w:right w:val="nil"/>
            </w:tcBorders>
            <w:shd w:val="clear" w:color="D9D9D9" w:fill="D9D9D9"/>
            <w:noWrap/>
            <w:vAlign w:val="bottom"/>
            <w:hideMark/>
          </w:tcPr>
          <w:p w14:paraId="308D08A7"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101</w:t>
            </w:r>
          </w:p>
        </w:tc>
      </w:tr>
      <w:tr w:rsidR="00844545" w:rsidRPr="00844545" w14:paraId="6A7E15E6" w14:textId="77777777" w:rsidTr="00844545">
        <w:trPr>
          <w:trHeight w:val="300"/>
          <w:jc w:val="center"/>
        </w:trPr>
        <w:tc>
          <w:tcPr>
            <w:tcW w:w="1260" w:type="dxa"/>
            <w:tcBorders>
              <w:top w:val="nil"/>
              <w:left w:val="nil"/>
              <w:bottom w:val="nil"/>
              <w:right w:val="nil"/>
            </w:tcBorders>
            <w:noWrap/>
            <w:vAlign w:val="bottom"/>
            <w:hideMark/>
          </w:tcPr>
          <w:p w14:paraId="4D8C4BF9"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30</w:t>
            </w:r>
          </w:p>
        </w:tc>
        <w:tc>
          <w:tcPr>
            <w:tcW w:w="1260" w:type="dxa"/>
            <w:tcBorders>
              <w:top w:val="nil"/>
              <w:left w:val="nil"/>
              <w:bottom w:val="nil"/>
              <w:right w:val="nil"/>
            </w:tcBorders>
            <w:noWrap/>
            <w:vAlign w:val="bottom"/>
            <w:hideMark/>
          </w:tcPr>
          <w:p w14:paraId="1A4B7F67"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66</w:t>
            </w:r>
          </w:p>
        </w:tc>
        <w:tc>
          <w:tcPr>
            <w:tcW w:w="1260" w:type="dxa"/>
            <w:tcBorders>
              <w:top w:val="nil"/>
              <w:left w:val="nil"/>
              <w:bottom w:val="nil"/>
              <w:right w:val="nil"/>
            </w:tcBorders>
            <w:noWrap/>
            <w:vAlign w:val="bottom"/>
            <w:hideMark/>
          </w:tcPr>
          <w:p w14:paraId="5D635421"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84</w:t>
            </w:r>
          </w:p>
        </w:tc>
        <w:tc>
          <w:tcPr>
            <w:tcW w:w="1260" w:type="dxa"/>
            <w:tcBorders>
              <w:top w:val="nil"/>
              <w:left w:val="nil"/>
              <w:bottom w:val="nil"/>
              <w:right w:val="nil"/>
            </w:tcBorders>
            <w:noWrap/>
            <w:vAlign w:val="bottom"/>
            <w:hideMark/>
          </w:tcPr>
          <w:p w14:paraId="469F5B4B"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102</w:t>
            </w:r>
          </w:p>
        </w:tc>
      </w:tr>
      <w:tr w:rsidR="00844545" w:rsidRPr="00844545" w14:paraId="7E3B63E0" w14:textId="77777777" w:rsidTr="00844545">
        <w:trPr>
          <w:trHeight w:val="300"/>
          <w:jc w:val="center"/>
        </w:trPr>
        <w:tc>
          <w:tcPr>
            <w:tcW w:w="1260" w:type="dxa"/>
            <w:tcBorders>
              <w:top w:val="nil"/>
              <w:left w:val="nil"/>
              <w:bottom w:val="nil"/>
              <w:right w:val="nil"/>
            </w:tcBorders>
            <w:shd w:val="clear" w:color="D9D9D9" w:fill="D9D9D9"/>
            <w:noWrap/>
            <w:vAlign w:val="bottom"/>
            <w:hideMark/>
          </w:tcPr>
          <w:p w14:paraId="021B079A"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31</w:t>
            </w:r>
          </w:p>
        </w:tc>
        <w:tc>
          <w:tcPr>
            <w:tcW w:w="1260" w:type="dxa"/>
            <w:tcBorders>
              <w:top w:val="nil"/>
              <w:left w:val="nil"/>
              <w:bottom w:val="nil"/>
              <w:right w:val="nil"/>
            </w:tcBorders>
            <w:shd w:val="clear" w:color="D9D9D9" w:fill="D9D9D9"/>
            <w:noWrap/>
            <w:vAlign w:val="bottom"/>
            <w:hideMark/>
          </w:tcPr>
          <w:p w14:paraId="61FF59C3"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67</w:t>
            </w:r>
          </w:p>
        </w:tc>
        <w:tc>
          <w:tcPr>
            <w:tcW w:w="1260" w:type="dxa"/>
            <w:tcBorders>
              <w:top w:val="nil"/>
              <w:left w:val="nil"/>
              <w:bottom w:val="nil"/>
              <w:right w:val="nil"/>
            </w:tcBorders>
            <w:shd w:val="clear" w:color="D9D9D9" w:fill="D9D9D9"/>
            <w:noWrap/>
            <w:vAlign w:val="bottom"/>
            <w:hideMark/>
          </w:tcPr>
          <w:p w14:paraId="1C237E3D"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85</w:t>
            </w:r>
          </w:p>
        </w:tc>
        <w:tc>
          <w:tcPr>
            <w:tcW w:w="1260" w:type="dxa"/>
            <w:tcBorders>
              <w:top w:val="nil"/>
              <w:left w:val="nil"/>
              <w:bottom w:val="nil"/>
              <w:right w:val="nil"/>
            </w:tcBorders>
            <w:shd w:val="clear" w:color="D9D9D9" w:fill="D9D9D9"/>
            <w:noWrap/>
            <w:vAlign w:val="bottom"/>
            <w:hideMark/>
          </w:tcPr>
          <w:p w14:paraId="18AE9FF6"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103</w:t>
            </w:r>
          </w:p>
        </w:tc>
      </w:tr>
      <w:tr w:rsidR="00844545" w:rsidRPr="00844545" w14:paraId="262721F4" w14:textId="77777777" w:rsidTr="00844545">
        <w:trPr>
          <w:trHeight w:val="300"/>
          <w:jc w:val="center"/>
        </w:trPr>
        <w:tc>
          <w:tcPr>
            <w:tcW w:w="1260" w:type="dxa"/>
            <w:tcBorders>
              <w:top w:val="nil"/>
              <w:left w:val="nil"/>
              <w:bottom w:val="single" w:sz="4" w:space="0" w:color="000000"/>
              <w:right w:val="nil"/>
            </w:tcBorders>
            <w:noWrap/>
            <w:vAlign w:val="bottom"/>
            <w:hideMark/>
          </w:tcPr>
          <w:p w14:paraId="47737B77"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32</w:t>
            </w:r>
          </w:p>
        </w:tc>
        <w:tc>
          <w:tcPr>
            <w:tcW w:w="1260" w:type="dxa"/>
            <w:tcBorders>
              <w:top w:val="nil"/>
              <w:left w:val="nil"/>
              <w:bottom w:val="single" w:sz="4" w:space="0" w:color="000000"/>
              <w:right w:val="nil"/>
            </w:tcBorders>
            <w:noWrap/>
            <w:vAlign w:val="bottom"/>
            <w:hideMark/>
          </w:tcPr>
          <w:p w14:paraId="34545E1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68</w:t>
            </w:r>
          </w:p>
        </w:tc>
        <w:tc>
          <w:tcPr>
            <w:tcW w:w="1260" w:type="dxa"/>
            <w:tcBorders>
              <w:top w:val="nil"/>
              <w:left w:val="nil"/>
              <w:bottom w:val="single" w:sz="4" w:space="0" w:color="000000"/>
              <w:right w:val="nil"/>
            </w:tcBorders>
            <w:noWrap/>
            <w:vAlign w:val="bottom"/>
            <w:hideMark/>
          </w:tcPr>
          <w:p w14:paraId="23A9AA37"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86</w:t>
            </w:r>
          </w:p>
        </w:tc>
        <w:tc>
          <w:tcPr>
            <w:tcW w:w="1260" w:type="dxa"/>
            <w:tcBorders>
              <w:top w:val="nil"/>
              <w:left w:val="nil"/>
              <w:bottom w:val="single" w:sz="4" w:space="0" w:color="000000"/>
              <w:right w:val="nil"/>
            </w:tcBorders>
            <w:noWrap/>
            <w:vAlign w:val="bottom"/>
            <w:hideMark/>
          </w:tcPr>
          <w:p w14:paraId="3EF3B302" w14:textId="77777777" w:rsidR="00844545" w:rsidRPr="00844545" w:rsidRDefault="00844545" w:rsidP="00844545">
            <w:pPr>
              <w:spacing w:after="0" w:line="240" w:lineRule="auto"/>
              <w:jc w:val="right"/>
              <w:rPr>
                <w:rFonts w:ascii="Calibri" w:eastAsia="Times New Roman" w:hAnsi="Calibri" w:cs="Calibri"/>
                <w:color w:val="000000"/>
                <w:kern w:val="0"/>
                <w:sz w:val="22"/>
                <w:szCs w:val="22"/>
                <w:lang w:eastAsia="pl-PL"/>
                <w14:ligatures w14:val="none"/>
              </w:rPr>
            </w:pPr>
            <w:r w:rsidRPr="00844545">
              <w:rPr>
                <w:rFonts w:ascii="Calibri" w:eastAsia="Times New Roman" w:hAnsi="Calibri" w:cs="Calibri"/>
                <w:color w:val="000000"/>
                <w:kern w:val="0"/>
                <w:sz w:val="22"/>
                <w:szCs w:val="22"/>
                <w:lang w:eastAsia="pl-PL"/>
                <w14:ligatures w14:val="none"/>
              </w:rPr>
              <w:t>104</w:t>
            </w:r>
          </w:p>
        </w:tc>
      </w:tr>
    </w:tbl>
    <w:p w14:paraId="2436F0EC" w14:textId="217E3813" w:rsidR="00844545" w:rsidRDefault="00844545" w:rsidP="00844545">
      <w:pPr>
        <w:pStyle w:val="Akapitzlist"/>
        <w:spacing w:after="120" w:line="276" w:lineRule="auto"/>
        <w:ind w:left="792"/>
        <w:jc w:val="center"/>
        <w:rPr>
          <w:rFonts w:cstheme="minorHAnsi"/>
          <w:i/>
          <w:iCs/>
        </w:rPr>
      </w:pPr>
      <w:r w:rsidRPr="00844545">
        <w:rPr>
          <w:rFonts w:cstheme="minorHAnsi"/>
          <w:i/>
          <w:iCs/>
        </w:rPr>
        <w:t xml:space="preserve">Tabela 1 – </w:t>
      </w:r>
      <w:proofErr w:type="spellStart"/>
      <w:r w:rsidRPr="00844545">
        <w:rPr>
          <w:rFonts w:cstheme="minorHAnsi"/>
          <w:i/>
          <w:iCs/>
        </w:rPr>
        <w:t>pinout</w:t>
      </w:r>
      <w:proofErr w:type="spellEnd"/>
      <w:r w:rsidRPr="00844545">
        <w:rPr>
          <w:rFonts w:cstheme="minorHAnsi"/>
          <w:i/>
          <w:iCs/>
        </w:rPr>
        <w:t xml:space="preserve"> </w:t>
      </w:r>
      <w:proofErr w:type="spellStart"/>
      <w:r w:rsidRPr="00844545">
        <w:rPr>
          <w:rFonts w:cstheme="minorHAnsi"/>
          <w:i/>
          <w:iCs/>
        </w:rPr>
        <w:t>wielozłącza</w:t>
      </w:r>
      <w:proofErr w:type="spellEnd"/>
    </w:p>
    <w:p w14:paraId="04524131" w14:textId="77777777" w:rsidR="00844545" w:rsidRPr="00844545" w:rsidRDefault="00844545" w:rsidP="00844545">
      <w:pPr>
        <w:pStyle w:val="Akapitzlist"/>
        <w:spacing w:after="120" w:line="276" w:lineRule="auto"/>
        <w:ind w:left="792"/>
        <w:jc w:val="center"/>
        <w:rPr>
          <w:rFonts w:cstheme="minorHAnsi"/>
          <w:i/>
          <w:iCs/>
        </w:rPr>
      </w:pPr>
    </w:p>
    <w:p w14:paraId="7A236105" w14:textId="544CDFEA" w:rsidR="00CA6C28" w:rsidRDefault="00CA6C28" w:rsidP="005F1C18">
      <w:pPr>
        <w:pStyle w:val="Akapitzlist"/>
        <w:spacing w:after="120" w:line="276" w:lineRule="auto"/>
        <w:ind w:left="792"/>
        <w:jc w:val="both"/>
        <w:rPr>
          <w:rFonts w:cstheme="minorHAnsi"/>
        </w:rPr>
      </w:pPr>
      <w:r w:rsidRPr="00CA6C28">
        <w:rPr>
          <w:rFonts w:cstheme="minorHAnsi"/>
        </w:rPr>
        <w:t xml:space="preserve">Drugi koniec przewodu musi być zakończony dokładnie 32 oznaczonymi wtykami XLR3M przeznaczonymi dla wejść mikrofonowych. Przewód musi mieć długość całkowitą 2m, a długość odcinka rozdzielonego umożliwiającego podłączenie nienaprężonym przewodem wszystkich gniazd wejściowych na panelu przednim urządzenia, indywidualnie ekranowane pary oraz zabezpieczenie przed przenoszeniem </w:t>
      </w:r>
      <w:proofErr w:type="spellStart"/>
      <w:r w:rsidRPr="00CA6C28">
        <w:rPr>
          <w:rFonts w:cstheme="minorHAnsi"/>
        </w:rPr>
        <w:t>naprężeń</w:t>
      </w:r>
      <w:proofErr w:type="spellEnd"/>
      <w:r w:rsidRPr="00CA6C28">
        <w:rPr>
          <w:rFonts w:cstheme="minorHAnsi"/>
        </w:rPr>
        <w:t xml:space="preserve"> na styki złącza. </w:t>
      </w:r>
    </w:p>
    <w:p w14:paraId="06733B71" w14:textId="77777777" w:rsidR="00844545" w:rsidRDefault="00844545" w:rsidP="005F1C18">
      <w:pPr>
        <w:pStyle w:val="Akapitzlist"/>
        <w:spacing w:after="120" w:line="276" w:lineRule="auto"/>
        <w:ind w:left="792"/>
        <w:jc w:val="both"/>
        <w:rPr>
          <w:rFonts w:cstheme="minorHAnsi"/>
        </w:rPr>
      </w:pPr>
    </w:p>
    <w:p w14:paraId="47A7757B" w14:textId="1B251F02" w:rsidR="008F3672" w:rsidRPr="00CA6C28" w:rsidRDefault="00CA6C28" w:rsidP="00FA1230">
      <w:pPr>
        <w:pStyle w:val="Akapitzlist"/>
        <w:numPr>
          <w:ilvl w:val="1"/>
          <w:numId w:val="26"/>
        </w:numPr>
        <w:spacing w:after="120" w:line="276" w:lineRule="auto"/>
        <w:jc w:val="both"/>
        <w:rPr>
          <w:rFonts w:cstheme="minorHAnsi"/>
        </w:rPr>
      </w:pPr>
      <w:r w:rsidRPr="00CA6C28">
        <w:rPr>
          <w:rFonts w:cstheme="minorHAnsi"/>
        </w:rPr>
        <w:t xml:space="preserve">Skrzynia transportowa typu </w:t>
      </w:r>
      <w:proofErr w:type="spellStart"/>
      <w:r w:rsidRPr="00CA6C28">
        <w:rPr>
          <w:rFonts w:cstheme="minorHAnsi"/>
        </w:rPr>
        <w:t>flightcase</w:t>
      </w:r>
      <w:proofErr w:type="spellEnd"/>
      <w:r w:rsidRPr="00CA6C28">
        <w:rPr>
          <w:rFonts w:cstheme="minorHAnsi"/>
        </w:rPr>
        <w:t xml:space="preserve">, wyposażona w szyny </w:t>
      </w:r>
      <w:proofErr w:type="spellStart"/>
      <w:r w:rsidRPr="00CA6C28">
        <w:rPr>
          <w:rFonts w:cstheme="minorHAnsi"/>
        </w:rPr>
        <w:t>rack</w:t>
      </w:r>
      <w:proofErr w:type="spellEnd"/>
      <w:r w:rsidRPr="00CA6C28">
        <w:rPr>
          <w:rFonts w:cstheme="minorHAnsi"/>
        </w:rPr>
        <w:t xml:space="preserve"> 19”, zdejmowane pokrywy przednią i tylną, uchwyty transportowe, zamknięcia zabezpieczone przed przypadkowym otwarciem, przestrzeń wentylacyjną wymaganą przez producenta urządzeń oraz wydzielone i zabezpieczone miejsce na komplet dostarczanego okablowania. Urządzenie z punktu 2.1 musi być trwale zamocowane w skrzyni na czas transportu.</w:t>
      </w:r>
    </w:p>
    <w:p w14:paraId="0709C37B" w14:textId="77777777" w:rsidR="001D1831" w:rsidRPr="008C65F9" w:rsidRDefault="001D1831" w:rsidP="00FA1230">
      <w:pPr>
        <w:jc w:val="both"/>
        <w:rPr>
          <w:rFonts w:cstheme="minorHAnsi"/>
          <w:b/>
          <w:bCs/>
        </w:rPr>
      </w:pPr>
      <w:r w:rsidRPr="008C65F9">
        <w:rPr>
          <w:rFonts w:cstheme="minorHAnsi"/>
          <w:b/>
          <w:bCs/>
        </w:rPr>
        <w:br w:type="page"/>
      </w:r>
    </w:p>
    <w:p w14:paraId="7E52CBB1" w14:textId="31E96DCF" w:rsidR="008F3672" w:rsidRPr="008C65F9" w:rsidRDefault="008F3672" w:rsidP="00FA1230">
      <w:pPr>
        <w:spacing w:after="120" w:line="276" w:lineRule="auto"/>
        <w:jc w:val="both"/>
        <w:rPr>
          <w:rFonts w:cstheme="minorHAnsi"/>
          <w:b/>
          <w:bCs/>
        </w:rPr>
      </w:pPr>
      <w:r w:rsidRPr="008C65F9">
        <w:rPr>
          <w:rFonts w:cstheme="minorHAnsi"/>
          <w:b/>
          <w:bCs/>
        </w:rPr>
        <w:lastRenderedPageBreak/>
        <w:t>CZĘŚĆ III - URZĄDZENIA ZEGAROWE</w:t>
      </w:r>
      <w:r w:rsidR="00A9558F" w:rsidRPr="008C65F9">
        <w:rPr>
          <w:rFonts w:cstheme="minorHAnsi"/>
          <w:b/>
          <w:bCs/>
        </w:rPr>
        <w:t xml:space="preserve"> GPS,</w:t>
      </w:r>
      <w:r w:rsidRPr="008C65F9">
        <w:rPr>
          <w:rFonts w:cstheme="minorHAnsi"/>
          <w:b/>
          <w:bCs/>
        </w:rPr>
        <w:t> </w:t>
      </w:r>
      <w:r w:rsidR="001D1831" w:rsidRPr="008C65F9">
        <w:rPr>
          <w:rFonts w:cstheme="minorHAnsi"/>
          <w:b/>
          <w:bCs/>
        </w:rPr>
        <w:t>PTPv2</w:t>
      </w:r>
      <w:r w:rsidR="00A9558F" w:rsidRPr="008C65F9">
        <w:rPr>
          <w:rFonts w:cstheme="minorHAnsi"/>
          <w:b/>
          <w:bCs/>
        </w:rPr>
        <w:t xml:space="preserve"> i WORD CLOCK</w:t>
      </w:r>
    </w:p>
    <w:p w14:paraId="495D479A" w14:textId="77777777" w:rsidR="008F3672" w:rsidRPr="008C65F9" w:rsidRDefault="008F3672" w:rsidP="00FA1230">
      <w:pPr>
        <w:spacing w:after="120" w:line="276" w:lineRule="auto"/>
        <w:contextualSpacing/>
        <w:jc w:val="both"/>
        <w:rPr>
          <w:rFonts w:cstheme="minorHAnsi"/>
          <w:b/>
          <w:bCs/>
        </w:rPr>
      </w:pPr>
    </w:p>
    <w:p w14:paraId="3C55D0F8" w14:textId="674B3C9B" w:rsidR="008F3672" w:rsidRPr="008C65F9" w:rsidRDefault="008F3672" w:rsidP="00FA1230">
      <w:pPr>
        <w:pStyle w:val="Akapitzlist"/>
        <w:numPr>
          <w:ilvl w:val="0"/>
          <w:numId w:val="27"/>
        </w:numPr>
        <w:spacing w:after="120" w:line="276" w:lineRule="auto"/>
        <w:ind w:left="284" w:hanging="284"/>
        <w:jc w:val="both"/>
        <w:rPr>
          <w:rFonts w:cstheme="minorHAnsi"/>
          <w:b/>
          <w:bCs/>
        </w:rPr>
      </w:pPr>
      <w:r w:rsidRPr="008C65F9">
        <w:rPr>
          <w:rFonts w:cstheme="minorHAnsi"/>
          <w:b/>
          <w:bCs/>
        </w:rPr>
        <w:t xml:space="preserve">Urządzenia zegarowe typu </w:t>
      </w:r>
      <w:proofErr w:type="spellStart"/>
      <w:r w:rsidRPr="008C65F9">
        <w:rPr>
          <w:rFonts w:cstheme="minorHAnsi"/>
          <w:b/>
          <w:bCs/>
        </w:rPr>
        <w:t>grandmaster</w:t>
      </w:r>
      <w:proofErr w:type="spellEnd"/>
      <w:r w:rsidRPr="008C65F9">
        <w:rPr>
          <w:rFonts w:cstheme="minorHAnsi"/>
          <w:b/>
          <w:bCs/>
        </w:rPr>
        <w:t xml:space="preserve"> do synchronizacji sieci </w:t>
      </w:r>
      <w:proofErr w:type="spellStart"/>
      <w:r w:rsidR="00645CF9" w:rsidRPr="008C65F9">
        <w:rPr>
          <w:rFonts w:cstheme="minorHAnsi"/>
          <w:b/>
          <w:bCs/>
        </w:rPr>
        <w:t>Ao</w:t>
      </w:r>
      <w:r w:rsidRPr="008C65F9">
        <w:rPr>
          <w:rFonts w:cstheme="minorHAnsi"/>
          <w:b/>
          <w:bCs/>
        </w:rPr>
        <w:t>IP</w:t>
      </w:r>
      <w:proofErr w:type="spellEnd"/>
      <w:r w:rsidRPr="008C65F9">
        <w:rPr>
          <w:rFonts w:cstheme="minorHAnsi"/>
          <w:b/>
          <w:bCs/>
        </w:rPr>
        <w:t>, umożliwiające utworzenie niezależnych</w:t>
      </w:r>
      <w:r w:rsidR="001D1831" w:rsidRPr="008C65F9">
        <w:rPr>
          <w:rFonts w:cstheme="minorHAnsi"/>
          <w:b/>
          <w:bCs/>
        </w:rPr>
        <w:t xml:space="preserve"> lokalizacyjnie, zsynchronizowanych</w:t>
      </w:r>
      <w:r w:rsidRPr="008C65F9">
        <w:rPr>
          <w:rFonts w:cstheme="minorHAnsi"/>
          <w:b/>
          <w:bCs/>
        </w:rPr>
        <w:t xml:space="preserve"> stref zegarowych</w:t>
      </w:r>
      <w:r w:rsidR="00701F66" w:rsidRPr="008C65F9">
        <w:rPr>
          <w:rFonts w:cstheme="minorHAnsi"/>
          <w:b/>
          <w:bCs/>
        </w:rPr>
        <w:t xml:space="preserve"> -</w:t>
      </w:r>
      <w:r w:rsidR="00645CF9" w:rsidRPr="008C65F9">
        <w:rPr>
          <w:rFonts w:cstheme="minorHAnsi"/>
          <w:b/>
          <w:bCs/>
        </w:rPr>
        <w:t xml:space="preserve"> 2 szt.</w:t>
      </w:r>
    </w:p>
    <w:p w14:paraId="78B088A4" w14:textId="01B245C0" w:rsidR="00645CF9" w:rsidRPr="008C65F9" w:rsidRDefault="00645CF9" w:rsidP="00FA1230">
      <w:pPr>
        <w:pStyle w:val="Akapitzlist"/>
        <w:numPr>
          <w:ilvl w:val="1"/>
          <w:numId w:val="27"/>
        </w:numPr>
        <w:spacing w:after="120" w:line="276" w:lineRule="auto"/>
        <w:ind w:hanging="508"/>
        <w:jc w:val="both"/>
        <w:rPr>
          <w:rFonts w:cstheme="minorHAnsi"/>
        </w:rPr>
      </w:pPr>
      <w:r w:rsidRPr="008C65F9">
        <w:rPr>
          <w:rFonts w:cstheme="minorHAnsi"/>
        </w:rPr>
        <w:t xml:space="preserve">Obudowa do montażu </w:t>
      </w:r>
      <w:proofErr w:type="spellStart"/>
      <w:r w:rsidRPr="008C65F9">
        <w:rPr>
          <w:rFonts w:cstheme="minorHAnsi"/>
        </w:rPr>
        <w:t>rack</w:t>
      </w:r>
      <w:proofErr w:type="spellEnd"/>
      <w:r w:rsidRPr="008C65F9">
        <w:rPr>
          <w:rFonts w:cstheme="minorHAnsi"/>
        </w:rPr>
        <w:t xml:space="preserve"> 19”</w:t>
      </w:r>
    </w:p>
    <w:p w14:paraId="0DFEEE0B" w14:textId="458098A2" w:rsidR="00EF5160" w:rsidRDefault="00EF5160" w:rsidP="00FA1230">
      <w:pPr>
        <w:pStyle w:val="Akapitzlist"/>
        <w:numPr>
          <w:ilvl w:val="1"/>
          <w:numId w:val="27"/>
        </w:numPr>
        <w:spacing w:after="120" w:line="276" w:lineRule="auto"/>
        <w:ind w:hanging="508"/>
        <w:jc w:val="both"/>
        <w:rPr>
          <w:rFonts w:cstheme="minorHAnsi"/>
        </w:rPr>
      </w:pPr>
      <w:r w:rsidRPr="00EF5160">
        <w:rPr>
          <w:rFonts w:cstheme="minorHAnsi"/>
        </w:rPr>
        <w:t xml:space="preserve">Funkcja zegara nadrzędnego PTPv2 zgodnego z IEEE 1588-2008 lub równoważnym, wykorzystującego sprzętowe znakowanie czasu. Urządzenie musi zapewniać deklarowaną przez producenta dokładność synchronizacji w sieci lokalnej nie gorszą niż 1 µs względem aktywnego źródła odniesienia </w:t>
      </w:r>
      <w:r>
        <w:rPr>
          <w:rFonts w:cstheme="minorHAnsi"/>
        </w:rPr>
        <w:t>GPS</w:t>
      </w:r>
      <w:r w:rsidRPr="00EF5160">
        <w:rPr>
          <w:rFonts w:cstheme="minorHAnsi"/>
        </w:rPr>
        <w:t>.</w:t>
      </w:r>
    </w:p>
    <w:p w14:paraId="383E322E" w14:textId="033B1E1D" w:rsidR="008F3672" w:rsidRPr="008C65F9" w:rsidRDefault="008F3672" w:rsidP="00FA1230">
      <w:pPr>
        <w:pStyle w:val="Akapitzlist"/>
        <w:numPr>
          <w:ilvl w:val="1"/>
          <w:numId w:val="27"/>
        </w:numPr>
        <w:spacing w:after="120" w:line="276" w:lineRule="auto"/>
        <w:ind w:hanging="508"/>
        <w:jc w:val="both"/>
        <w:rPr>
          <w:rFonts w:cstheme="minorHAnsi"/>
        </w:rPr>
      </w:pPr>
      <w:r w:rsidRPr="008C65F9">
        <w:rPr>
          <w:rFonts w:cstheme="minorHAnsi"/>
        </w:rPr>
        <w:t>Synchronizacja do sygnału GPS (odbiornik GNSS/GPS), pozwalająca na budowę niezależnej strefy zegarowej</w:t>
      </w:r>
      <w:r w:rsidR="00645CF9" w:rsidRPr="008C65F9">
        <w:rPr>
          <w:rFonts w:cstheme="minorHAnsi"/>
        </w:rPr>
        <w:t xml:space="preserve"> w różnych lokalizacjach, ale o zegarach zsynchronizowanych ze sobą</w:t>
      </w:r>
      <w:r w:rsidRPr="008C65F9">
        <w:rPr>
          <w:rFonts w:cstheme="minorHAnsi"/>
        </w:rPr>
        <w:t xml:space="preserve">. Każde z urządzeń musi umożliwiać pracę jako samodzielny, niezależny </w:t>
      </w:r>
      <w:proofErr w:type="spellStart"/>
      <w:r w:rsidRPr="008C65F9">
        <w:rPr>
          <w:rFonts w:cstheme="minorHAnsi"/>
        </w:rPr>
        <w:t>grandmaster</w:t>
      </w:r>
      <w:proofErr w:type="spellEnd"/>
      <w:r w:rsidR="00645CF9" w:rsidRPr="008C65F9">
        <w:rPr>
          <w:rFonts w:cstheme="minorHAnsi"/>
        </w:rPr>
        <w:t>.</w:t>
      </w:r>
    </w:p>
    <w:p w14:paraId="7D861BA4" w14:textId="77777777" w:rsidR="00EF5160" w:rsidRDefault="00EF5160" w:rsidP="00FA1230">
      <w:pPr>
        <w:pStyle w:val="Akapitzlist"/>
        <w:numPr>
          <w:ilvl w:val="1"/>
          <w:numId w:val="27"/>
        </w:numPr>
        <w:spacing w:after="120" w:line="276" w:lineRule="auto"/>
        <w:ind w:hanging="508"/>
        <w:jc w:val="both"/>
        <w:rPr>
          <w:rFonts w:cstheme="minorHAnsi"/>
        </w:rPr>
      </w:pPr>
      <w:r w:rsidRPr="00EF5160">
        <w:rPr>
          <w:rFonts w:cstheme="minorHAnsi"/>
        </w:rPr>
        <w:t xml:space="preserve">Obsługa co najmniej profilu PTP </w:t>
      </w:r>
      <w:proofErr w:type="spellStart"/>
      <w:r w:rsidRPr="00EF5160">
        <w:rPr>
          <w:rFonts w:cstheme="minorHAnsi"/>
        </w:rPr>
        <w:t>Default</w:t>
      </w:r>
      <w:proofErr w:type="spellEnd"/>
      <w:r w:rsidRPr="00EF5160">
        <w:rPr>
          <w:rFonts w:cstheme="minorHAnsi"/>
        </w:rPr>
        <w:t xml:space="preserve"> wykorzystywanego przez RAVENNA, profilu Media wykorzystywanego przez AES67 oraz profilu SMPTE ST 2059-2 albo profili równoważnych zapewniających pełną interoperacyjność z urządzeniami pracującymi w tych trzech środowiskach.</w:t>
      </w:r>
    </w:p>
    <w:p w14:paraId="415559FD" w14:textId="2AEA6735" w:rsidR="008F3672" w:rsidRPr="008C65F9" w:rsidRDefault="008F3672" w:rsidP="00FA1230">
      <w:pPr>
        <w:pStyle w:val="Akapitzlist"/>
        <w:numPr>
          <w:ilvl w:val="1"/>
          <w:numId w:val="27"/>
        </w:numPr>
        <w:spacing w:after="120" w:line="276" w:lineRule="auto"/>
        <w:ind w:hanging="508"/>
        <w:jc w:val="both"/>
        <w:rPr>
          <w:rFonts w:cstheme="minorHAnsi"/>
        </w:rPr>
      </w:pPr>
      <w:r w:rsidRPr="008C65F9">
        <w:rPr>
          <w:rFonts w:cstheme="minorHAnsi"/>
        </w:rPr>
        <w:t>Praca w trybie nadrzędnym (leader/master) i podrzędnym (</w:t>
      </w:r>
      <w:proofErr w:type="spellStart"/>
      <w:r w:rsidRPr="008C65F9">
        <w:rPr>
          <w:rFonts w:cstheme="minorHAnsi"/>
        </w:rPr>
        <w:t>follower</w:t>
      </w:r>
      <w:proofErr w:type="spellEnd"/>
      <w:r w:rsidRPr="008C65F9">
        <w:rPr>
          <w:rFonts w:cstheme="minorHAnsi"/>
        </w:rPr>
        <w:t>/</w:t>
      </w:r>
      <w:proofErr w:type="spellStart"/>
      <w:r w:rsidRPr="008C65F9">
        <w:rPr>
          <w:rFonts w:cstheme="minorHAnsi"/>
        </w:rPr>
        <w:t>slave</w:t>
      </w:r>
      <w:proofErr w:type="spellEnd"/>
      <w:r w:rsidRPr="008C65F9">
        <w:rPr>
          <w:rFonts w:cstheme="minorHAnsi"/>
        </w:rPr>
        <w:t>); dodatkowe wejście zegara jako alternatywne źródło odniesienia względem GPS.</w:t>
      </w:r>
    </w:p>
    <w:p w14:paraId="3CA01FC6" w14:textId="3FCB6E8A" w:rsidR="008F3672" w:rsidRPr="008C65F9" w:rsidRDefault="008F3672" w:rsidP="00FA1230">
      <w:pPr>
        <w:pStyle w:val="Akapitzlist"/>
        <w:numPr>
          <w:ilvl w:val="1"/>
          <w:numId w:val="27"/>
        </w:numPr>
        <w:spacing w:after="120" w:line="276" w:lineRule="auto"/>
        <w:ind w:hanging="508"/>
        <w:jc w:val="both"/>
        <w:rPr>
          <w:rFonts w:cstheme="minorHAnsi"/>
        </w:rPr>
      </w:pPr>
      <w:r w:rsidRPr="008C65F9">
        <w:rPr>
          <w:rFonts w:cstheme="minorHAnsi"/>
        </w:rPr>
        <w:t>Wbudowany oscylator podtrzymujący (</w:t>
      </w:r>
      <w:proofErr w:type="spellStart"/>
      <w:r w:rsidRPr="008C65F9">
        <w:rPr>
          <w:rFonts w:cstheme="minorHAnsi"/>
        </w:rPr>
        <w:t>holdover</w:t>
      </w:r>
      <w:proofErr w:type="spellEnd"/>
      <w:r w:rsidRPr="008C65F9">
        <w:rPr>
          <w:rFonts w:cstheme="minorHAnsi"/>
        </w:rPr>
        <w:t>) utrzymujący zegar w przypadku zaniku sygnału GPS: co najmniej oscylator kwarcowy term</w:t>
      </w:r>
      <w:r w:rsidR="00AD4496" w:rsidRPr="008C65F9">
        <w:rPr>
          <w:rFonts w:cstheme="minorHAnsi"/>
        </w:rPr>
        <w:t xml:space="preserve">icznie </w:t>
      </w:r>
      <w:r w:rsidRPr="008C65F9">
        <w:rPr>
          <w:rFonts w:cstheme="minorHAnsi"/>
        </w:rPr>
        <w:t xml:space="preserve">kompensowany (TCXO) o dokładności nie gorszej niż 1 </w:t>
      </w:r>
      <w:proofErr w:type="spellStart"/>
      <w:r w:rsidRPr="008C65F9">
        <w:rPr>
          <w:rFonts w:cstheme="minorHAnsi"/>
        </w:rPr>
        <w:t>ppm</w:t>
      </w:r>
      <w:proofErr w:type="spellEnd"/>
      <w:r w:rsidRPr="008C65F9">
        <w:rPr>
          <w:rFonts w:cstheme="minorHAnsi"/>
        </w:rPr>
        <w:t>. Dopuszcza się oscylatory o wyższej dokładności (np. OCXO).</w:t>
      </w:r>
    </w:p>
    <w:p w14:paraId="6BBE6B68" w14:textId="253BB635" w:rsidR="00AD4496" w:rsidRPr="008C65F9" w:rsidRDefault="008F3672" w:rsidP="00FA1230">
      <w:pPr>
        <w:pStyle w:val="Akapitzlist"/>
        <w:numPr>
          <w:ilvl w:val="1"/>
          <w:numId w:val="27"/>
        </w:numPr>
        <w:spacing w:after="120" w:line="276" w:lineRule="auto"/>
        <w:ind w:hanging="508"/>
        <w:jc w:val="both"/>
        <w:rPr>
          <w:rFonts w:cstheme="minorHAnsi"/>
        </w:rPr>
      </w:pPr>
      <w:r w:rsidRPr="008C65F9">
        <w:rPr>
          <w:rFonts w:cstheme="minorHAnsi"/>
        </w:rPr>
        <w:t>Wejście referencyjne zegara</w:t>
      </w:r>
      <w:r w:rsidR="00796695" w:rsidRPr="008C65F9">
        <w:rPr>
          <w:rFonts w:cstheme="minorHAnsi"/>
        </w:rPr>
        <w:t xml:space="preserve"> typu</w:t>
      </w:r>
      <w:r w:rsidRPr="008C65F9">
        <w:rPr>
          <w:rFonts w:cstheme="minorHAnsi"/>
        </w:rPr>
        <w:t xml:space="preserve"> </w:t>
      </w:r>
      <w:r w:rsidR="00DD1875" w:rsidRPr="008C65F9">
        <w:rPr>
          <w:rFonts w:cstheme="minorHAnsi"/>
        </w:rPr>
        <w:t xml:space="preserve">Word </w:t>
      </w:r>
      <w:proofErr w:type="spellStart"/>
      <w:r w:rsidR="00DD1875" w:rsidRPr="008C65F9">
        <w:rPr>
          <w:rFonts w:cstheme="minorHAnsi"/>
        </w:rPr>
        <w:t>clock</w:t>
      </w:r>
      <w:proofErr w:type="spellEnd"/>
      <w:r w:rsidR="00DD1875" w:rsidRPr="008C65F9">
        <w:rPr>
          <w:rFonts w:cstheme="minorHAnsi"/>
        </w:rPr>
        <w:t xml:space="preserve"> 48 kHz </w:t>
      </w:r>
      <w:r w:rsidRPr="008C65F9">
        <w:rPr>
          <w:rFonts w:cstheme="minorHAnsi"/>
        </w:rPr>
        <w:t xml:space="preserve">na złączu </w:t>
      </w:r>
      <w:r w:rsidR="00DD1875" w:rsidRPr="008C65F9">
        <w:rPr>
          <w:rFonts w:cstheme="minorHAnsi"/>
        </w:rPr>
        <w:t>BNC lub innym, co wymaga dostarczenia odpowiedniego przewodu umożliwiającego podłączenie do urządzeń ze złączem BNC 75Ω</w:t>
      </w:r>
      <w:r w:rsidR="00DD1D84" w:rsidRPr="008C65F9">
        <w:rPr>
          <w:rFonts w:cstheme="minorHAnsi"/>
        </w:rPr>
        <w:t>.</w:t>
      </w:r>
    </w:p>
    <w:p w14:paraId="3AE7B6E3" w14:textId="20B1D23B" w:rsidR="008F3672" w:rsidRPr="008C65F9" w:rsidRDefault="00AD4496" w:rsidP="00FA1230">
      <w:pPr>
        <w:pStyle w:val="Akapitzlist"/>
        <w:numPr>
          <w:ilvl w:val="1"/>
          <w:numId w:val="27"/>
        </w:numPr>
        <w:spacing w:after="120" w:line="276" w:lineRule="auto"/>
        <w:ind w:hanging="508"/>
        <w:jc w:val="both"/>
        <w:rPr>
          <w:rFonts w:cstheme="minorHAnsi"/>
        </w:rPr>
      </w:pPr>
      <w:r w:rsidRPr="008C65F9">
        <w:rPr>
          <w:rFonts w:cstheme="minorHAnsi"/>
        </w:rPr>
        <w:t>W</w:t>
      </w:r>
      <w:r w:rsidR="008F3672" w:rsidRPr="008C65F9">
        <w:rPr>
          <w:rFonts w:cstheme="minorHAnsi"/>
        </w:rPr>
        <w:t>ejście anteny GPS na złączu SMA</w:t>
      </w:r>
      <w:r w:rsidR="00AA3A77" w:rsidRPr="008C65F9">
        <w:rPr>
          <w:rFonts w:cstheme="minorHAnsi"/>
        </w:rPr>
        <w:t xml:space="preserve"> lub</w:t>
      </w:r>
      <w:r w:rsidR="001C6136" w:rsidRPr="008C65F9">
        <w:rPr>
          <w:rFonts w:cstheme="minorHAnsi"/>
        </w:rPr>
        <w:t xml:space="preserve"> </w:t>
      </w:r>
      <w:r w:rsidR="00DD1D84" w:rsidRPr="008C65F9">
        <w:rPr>
          <w:rFonts w:cstheme="minorHAnsi"/>
        </w:rPr>
        <w:t>BNC lub typ N.</w:t>
      </w:r>
    </w:p>
    <w:p w14:paraId="50EAD7FC" w14:textId="30573BC2" w:rsidR="00796695" w:rsidRPr="008C65F9" w:rsidRDefault="008F3672" w:rsidP="00FA1230">
      <w:pPr>
        <w:pStyle w:val="Akapitzlist"/>
        <w:numPr>
          <w:ilvl w:val="1"/>
          <w:numId w:val="27"/>
        </w:numPr>
        <w:spacing w:after="120" w:line="276" w:lineRule="auto"/>
        <w:ind w:hanging="508"/>
        <w:jc w:val="both"/>
        <w:rPr>
          <w:rFonts w:cstheme="minorHAnsi"/>
        </w:rPr>
      </w:pPr>
      <w:r w:rsidRPr="008C65F9">
        <w:rPr>
          <w:rFonts w:cstheme="minorHAnsi"/>
        </w:rPr>
        <w:t>Interfejs sieciowy na złączu RJ45 z wbudowanym serwerem WWW do konfiguracji</w:t>
      </w:r>
      <w:r w:rsidR="00796695" w:rsidRPr="008C65F9">
        <w:rPr>
          <w:rFonts w:cstheme="minorHAnsi"/>
        </w:rPr>
        <w:t>.</w:t>
      </w:r>
    </w:p>
    <w:p w14:paraId="7098020F" w14:textId="00073A61" w:rsidR="00164F3E" w:rsidRPr="008C65F9" w:rsidRDefault="00796695" w:rsidP="00FA1230">
      <w:pPr>
        <w:pStyle w:val="Akapitzlist"/>
        <w:numPr>
          <w:ilvl w:val="1"/>
          <w:numId w:val="27"/>
        </w:numPr>
        <w:spacing w:after="120" w:line="276" w:lineRule="auto"/>
        <w:ind w:hanging="508"/>
        <w:jc w:val="both"/>
        <w:rPr>
          <w:rFonts w:cstheme="minorHAnsi"/>
        </w:rPr>
      </w:pPr>
      <w:r w:rsidRPr="008C65F9">
        <w:rPr>
          <w:rFonts w:cstheme="minorHAnsi"/>
        </w:rPr>
        <w:t>W</w:t>
      </w:r>
      <w:r w:rsidR="008F3672" w:rsidRPr="008C65F9">
        <w:rPr>
          <w:rFonts w:cstheme="minorHAnsi"/>
        </w:rPr>
        <w:t>yświetlacz</w:t>
      </w:r>
      <w:r w:rsidRPr="008C65F9">
        <w:rPr>
          <w:rFonts w:cstheme="minorHAnsi"/>
        </w:rPr>
        <w:t xml:space="preserve"> bądź wskaźniki statusu pracy urządzenia</w:t>
      </w:r>
      <w:r w:rsidR="008F3672" w:rsidRPr="008C65F9">
        <w:rPr>
          <w:rFonts w:cstheme="minorHAnsi"/>
        </w:rPr>
        <w:t xml:space="preserve"> na panelu przednim.</w:t>
      </w:r>
    </w:p>
    <w:sectPr w:rsidR="00164F3E" w:rsidRPr="008C65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5440C" w14:textId="77777777" w:rsidR="007516BF" w:rsidRDefault="007516BF" w:rsidP="00A6484E">
      <w:pPr>
        <w:spacing w:after="0" w:line="240" w:lineRule="auto"/>
      </w:pPr>
      <w:r>
        <w:separator/>
      </w:r>
    </w:p>
  </w:endnote>
  <w:endnote w:type="continuationSeparator" w:id="0">
    <w:p w14:paraId="1B060E8B" w14:textId="77777777" w:rsidR="007516BF" w:rsidRDefault="007516BF" w:rsidP="00A64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B3741" w14:textId="77777777" w:rsidR="007516BF" w:rsidRDefault="007516BF" w:rsidP="00A6484E">
      <w:pPr>
        <w:spacing w:after="0" w:line="240" w:lineRule="auto"/>
      </w:pPr>
      <w:r>
        <w:separator/>
      </w:r>
    </w:p>
  </w:footnote>
  <w:footnote w:type="continuationSeparator" w:id="0">
    <w:p w14:paraId="3715CBD6" w14:textId="77777777" w:rsidR="007516BF" w:rsidRDefault="007516BF" w:rsidP="00A648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883"/>
    <w:multiLevelType w:val="hybridMultilevel"/>
    <w:tmpl w:val="15EAF8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B82DF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B0497E"/>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29F43B6B"/>
    <w:multiLevelType w:val="hybridMultilevel"/>
    <w:tmpl w:val="5CDAB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D006DA"/>
    <w:multiLevelType w:val="hybridMultilevel"/>
    <w:tmpl w:val="6B2258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043FE4"/>
    <w:multiLevelType w:val="hybridMultilevel"/>
    <w:tmpl w:val="C270B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7C1F68"/>
    <w:multiLevelType w:val="hybridMultilevel"/>
    <w:tmpl w:val="37FC1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BF0304"/>
    <w:multiLevelType w:val="hybridMultilevel"/>
    <w:tmpl w:val="615215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2CE3B5B"/>
    <w:multiLevelType w:val="hybridMultilevel"/>
    <w:tmpl w:val="318658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79B6EA5"/>
    <w:multiLevelType w:val="hybridMultilevel"/>
    <w:tmpl w:val="AC3AB4B2"/>
    <w:lvl w:ilvl="0" w:tplc="0415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405E1679"/>
    <w:multiLevelType w:val="hybridMultilevel"/>
    <w:tmpl w:val="7C4269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16B5BFA"/>
    <w:multiLevelType w:val="hybridMultilevel"/>
    <w:tmpl w:val="223A6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3955B6F"/>
    <w:multiLevelType w:val="hybridMultilevel"/>
    <w:tmpl w:val="D25CC5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C63854"/>
    <w:multiLevelType w:val="multilevel"/>
    <w:tmpl w:val="0415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462F29E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CA42F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CC0713"/>
    <w:multiLevelType w:val="hybridMultilevel"/>
    <w:tmpl w:val="A4C483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2D11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3C2EB3"/>
    <w:multiLevelType w:val="hybridMultilevel"/>
    <w:tmpl w:val="6BA65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B59313D"/>
    <w:multiLevelType w:val="hybridMultilevel"/>
    <w:tmpl w:val="7250E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1820F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6036D3"/>
    <w:multiLevelType w:val="hybridMultilevel"/>
    <w:tmpl w:val="08202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79A0"/>
    <w:multiLevelType w:val="hybridMultilevel"/>
    <w:tmpl w:val="64243FA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CB64D16"/>
    <w:multiLevelType w:val="hybridMultilevel"/>
    <w:tmpl w:val="7C4269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F0E4E54"/>
    <w:multiLevelType w:val="hybridMultilevel"/>
    <w:tmpl w:val="7CD0BA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3320D13"/>
    <w:multiLevelType w:val="hybridMultilevel"/>
    <w:tmpl w:val="8B2CB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4094A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22053">
    <w:abstractNumId w:val="12"/>
  </w:num>
  <w:num w:numId="2" w16cid:durableId="1559047649">
    <w:abstractNumId w:val="19"/>
  </w:num>
  <w:num w:numId="3" w16cid:durableId="115373801">
    <w:abstractNumId w:val="5"/>
  </w:num>
  <w:num w:numId="4" w16cid:durableId="1221286102">
    <w:abstractNumId w:val="21"/>
  </w:num>
  <w:num w:numId="5" w16cid:durableId="1249532926">
    <w:abstractNumId w:val="18"/>
  </w:num>
  <w:num w:numId="6" w16cid:durableId="1953825449">
    <w:abstractNumId w:val="8"/>
  </w:num>
  <w:num w:numId="7" w16cid:durableId="1820222311">
    <w:abstractNumId w:val="7"/>
  </w:num>
  <w:num w:numId="8" w16cid:durableId="2100158">
    <w:abstractNumId w:val="3"/>
  </w:num>
  <w:num w:numId="9" w16cid:durableId="557129728">
    <w:abstractNumId w:val="16"/>
  </w:num>
  <w:num w:numId="10" w16cid:durableId="1233543259">
    <w:abstractNumId w:val="10"/>
  </w:num>
  <w:num w:numId="11" w16cid:durableId="1803183873">
    <w:abstractNumId w:val="24"/>
  </w:num>
  <w:num w:numId="12" w16cid:durableId="415440271">
    <w:abstractNumId w:val="6"/>
  </w:num>
  <w:num w:numId="13" w16cid:durableId="2053505226">
    <w:abstractNumId w:val="0"/>
  </w:num>
  <w:num w:numId="14" w16cid:durableId="136185940">
    <w:abstractNumId w:val="4"/>
  </w:num>
  <w:num w:numId="15" w16cid:durableId="425734057">
    <w:abstractNumId w:val="23"/>
  </w:num>
  <w:num w:numId="16" w16cid:durableId="706682731">
    <w:abstractNumId w:val="25"/>
  </w:num>
  <w:num w:numId="17" w16cid:durableId="1689021798">
    <w:abstractNumId w:val="11"/>
  </w:num>
  <w:num w:numId="18" w16cid:durableId="1882401516">
    <w:abstractNumId w:val="9"/>
  </w:num>
  <w:num w:numId="19" w16cid:durableId="1374889507">
    <w:abstractNumId w:val="17"/>
  </w:num>
  <w:num w:numId="20" w16cid:durableId="1446190853">
    <w:abstractNumId w:val="15"/>
  </w:num>
  <w:num w:numId="21" w16cid:durableId="475490284">
    <w:abstractNumId w:val="2"/>
  </w:num>
  <w:num w:numId="22" w16cid:durableId="937518676">
    <w:abstractNumId w:val="26"/>
  </w:num>
  <w:num w:numId="23" w16cid:durableId="1623028501">
    <w:abstractNumId w:val="13"/>
  </w:num>
  <w:num w:numId="24" w16cid:durableId="1595747593">
    <w:abstractNumId w:val="22"/>
  </w:num>
  <w:num w:numId="25" w16cid:durableId="525942887">
    <w:abstractNumId w:val="20"/>
  </w:num>
  <w:num w:numId="26" w16cid:durableId="658078733">
    <w:abstractNumId w:val="1"/>
  </w:num>
  <w:num w:numId="27" w16cid:durableId="14087227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72"/>
    <w:rsid w:val="00013C24"/>
    <w:rsid w:val="000316BB"/>
    <w:rsid w:val="000A7DB8"/>
    <w:rsid w:val="00131F4B"/>
    <w:rsid w:val="00137007"/>
    <w:rsid w:val="00164F3E"/>
    <w:rsid w:val="00191396"/>
    <w:rsid w:val="001C6136"/>
    <w:rsid w:val="001D1831"/>
    <w:rsid w:val="001E6019"/>
    <w:rsid w:val="0020035B"/>
    <w:rsid w:val="002041DC"/>
    <w:rsid w:val="002151F9"/>
    <w:rsid w:val="0022209E"/>
    <w:rsid w:val="00222F0E"/>
    <w:rsid w:val="00236D27"/>
    <w:rsid w:val="002D3267"/>
    <w:rsid w:val="003431D5"/>
    <w:rsid w:val="003A53AF"/>
    <w:rsid w:val="004078D8"/>
    <w:rsid w:val="00435FA4"/>
    <w:rsid w:val="004A58EC"/>
    <w:rsid w:val="004D26A7"/>
    <w:rsid w:val="005B4B41"/>
    <w:rsid w:val="005C468C"/>
    <w:rsid w:val="005F1C18"/>
    <w:rsid w:val="00603280"/>
    <w:rsid w:val="006254DF"/>
    <w:rsid w:val="00645CF9"/>
    <w:rsid w:val="00661821"/>
    <w:rsid w:val="00664EC3"/>
    <w:rsid w:val="006D0725"/>
    <w:rsid w:val="00701F66"/>
    <w:rsid w:val="007212F7"/>
    <w:rsid w:val="007516BF"/>
    <w:rsid w:val="007527E9"/>
    <w:rsid w:val="007872F1"/>
    <w:rsid w:val="00796695"/>
    <w:rsid w:val="007C057C"/>
    <w:rsid w:val="007C5E67"/>
    <w:rsid w:val="007D2139"/>
    <w:rsid w:val="007E21C5"/>
    <w:rsid w:val="007E7432"/>
    <w:rsid w:val="007F3B5B"/>
    <w:rsid w:val="00834C82"/>
    <w:rsid w:val="00844545"/>
    <w:rsid w:val="00847978"/>
    <w:rsid w:val="00854FC9"/>
    <w:rsid w:val="00895A1A"/>
    <w:rsid w:val="008C65F9"/>
    <w:rsid w:val="008C7A6C"/>
    <w:rsid w:val="008D40F9"/>
    <w:rsid w:val="008F3672"/>
    <w:rsid w:val="008F7B51"/>
    <w:rsid w:val="00972AD9"/>
    <w:rsid w:val="00981054"/>
    <w:rsid w:val="009852F2"/>
    <w:rsid w:val="00994B4D"/>
    <w:rsid w:val="00A6484E"/>
    <w:rsid w:val="00A9558F"/>
    <w:rsid w:val="00AA3A77"/>
    <w:rsid w:val="00AD4496"/>
    <w:rsid w:val="00AF695A"/>
    <w:rsid w:val="00B071A3"/>
    <w:rsid w:val="00BA3A39"/>
    <w:rsid w:val="00BA63CD"/>
    <w:rsid w:val="00BD5A6A"/>
    <w:rsid w:val="00BF0E84"/>
    <w:rsid w:val="00C843A0"/>
    <w:rsid w:val="00CA6C28"/>
    <w:rsid w:val="00D43B43"/>
    <w:rsid w:val="00DB4389"/>
    <w:rsid w:val="00DD1875"/>
    <w:rsid w:val="00DD1D84"/>
    <w:rsid w:val="00E47DB2"/>
    <w:rsid w:val="00E512F9"/>
    <w:rsid w:val="00EF5160"/>
    <w:rsid w:val="00F75B08"/>
    <w:rsid w:val="00F94F26"/>
    <w:rsid w:val="00FA1230"/>
    <w:rsid w:val="00FF72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1AAF"/>
  <w15:chartTrackingRefBased/>
  <w15:docId w15:val="{1BE9F751-99E5-4927-BBD5-37DCFEC7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F36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F36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F367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F367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F367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F36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F36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F36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F36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F367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F367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F367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F367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F367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F367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F367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F367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F3672"/>
    <w:rPr>
      <w:rFonts w:eastAsiaTheme="majorEastAsia" w:cstheme="majorBidi"/>
      <w:color w:val="272727" w:themeColor="text1" w:themeTint="D8"/>
    </w:rPr>
  </w:style>
  <w:style w:type="paragraph" w:styleId="Tytu">
    <w:name w:val="Title"/>
    <w:basedOn w:val="Normalny"/>
    <w:next w:val="Normalny"/>
    <w:link w:val="TytuZnak"/>
    <w:uiPriority w:val="10"/>
    <w:qFormat/>
    <w:rsid w:val="008F3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F367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F36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F367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F3672"/>
    <w:pPr>
      <w:spacing w:before="160"/>
      <w:jc w:val="center"/>
    </w:pPr>
    <w:rPr>
      <w:i/>
      <w:iCs/>
      <w:color w:val="404040" w:themeColor="text1" w:themeTint="BF"/>
    </w:rPr>
  </w:style>
  <w:style w:type="character" w:customStyle="1" w:styleId="CytatZnak">
    <w:name w:val="Cytat Znak"/>
    <w:basedOn w:val="Domylnaczcionkaakapitu"/>
    <w:link w:val="Cytat"/>
    <w:uiPriority w:val="29"/>
    <w:rsid w:val="008F3672"/>
    <w:rPr>
      <w:i/>
      <w:iCs/>
      <w:color w:val="404040" w:themeColor="text1" w:themeTint="BF"/>
    </w:rPr>
  </w:style>
  <w:style w:type="paragraph" w:styleId="Akapitzlist">
    <w:name w:val="List Paragraph"/>
    <w:basedOn w:val="Normalny"/>
    <w:uiPriority w:val="34"/>
    <w:qFormat/>
    <w:rsid w:val="008F3672"/>
    <w:pPr>
      <w:ind w:left="720"/>
      <w:contextualSpacing/>
    </w:pPr>
  </w:style>
  <w:style w:type="character" w:styleId="Wyrnienieintensywne">
    <w:name w:val="Intense Emphasis"/>
    <w:basedOn w:val="Domylnaczcionkaakapitu"/>
    <w:uiPriority w:val="21"/>
    <w:qFormat/>
    <w:rsid w:val="008F3672"/>
    <w:rPr>
      <w:i/>
      <w:iCs/>
      <w:color w:val="2F5496" w:themeColor="accent1" w:themeShade="BF"/>
    </w:rPr>
  </w:style>
  <w:style w:type="paragraph" w:styleId="Cytatintensywny">
    <w:name w:val="Intense Quote"/>
    <w:basedOn w:val="Normalny"/>
    <w:next w:val="Normalny"/>
    <w:link w:val="CytatintensywnyZnak"/>
    <w:uiPriority w:val="30"/>
    <w:qFormat/>
    <w:rsid w:val="008F36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F3672"/>
    <w:rPr>
      <w:i/>
      <w:iCs/>
      <w:color w:val="2F5496" w:themeColor="accent1" w:themeShade="BF"/>
    </w:rPr>
  </w:style>
  <w:style w:type="character" w:styleId="Odwoanieintensywne">
    <w:name w:val="Intense Reference"/>
    <w:basedOn w:val="Domylnaczcionkaakapitu"/>
    <w:uiPriority w:val="32"/>
    <w:qFormat/>
    <w:rsid w:val="008F3672"/>
    <w:rPr>
      <w:b/>
      <w:bCs/>
      <w:smallCaps/>
      <w:color w:val="2F5496" w:themeColor="accent1" w:themeShade="BF"/>
      <w:spacing w:val="5"/>
    </w:rPr>
  </w:style>
  <w:style w:type="paragraph" w:styleId="Tekstprzypisukocowego">
    <w:name w:val="endnote text"/>
    <w:basedOn w:val="Normalny"/>
    <w:link w:val="TekstprzypisukocowegoZnak"/>
    <w:uiPriority w:val="99"/>
    <w:semiHidden/>
    <w:unhideWhenUsed/>
    <w:rsid w:val="00A6484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6484E"/>
    <w:rPr>
      <w:sz w:val="20"/>
      <w:szCs w:val="20"/>
    </w:rPr>
  </w:style>
  <w:style w:type="character" w:styleId="Odwoanieprzypisukocowego">
    <w:name w:val="endnote reference"/>
    <w:basedOn w:val="Domylnaczcionkaakapitu"/>
    <w:uiPriority w:val="99"/>
    <w:semiHidden/>
    <w:unhideWhenUsed/>
    <w:rsid w:val="00A6484E"/>
    <w:rPr>
      <w:vertAlign w:val="superscript"/>
    </w:rPr>
  </w:style>
  <w:style w:type="table" w:styleId="Tabela-Siatka">
    <w:name w:val="Table Grid"/>
    <w:basedOn w:val="Standardowy"/>
    <w:uiPriority w:val="39"/>
    <w:rsid w:val="005F1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19EDC-70FF-4282-A5DE-E3962F4E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2981</Words>
  <Characters>17891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Fryderyk Faluszewski</dc:creator>
  <cp:keywords/>
  <dc:description/>
  <cp:lastModifiedBy>Szymon Lejawka</cp:lastModifiedBy>
  <cp:revision>2</cp:revision>
  <dcterms:created xsi:type="dcterms:W3CDTF">2026-07-29T12:13:00Z</dcterms:created>
  <dcterms:modified xsi:type="dcterms:W3CDTF">2026-07-29T12:13:00Z</dcterms:modified>
</cp:coreProperties>
</file>