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B24B" w14:textId="49D5CEEE" w:rsidR="0020637E" w:rsidRPr="00222CD7" w:rsidRDefault="0020637E" w:rsidP="0020637E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Załącznik nr </w:t>
      </w:r>
      <w:r w:rsidR="00972D7F">
        <w:rPr>
          <w:rFonts w:asciiTheme="minorHAnsi" w:hAnsiTheme="minorHAnsi"/>
          <w:b/>
          <w:sz w:val="22"/>
          <w:szCs w:val="22"/>
        </w:rPr>
        <w:t>1</w:t>
      </w:r>
    </w:p>
    <w:p w14:paraId="3CD7BA6B" w14:textId="77777777" w:rsidR="00AB01E5" w:rsidRPr="00821CED" w:rsidRDefault="00F70E64" w:rsidP="00222CD7">
      <w:pPr>
        <w:jc w:val="center"/>
        <w:rPr>
          <w:rFonts w:asciiTheme="minorHAnsi" w:hAnsiTheme="minorHAnsi"/>
          <w:b/>
          <w:caps/>
          <w:spacing w:val="24"/>
        </w:rPr>
      </w:pPr>
      <w:r w:rsidRPr="00821CED">
        <w:rPr>
          <w:rFonts w:asciiTheme="minorHAnsi" w:hAnsiTheme="minorHAnsi"/>
          <w:b/>
          <w:caps/>
          <w:spacing w:val="24"/>
        </w:rPr>
        <w:t>Opis przedmiotu zamówienia</w:t>
      </w:r>
    </w:p>
    <w:p w14:paraId="3B17662D" w14:textId="77777777" w:rsidR="00222CD7" w:rsidRPr="00821CED" w:rsidRDefault="00222CD7" w:rsidP="00222CD7">
      <w:pPr>
        <w:jc w:val="both"/>
        <w:rPr>
          <w:rFonts w:asciiTheme="minorHAnsi" w:hAnsiTheme="minorHAnsi"/>
          <w:sz w:val="22"/>
          <w:szCs w:val="22"/>
        </w:rPr>
      </w:pPr>
    </w:p>
    <w:p w14:paraId="05D8E6AD" w14:textId="0470A9ED" w:rsidR="008261C6" w:rsidRPr="00114FCC" w:rsidRDefault="00F70E64" w:rsidP="008261C6">
      <w:pPr>
        <w:jc w:val="both"/>
        <w:rPr>
          <w:rFonts w:asciiTheme="minorHAnsi" w:hAnsiTheme="minorHAnsi"/>
          <w:sz w:val="22"/>
          <w:szCs w:val="22"/>
        </w:rPr>
      </w:pPr>
      <w:r w:rsidRPr="00114FCC">
        <w:rPr>
          <w:rFonts w:asciiTheme="minorHAnsi" w:hAnsiTheme="minorHAnsi"/>
          <w:sz w:val="22"/>
          <w:szCs w:val="22"/>
        </w:rPr>
        <w:t>Przedmio</w:t>
      </w:r>
      <w:r w:rsidR="00A1760B" w:rsidRPr="00114FCC">
        <w:rPr>
          <w:rFonts w:asciiTheme="minorHAnsi" w:hAnsiTheme="minorHAnsi"/>
          <w:sz w:val="22"/>
          <w:szCs w:val="22"/>
        </w:rPr>
        <w:t xml:space="preserve">tem niniejszego zamówienia </w:t>
      </w:r>
      <w:r w:rsidR="008261C6" w:rsidRPr="00114FCC">
        <w:rPr>
          <w:rFonts w:asciiTheme="minorHAnsi" w:hAnsiTheme="minorHAnsi"/>
          <w:sz w:val="22"/>
          <w:szCs w:val="22"/>
        </w:rPr>
        <w:t xml:space="preserve">jest dostawa automatycznego czytnika termoluminescencyjnego do </w:t>
      </w:r>
      <w:r w:rsidR="00BE46EB" w:rsidRPr="00114FCC">
        <w:rPr>
          <w:rFonts w:asciiTheme="minorHAnsi" w:hAnsiTheme="minorHAnsi"/>
          <w:sz w:val="22"/>
          <w:szCs w:val="22"/>
        </w:rPr>
        <w:t>odczytu dawkomierzy termoluminescencyjnych</w:t>
      </w:r>
      <w:r w:rsidR="00F84E19">
        <w:rPr>
          <w:rFonts w:asciiTheme="minorHAnsi" w:hAnsiTheme="minorHAnsi"/>
          <w:sz w:val="22"/>
          <w:szCs w:val="22"/>
        </w:rPr>
        <w:t xml:space="preserve"> w </w:t>
      </w:r>
      <w:r w:rsidR="008261C6" w:rsidRPr="00114FCC">
        <w:rPr>
          <w:rFonts w:asciiTheme="minorHAnsi" w:hAnsiTheme="minorHAnsi"/>
          <w:sz w:val="22"/>
          <w:szCs w:val="22"/>
        </w:rPr>
        <w:t>Laboratorium Dozymetrii Indywidualnej i Środowiskowej IFJ PAN w Krakowie.</w:t>
      </w:r>
    </w:p>
    <w:p w14:paraId="0BB794E2" w14:textId="6D161B70" w:rsidR="00F70E64" w:rsidRPr="00821CED" w:rsidRDefault="00F70E64" w:rsidP="00303C88">
      <w:pPr>
        <w:spacing w:after="80"/>
        <w:jc w:val="both"/>
        <w:rPr>
          <w:rFonts w:asciiTheme="minorHAnsi" w:hAnsiTheme="minorHAnsi"/>
          <w:sz w:val="22"/>
          <w:szCs w:val="22"/>
        </w:rPr>
      </w:pPr>
    </w:p>
    <w:p w14:paraId="1CD74EFC" w14:textId="77777777" w:rsidR="00222CD7" w:rsidRPr="00821CED" w:rsidRDefault="00222CD7" w:rsidP="008261C6">
      <w:pPr>
        <w:spacing w:after="80"/>
        <w:rPr>
          <w:rFonts w:asciiTheme="minorHAnsi" w:hAnsiTheme="minorHAnsi"/>
          <w:b/>
          <w:sz w:val="22"/>
          <w:szCs w:val="22"/>
          <w:u w:val="single"/>
        </w:rPr>
      </w:pPr>
      <w:r w:rsidRPr="00821CED">
        <w:rPr>
          <w:rFonts w:asciiTheme="minorHAnsi" w:hAnsiTheme="minorHAnsi"/>
          <w:b/>
          <w:sz w:val="22"/>
          <w:szCs w:val="22"/>
          <w:u w:val="single"/>
        </w:rPr>
        <w:t>Istotne parametry techniczne przedmiotu zamówienia:</w:t>
      </w:r>
    </w:p>
    <w:p w14:paraId="0AFDEBD2" w14:textId="0BA80546" w:rsidR="00222CD7" w:rsidRDefault="00222CD7" w:rsidP="00303C88">
      <w:pPr>
        <w:pStyle w:val="Default"/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21CED">
        <w:rPr>
          <w:rFonts w:asciiTheme="minorHAnsi" w:hAnsiTheme="minorHAnsi"/>
          <w:color w:val="auto"/>
          <w:sz w:val="22"/>
          <w:szCs w:val="22"/>
        </w:rPr>
        <w:t xml:space="preserve">Laboratorium Dozymetrii Indywidualnej i Środowiskowej IFJ PAN świadczy usługi pomiarów dawek dla osób pracujących w narażeniu na promieniowanie jonizujące. </w:t>
      </w:r>
      <w:r w:rsidR="008261C6">
        <w:rPr>
          <w:rFonts w:asciiTheme="minorHAnsi" w:hAnsiTheme="minorHAnsi"/>
          <w:color w:val="auto"/>
          <w:sz w:val="22"/>
          <w:szCs w:val="22"/>
        </w:rPr>
        <w:t>Główną m</w:t>
      </w:r>
      <w:r w:rsidRPr="00821CED">
        <w:rPr>
          <w:rFonts w:asciiTheme="minorHAnsi" w:hAnsiTheme="minorHAnsi"/>
          <w:color w:val="auto"/>
          <w:sz w:val="22"/>
          <w:szCs w:val="22"/>
        </w:rPr>
        <w:t>etodą pomiarową jest metoda termoluminescencyjna.</w:t>
      </w:r>
      <w:r w:rsidR="00A9180F">
        <w:rPr>
          <w:rFonts w:asciiTheme="minorHAnsi" w:hAnsiTheme="minorHAnsi"/>
          <w:color w:val="auto"/>
          <w:sz w:val="22"/>
          <w:szCs w:val="22"/>
        </w:rPr>
        <w:t xml:space="preserve"> Do pomiaru dawek stosuje się dawkomierze termoluminescencyjne z</w:t>
      </w:r>
      <w:r w:rsidR="00612C18">
        <w:rPr>
          <w:rFonts w:asciiTheme="minorHAnsi" w:hAnsiTheme="minorHAnsi"/>
          <w:color w:val="auto"/>
          <w:sz w:val="22"/>
          <w:szCs w:val="22"/>
        </w:rPr>
        <w:t> </w:t>
      </w:r>
      <w:r w:rsidR="00A9180F" w:rsidRPr="00A9180F">
        <w:rPr>
          <w:rFonts w:asciiTheme="minorHAnsi" w:hAnsiTheme="minorHAnsi"/>
          <w:color w:val="auto"/>
          <w:sz w:val="22"/>
          <w:szCs w:val="22"/>
        </w:rPr>
        <w:t>detektor</w:t>
      </w:r>
      <w:r w:rsidR="00A9180F">
        <w:rPr>
          <w:rFonts w:asciiTheme="minorHAnsi" w:hAnsiTheme="minorHAnsi"/>
          <w:color w:val="auto"/>
          <w:sz w:val="22"/>
          <w:szCs w:val="22"/>
        </w:rPr>
        <w:t>ami</w:t>
      </w:r>
      <w:r w:rsidR="00A9180F" w:rsidRPr="00A9180F">
        <w:rPr>
          <w:rFonts w:asciiTheme="minorHAnsi" w:hAnsiTheme="minorHAnsi"/>
          <w:color w:val="auto"/>
          <w:sz w:val="22"/>
          <w:szCs w:val="22"/>
        </w:rPr>
        <w:t xml:space="preserve"> termoluminescencyjn</w:t>
      </w:r>
      <w:r w:rsidR="00810B1C">
        <w:rPr>
          <w:rFonts w:asciiTheme="minorHAnsi" w:hAnsiTheme="minorHAnsi"/>
          <w:color w:val="auto"/>
          <w:sz w:val="22"/>
          <w:szCs w:val="22"/>
        </w:rPr>
        <w:t>ymi</w:t>
      </w:r>
      <w:r w:rsidR="00A9180F" w:rsidRPr="00A9180F">
        <w:rPr>
          <w:rFonts w:asciiTheme="minorHAnsi" w:hAnsiTheme="minorHAnsi"/>
          <w:color w:val="auto"/>
          <w:sz w:val="22"/>
          <w:szCs w:val="22"/>
        </w:rPr>
        <w:t xml:space="preserve"> (TL) typu MTS-N (</w:t>
      </w:r>
      <w:proofErr w:type="spellStart"/>
      <w:r w:rsidR="00A9180F" w:rsidRPr="00A9180F">
        <w:rPr>
          <w:rFonts w:asciiTheme="minorHAnsi" w:hAnsiTheme="minorHAnsi"/>
          <w:color w:val="auto"/>
          <w:sz w:val="22"/>
          <w:szCs w:val="22"/>
        </w:rPr>
        <w:t>LiF:Mg,Ti</w:t>
      </w:r>
      <w:proofErr w:type="spellEnd"/>
      <w:r w:rsidR="00A9180F" w:rsidRPr="00A9180F">
        <w:rPr>
          <w:rFonts w:asciiTheme="minorHAnsi" w:hAnsiTheme="minorHAnsi"/>
          <w:color w:val="auto"/>
          <w:sz w:val="22"/>
          <w:szCs w:val="22"/>
        </w:rPr>
        <w:t>) lub MCP-N (</w:t>
      </w:r>
      <w:proofErr w:type="spellStart"/>
      <w:r w:rsidR="00A9180F" w:rsidRPr="00A9180F">
        <w:rPr>
          <w:rFonts w:asciiTheme="minorHAnsi" w:hAnsiTheme="minorHAnsi"/>
          <w:color w:val="auto"/>
          <w:sz w:val="22"/>
          <w:szCs w:val="22"/>
        </w:rPr>
        <w:t>LiF:Mg,Cu,P</w:t>
      </w:r>
      <w:proofErr w:type="spellEnd"/>
      <w:r w:rsidR="00A9180F" w:rsidRPr="00A9180F">
        <w:rPr>
          <w:rFonts w:asciiTheme="minorHAnsi" w:hAnsiTheme="minorHAnsi"/>
          <w:color w:val="auto"/>
          <w:sz w:val="22"/>
          <w:szCs w:val="22"/>
        </w:rPr>
        <w:t xml:space="preserve">)  </w:t>
      </w:r>
      <w:r w:rsidR="00810B1C">
        <w:rPr>
          <w:rFonts w:asciiTheme="minorHAnsi" w:hAnsiTheme="minorHAnsi"/>
          <w:color w:val="auto"/>
          <w:sz w:val="22"/>
          <w:szCs w:val="22"/>
        </w:rPr>
        <w:br/>
      </w:r>
      <w:r w:rsidR="00A9180F" w:rsidRPr="00A9180F">
        <w:rPr>
          <w:rFonts w:asciiTheme="minorHAnsi" w:hAnsiTheme="minorHAnsi"/>
          <w:color w:val="auto"/>
          <w:sz w:val="22"/>
          <w:szCs w:val="22"/>
        </w:rPr>
        <w:t>o średnicy 4,5 mm oraz grubości 0,9 mm</w:t>
      </w:r>
      <w:r w:rsidR="0025325F">
        <w:rPr>
          <w:rFonts w:asciiTheme="minorHAnsi" w:hAnsiTheme="minorHAnsi"/>
          <w:color w:val="auto"/>
          <w:sz w:val="22"/>
          <w:szCs w:val="22"/>
        </w:rPr>
        <w:t xml:space="preserve"> lub 0,7 mm</w:t>
      </w:r>
      <w:r w:rsidR="000A7E99">
        <w:rPr>
          <w:rFonts w:asciiTheme="minorHAnsi" w:hAnsiTheme="minorHAnsi"/>
          <w:color w:val="auto"/>
          <w:sz w:val="22"/>
          <w:szCs w:val="22"/>
        </w:rPr>
        <w:t>. Dawkomierze odczytywane są w automatycznym czy</w:t>
      </w:r>
      <w:r w:rsidR="00810B1C">
        <w:rPr>
          <w:rFonts w:asciiTheme="minorHAnsi" w:hAnsiTheme="minorHAnsi"/>
          <w:color w:val="auto"/>
          <w:sz w:val="22"/>
          <w:szCs w:val="22"/>
        </w:rPr>
        <w:t>t</w:t>
      </w:r>
      <w:r w:rsidR="000A7E99">
        <w:rPr>
          <w:rFonts w:asciiTheme="minorHAnsi" w:hAnsiTheme="minorHAnsi"/>
          <w:color w:val="auto"/>
          <w:sz w:val="22"/>
          <w:szCs w:val="22"/>
        </w:rPr>
        <w:t>niku termoluminescencyjnym</w:t>
      </w:r>
      <w:r w:rsidRPr="00821CE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12C18">
        <w:rPr>
          <w:rFonts w:asciiTheme="minorHAnsi" w:hAnsiTheme="minorHAnsi"/>
          <w:color w:val="auto"/>
          <w:sz w:val="22"/>
          <w:szCs w:val="22"/>
        </w:rPr>
        <w:t xml:space="preserve">typu </w:t>
      </w:r>
      <w:r w:rsidR="00612C18">
        <w:rPr>
          <w:rFonts w:asciiTheme="minorHAnsi" w:hAnsiTheme="minorHAnsi" w:cstheme="minorHAnsi"/>
          <w:sz w:val="22"/>
          <w:szCs w:val="22"/>
        </w:rPr>
        <w:t>RADOS RE-2000</w:t>
      </w:r>
      <w:r w:rsidRPr="00821CED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4A4C9BB3" w14:textId="53AED80D" w:rsidR="00B1756A" w:rsidRPr="00821CED" w:rsidRDefault="00B1756A" w:rsidP="00B1756A">
      <w:pPr>
        <w:pStyle w:val="Default"/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21CED">
        <w:rPr>
          <w:rFonts w:asciiTheme="minorHAnsi" w:hAnsiTheme="minorHAnsi"/>
          <w:color w:val="auto"/>
          <w:sz w:val="22"/>
          <w:szCs w:val="22"/>
        </w:rPr>
        <w:t>Przedmiot zamówienia dotyczy</w:t>
      </w:r>
      <w:r w:rsidR="008261C6">
        <w:rPr>
          <w:rFonts w:asciiTheme="minorHAnsi" w:hAnsiTheme="minorHAnsi"/>
          <w:color w:val="auto"/>
          <w:sz w:val="22"/>
          <w:szCs w:val="22"/>
        </w:rPr>
        <w:t xml:space="preserve"> zakupu nowego czy</w:t>
      </w:r>
      <w:r w:rsidR="00810B1C">
        <w:rPr>
          <w:rFonts w:asciiTheme="minorHAnsi" w:hAnsiTheme="minorHAnsi"/>
          <w:color w:val="auto"/>
          <w:sz w:val="22"/>
          <w:szCs w:val="22"/>
        </w:rPr>
        <w:t>t</w:t>
      </w:r>
      <w:r w:rsidR="008261C6">
        <w:rPr>
          <w:rFonts w:asciiTheme="minorHAnsi" w:hAnsiTheme="minorHAnsi"/>
          <w:color w:val="auto"/>
          <w:sz w:val="22"/>
          <w:szCs w:val="22"/>
        </w:rPr>
        <w:t>nika termoluminescencyjnego do odczytu</w:t>
      </w:r>
      <w:r w:rsidRPr="00821CED">
        <w:rPr>
          <w:rFonts w:asciiTheme="minorHAnsi" w:hAnsiTheme="minorHAnsi"/>
          <w:color w:val="auto"/>
          <w:sz w:val="22"/>
          <w:szCs w:val="22"/>
        </w:rPr>
        <w:t xml:space="preserve"> kaset dozymetrycznych</w:t>
      </w:r>
      <w:r w:rsidR="008261C6">
        <w:rPr>
          <w:rFonts w:asciiTheme="minorHAnsi" w:hAnsiTheme="minorHAnsi"/>
          <w:color w:val="auto"/>
          <w:sz w:val="22"/>
          <w:szCs w:val="22"/>
        </w:rPr>
        <w:t xml:space="preserve"> i oszacowania </w:t>
      </w:r>
      <w:r w:rsidRPr="00821CED">
        <w:rPr>
          <w:rFonts w:asciiTheme="minorHAnsi" w:hAnsiTheme="minorHAnsi"/>
          <w:color w:val="auto"/>
          <w:sz w:val="22"/>
          <w:szCs w:val="22"/>
        </w:rPr>
        <w:t xml:space="preserve">dawek promieniowania jonizującego. </w:t>
      </w:r>
    </w:p>
    <w:p w14:paraId="23EE1162" w14:textId="7F1DB4DD" w:rsidR="00F84E19" w:rsidRDefault="00BE46EB" w:rsidP="00303C88">
      <w:pPr>
        <w:pStyle w:val="Default"/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Wymagania</w:t>
      </w:r>
      <w:r w:rsidR="001B6123">
        <w:rPr>
          <w:rFonts w:asciiTheme="minorHAnsi" w:hAnsiTheme="minorHAnsi"/>
          <w:color w:val="auto"/>
          <w:sz w:val="22"/>
          <w:szCs w:val="22"/>
        </w:rPr>
        <w:t xml:space="preserve"> dotyczące zamawianego czytnika termoluminescencyjnego</w:t>
      </w:r>
      <w:r w:rsidR="00222CD7" w:rsidRPr="00821CED">
        <w:rPr>
          <w:rFonts w:asciiTheme="minorHAnsi" w:hAnsiTheme="minorHAnsi"/>
          <w:color w:val="auto"/>
          <w:sz w:val="22"/>
          <w:szCs w:val="22"/>
        </w:rPr>
        <w:t>:</w:t>
      </w:r>
    </w:p>
    <w:p w14:paraId="5B6288F7" w14:textId="21E8AE6D" w:rsidR="00F84E19" w:rsidRDefault="00F84E19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F07904">
        <w:rPr>
          <w:rFonts w:asciiTheme="minorHAnsi" w:hAnsiTheme="minorHAnsi" w:cstheme="minorHAnsi"/>
          <w:sz w:val="22"/>
          <w:szCs w:val="22"/>
        </w:rPr>
        <w:t>kompatybilność</w:t>
      </w:r>
      <w:r>
        <w:rPr>
          <w:rFonts w:asciiTheme="minorHAnsi" w:hAnsiTheme="minorHAnsi" w:cstheme="minorHAnsi"/>
          <w:sz w:val="22"/>
          <w:szCs w:val="22"/>
        </w:rPr>
        <w:t xml:space="preserve"> z dawkomierzami termoluminescencyjnymi stosowanymi w </w:t>
      </w:r>
      <w:r w:rsidRPr="00114FCC">
        <w:rPr>
          <w:rFonts w:asciiTheme="minorHAnsi" w:hAnsiTheme="minorHAnsi"/>
          <w:sz w:val="22"/>
          <w:szCs w:val="22"/>
        </w:rPr>
        <w:t>Laboratorium Dozymetrii Indywidualnej i Środowiskowej IFJ PAN</w:t>
      </w:r>
      <w:r>
        <w:rPr>
          <w:rFonts w:asciiTheme="minorHAnsi" w:hAnsiTheme="minorHAnsi"/>
          <w:sz w:val="22"/>
          <w:szCs w:val="22"/>
        </w:rPr>
        <w:t xml:space="preserve"> do pomiaru dawek;</w:t>
      </w:r>
    </w:p>
    <w:p w14:paraId="306A1889" w14:textId="31B08171" w:rsidR="000C31D7" w:rsidRDefault="000C31D7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łap</w:t>
      </w:r>
      <w:r w:rsidR="00A9180F">
        <w:rPr>
          <w:rFonts w:asciiTheme="minorHAnsi" w:hAnsiTheme="minorHAnsi"/>
          <w:color w:val="auto"/>
          <w:sz w:val="22"/>
          <w:szCs w:val="22"/>
        </w:rPr>
        <w:t>a</w:t>
      </w:r>
      <w:r>
        <w:rPr>
          <w:rFonts w:asciiTheme="minorHAnsi" w:hAnsiTheme="minorHAnsi"/>
          <w:color w:val="auto"/>
          <w:sz w:val="22"/>
          <w:szCs w:val="22"/>
        </w:rPr>
        <w:t xml:space="preserve"> podawcz</w:t>
      </w:r>
      <w:r w:rsidR="00A9180F">
        <w:rPr>
          <w:rFonts w:asciiTheme="minorHAnsi" w:hAnsiTheme="minorHAnsi"/>
          <w:color w:val="auto"/>
          <w:sz w:val="22"/>
          <w:szCs w:val="22"/>
        </w:rPr>
        <w:t>a</w:t>
      </w:r>
      <w:r>
        <w:rPr>
          <w:rFonts w:asciiTheme="minorHAnsi" w:hAnsiTheme="minorHAnsi"/>
          <w:color w:val="auto"/>
          <w:sz w:val="22"/>
          <w:szCs w:val="22"/>
        </w:rPr>
        <w:t xml:space="preserve"> umożliwiającą „załadowanie” 200 </w:t>
      </w:r>
      <w:r w:rsidR="00810B1C">
        <w:rPr>
          <w:rFonts w:asciiTheme="minorHAnsi" w:hAnsiTheme="minorHAnsi"/>
          <w:color w:val="auto"/>
          <w:sz w:val="22"/>
          <w:szCs w:val="22"/>
        </w:rPr>
        <w:t>dawkomierzy</w:t>
      </w:r>
      <w:r>
        <w:rPr>
          <w:rFonts w:asciiTheme="minorHAnsi" w:hAnsiTheme="minorHAnsi"/>
          <w:color w:val="auto"/>
          <w:sz w:val="22"/>
          <w:szCs w:val="22"/>
        </w:rPr>
        <w:t xml:space="preserve"> w tym samym czasie i ich automatyczny odczyt;</w:t>
      </w:r>
    </w:p>
    <w:p w14:paraId="6A8567BB" w14:textId="1BA7BBDA" w:rsidR="00A9180F" w:rsidRDefault="00A9180F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możliwość odczytu 200 detektorów TL w ciągu godziny</w:t>
      </w:r>
      <w:r w:rsidR="006B7A21">
        <w:rPr>
          <w:rFonts w:asciiTheme="minorHAnsi" w:hAnsiTheme="minorHAnsi"/>
          <w:color w:val="auto"/>
          <w:sz w:val="22"/>
          <w:szCs w:val="22"/>
        </w:rPr>
        <w:t xml:space="preserve"> (min. 50 dawkomierzy z 4 detektorami)</w:t>
      </w:r>
      <w:r>
        <w:rPr>
          <w:rFonts w:asciiTheme="minorHAnsi" w:hAnsiTheme="minorHAnsi"/>
          <w:color w:val="auto"/>
          <w:sz w:val="22"/>
          <w:szCs w:val="22"/>
        </w:rPr>
        <w:t>;</w:t>
      </w:r>
    </w:p>
    <w:p w14:paraId="09F763FC" w14:textId="77777777" w:rsidR="00FC2390" w:rsidRPr="000A7E99" w:rsidRDefault="00FC2390" w:rsidP="00FC2390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>automatycznie identyfikowane odczyty za pomocą kodu binarnego i paskowego;</w:t>
      </w:r>
    </w:p>
    <w:p w14:paraId="5B5293A7" w14:textId="3D0C043E" w:rsidR="00FC2390" w:rsidRPr="00FC2390" w:rsidRDefault="00FC2390" w:rsidP="00FC2390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 xml:space="preserve">automatyczny zapis liczby </w:t>
      </w:r>
      <w:proofErr w:type="spellStart"/>
      <w:r w:rsidRPr="00810B1C">
        <w:rPr>
          <w:rFonts w:asciiTheme="minorHAnsi" w:hAnsiTheme="minorHAnsi"/>
          <w:color w:val="auto"/>
          <w:sz w:val="22"/>
          <w:szCs w:val="22"/>
        </w:rPr>
        <w:t>zliczeń</w:t>
      </w:r>
      <w:proofErr w:type="spellEnd"/>
      <w:r w:rsidRPr="00810B1C">
        <w:rPr>
          <w:rFonts w:asciiTheme="minorHAnsi" w:hAnsiTheme="minorHAnsi"/>
          <w:color w:val="auto"/>
          <w:sz w:val="22"/>
          <w:szCs w:val="22"/>
        </w:rPr>
        <w:t xml:space="preserve"> oraz krzywej dla każdego odczytywanego detektora;</w:t>
      </w:r>
    </w:p>
    <w:p w14:paraId="720731A0" w14:textId="12A28610" w:rsidR="000C31D7" w:rsidRDefault="000C31D7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chłodz</w:t>
      </w:r>
      <w:r w:rsidR="006B7A21">
        <w:rPr>
          <w:rFonts w:asciiTheme="minorHAnsi" w:hAnsiTheme="minorHAnsi"/>
          <w:color w:val="auto"/>
          <w:sz w:val="22"/>
          <w:szCs w:val="22"/>
        </w:rPr>
        <w:t>enie</w:t>
      </w:r>
      <w:r>
        <w:rPr>
          <w:rFonts w:asciiTheme="minorHAnsi" w:hAnsiTheme="minorHAnsi"/>
          <w:color w:val="auto"/>
          <w:sz w:val="22"/>
          <w:szCs w:val="22"/>
        </w:rPr>
        <w:t xml:space="preserve"> fotopowielacz</w:t>
      </w:r>
      <w:r w:rsidR="006B7A21">
        <w:rPr>
          <w:rFonts w:asciiTheme="minorHAnsi" w:hAnsiTheme="minorHAnsi"/>
          <w:color w:val="auto"/>
          <w:sz w:val="22"/>
          <w:szCs w:val="22"/>
        </w:rPr>
        <w:t>a w celu maksymalnej stabilizacji odczytów</w:t>
      </w:r>
      <w:r>
        <w:rPr>
          <w:rFonts w:asciiTheme="minorHAnsi" w:hAnsiTheme="minorHAnsi"/>
          <w:color w:val="auto"/>
          <w:sz w:val="22"/>
          <w:szCs w:val="22"/>
        </w:rPr>
        <w:t>;</w:t>
      </w:r>
    </w:p>
    <w:p w14:paraId="5AADD0CB" w14:textId="6FA192D7" w:rsidR="008C38C7" w:rsidRPr="006B7A21" w:rsidRDefault="00FC2390" w:rsidP="00B639F8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specjalistyczne </w:t>
      </w:r>
      <w:r w:rsidR="008C38C7" w:rsidRPr="006B7A21">
        <w:rPr>
          <w:rFonts w:asciiTheme="minorHAnsi" w:hAnsiTheme="minorHAnsi"/>
          <w:color w:val="auto"/>
          <w:sz w:val="22"/>
          <w:szCs w:val="22"/>
        </w:rPr>
        <w:t>oprogramowanie</w:t>
      </w:r>
      <w:r>
        <w:rPr>
          <w:rFonts w:asciiTheme="minorHAnsi" w:hAnsiTheme="minorHAnsi"/>
          <w:color w:val="auto"/>
          <w:sz w:val="22"/>
          <w:szCs w:val="22"/>
        </w:rPr>
        <w:t>,</w:t>
      </w:r>
      <w:r w:rsidR="008C38C7" w:rsidRPr="006B7A21">
        <w:rPr>
          <w:rFonts w:asciiTheme="minorHAnsi" w:hAnsiTheme="minorHAnsi"/>
          <w:color w:val="auto"/>
          <w:sz w:val="22"/>
          <w:szCs w:val="22"/>
        </w:rPr>
        <w:t xml:space="preserve"> min. </w:t>
      </w:r>
      <w:proofErr w:type="spellStart"/>
      <w:r w:rsidR="008C38C7" w:rsidRPr="006B7A21">
        <w:rPr>
          <w:rFonts w:asciiTheme="minorHAnsi" w:hAnsiTheme="minorHAnsi"/>
          <w:color w:val="auto"/>
          <w:sz w:val="22"/>
          <w:szCs w:val="22"/>
        </w:rPr>
        <w:t>WinTLD</w:t>
      </w:r>
      <w:proofErr w:type="spellEnd"/>
      <w:r w:rsidR="008C38C7" w:rsidRPr="006B7A21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8C38C7" w:rsidRPr="006B7A21">
        <w:rPr>
          <w:rFonts w:asciiTheme="minorHAnsi" w:hAnsiTheme="minorHAnsi"/>
          <w:color w:val="auto"/>
          <w:sz w:val="22"/>
          <w:szCs w:val="22"/>
        </w:rPr>
        <w:t>Light</w:t>
      </w:r>
      <w:proofErr w:type="spellEnd"/>
      <w:r w:rsidR="008C38C7" w:rsidRPr="006B7A21">
        <w:rPr>
          <w:rFonts w:asciiTheme="minorHAnsi" w:hAnsiTheme="minorHAnsi"/>
          <w:color w:val="auto"/>
          <w:sz w:val="22"/>
          <w:szCs w:val="22"/>
        </w:rPr>
        <w:t xml:space="preserve"> Software</w:t>
      </w:r>
      <w:r w:rsidR="006B7A21" w:rsidRPr="006B7A21">
        <w:rPr>
          <w:rFonts w:asciiTheme="minorHAnsi" w:hAnsiTheme="minorHAnsi"/>
          <w:color w:val="auto"/>
          <w:sz w:val="22"/>
          <w:szCs w:val="22"/>
        </w:rPr>
        <w:t xml:space="preserve"> umożliwiające </w:t>
      </w:r>
      <w:r w:rsidR="008276A3" w:rsidRPr="006B7A21">
        <w:rPr>
          <w:rFonts w:asciiTheme="minorHAnsi" w:hAnsiTheme="minorHAnsi"/>
          <w:color w:val="auto"/>
          <w:sz w:val="22"/>
          <w:szCs w:val="22"/>
        </w:rPr>
        <w:t>programowan</w:t>
      </w:r>
      <w:r w:rsidR="006B7A21">
        <w:rPr>
          <w:rFonts w:asciiTheme="minorHAnsi" w:hAnsiTheme="minorHAnsi"/>
          <w:color w:val="auto"/>
          <w:sz w:val="22"/>
          <w:szCs w:val="22"/>
        </w:rPr>
        <w:t>i</w:t>
      </w:r>
      <w:r w:rsidR="008276A3" w:rsidRPr="006B7A21">
        <w:rPr>
          <w:rFonts w:asciiTheme="minorHAnsi" w:hAnsiTheme="minorHAnsi"/>
          <w:color w:val="auto"/>
          <w:sz w:val="22"/>
          <w:szCs w:val="22"/>
        </w:rPr>
        <w:t>e tryb</w:t>
      </w:r>
      <w:r w:rsidR="006B7A21">
        <w:rPr>
          <w:rFonts w:asciiTheme="minorHAnsi" w:hAnsiTheme="minorHAnsi"/>
          <w:color w:val="auto"/>
          <w:sz w:val="22"/>
          <w:szCs w:val="22"/>
        </w:rPr>
        <w:t>ów</w:t>
      </w:r>
      <w:r w:rsidR="008276A3" w:rsidRPr="006B7A21">
        <w:rPr>
          <w:rFonts w:asciiTheme="minorHAnsi" w:hAnsiTheme="minorHAnsi"/>
          <w:color w:val="auto"/>
          <w:sz w:val="22"/>
          <w:szCs w:val="22"/>
        </w:rPr>
        <w:t xml:space="preserve"> odczyt</w:t>
      </w:r>
      <w:r w:rsidR="006B7A21">
        <w:rPr>
          <w:rFonts w:asciiTheme="minorHAnsi" w:hAnsiTheme="minorHAnsi"/>
          <w:color w:val="auto"/>
          <w:sz w:val="22"/>
          <w:szCs w:val="22"/>
        </w:rPr>
        <w:t>ów</w:t>
      </w:r>
      <w:r w:rsidR="008276A3" w:rsidRPr="006B7A21">
        <w:rPr>
          <w:rFonts w:asciiTheme="minorHAnsi" w:hAnsiTheme="minorHAnsi"/>
          <w:color w:val="auto"/>
          <w:sz w:val="22"/>
          <w:szCs w:val="22"/>
        </w:rPr>
        <w:t xml:space="preserve"> (w tym </w:t>
      </w:r>
      <w:proofErr w:type="spellStart"/>
      <w:r w:rsidR="008276A3" w:rsidRPr="006B7A21">
        <w:rPr>
          <w:rFonts w:asciiTheme="minorHAnsi" w:hAnsiTheme="minorHAnsi"/>
          <w:color w:val="auto"/>
          <w:sz w:val="22"/>
          <w:szCs w:val="22"/>
        </w:rPr>
        <w:t>pre-heat</w:t>
      </w:r>
      <w:proofErr w:type="spellEnd"/>
      <w:r w:rsidR="008276A3" w:rsidRPr="006B7A21">
        <w:rPr>
          <w:rFonts w:asciiTheme="minorHAnsi" w:hAnsiTheme="minorHAnsi"/>
          <w:color w:val="auto"/>
          <w:sz w:val="22"/>
          <w:szCs w:val="22"/>
        </w:rPr>
        <w:t>, odczyt oraz post-</w:t>
      </w:r>
      <w:proofErr w:type="spellStart"/>
      <w:r w:rsidR="008276A3" w:rsidRPr="006B7A21">
        <w:rPr>
          <w:rFonts w:asciiTheme="minorHAnsi" w:hAnsiTheme="minorHAnsi"/>
          <w:color w:val="auto"/>
          <w:sz w:val="22"/>
          <w:szCs w:val="22"/>
        </w:rPr>
        <w:t>heat</w:t>
      </w:r>
      <w:proofErr w:type="spellEnd"/>
      <w:r w:rsidR="008276A3" w:rsidRPr="006B7A21">
        <w:rPr>
          <w:rFonts w:asciiTheme="minorHAnsi" w:hAnsiTheme="minorHAnsi"/>
          <w:color w:val="auto"/>
          <w:sz w:val="22"/>
          <w:szCs w:val="22"/>
        </w:rPr>
        <w:t>);</w:t>
      </w:r>
    </w:p>
    <w:p w14:paraId="062D932B" w14:textId="2335CE3E" w:rsidR="008276A3" w:rsidRPr="00C82387" w:rsidRDefault="00C82387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>możliwość u</w:t>
      </w:r>
      <w:r w:rsidR="006B7A21" w:rsidRPr="00810B1C">
        <w:rPr>
          <w:rFonts w:asciiTheme="minorHAnsi" w:hAnsiTheme="minorHAnsi"/>
          <w:color w:val="auto"/>
          <w:sz w:val="22"/>
          <w:szCs w:val="22"/>
        </w:rPr>
        <w:t>stawienie alarmu umożliwiającego diagnostykę wszystkich krytycznych parametrów pomiaru, takich jak: temperatura fotopowielacza oraz przekroczenie zadanej wartości prądu ciemnego;</w:t>
      </w:r>
    </w:p>
    <w:p w14:paraId="5C3E0866" w14:textId="473D94C5" w:rsidR="00C82387" w:rsidRPr="00C82387" w:rsidRDefault="00FC2390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 xml:space="preserve">azot jako </w:t>
      </w:r>
      <w:r w:rsidR="00C82387" w:rsidRPr="00810B1C">
        <w:rPr>
          <w:rFonts w:asciiTheme="minorHAnsi" w:hAnsiTheme="minorHAnsi"/>
          <w:color w:val="auto"/>
          <w:sz w:val="22"/>
          <w:szCs w:val="22"/>
        </w:rPr>
        <w:t>stosowany gaz grzewczy;</w:t>
      </w:r>
    </w:p>
    <w:p w14:paraId="11BDE977" w14:textId="174CBE22" w:rsidR="00C82387" w:rsidRPr="00C82387" w:rsidRDefault="00C82387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>okablowanie, rurka do podłączenia azotu oraz inne elementy umożliwiające jego pełne funkcjonowanie;</w:t>
      </w:r>
    </w:p>
    <w:p w14:paraId="4EA211C4" w14:textId="4AAD2ECC" w:rsidR="00C82387" w:rsidRPr="00C82387" w:rsidRDefault="00C82387" w:rsidP="000C31D7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>instrukcja obsługi (dopuszczalna w j</w:t>
      </w:r>
      <w:r w:rsidR="00882580" w:rsidRPr="00810B1C">
        <w:rPr>
          <w:rFonts w:asciiTheme="minorHAnsi" w:hAnsiTheme="minorHAnsi"/>
          <w:color w:val="auto"/>
          <w:sz w:val="22"/>
          <w:szCs w:val="22"/>
        </w:rPr>
        <w:t>ęzyku</w:t>
      </w:r>
      <w:r w:rsidRPr="00810B1C">
        <w:rPr>
          <w:rFonts w:asciiTheme="minorHAnsi" w:hAnsiTheme="minorHAnsi"/>
          <w:color w:val="auto"/>
          <w:sz w:val="22"/>
          <w:szCs w:val="22"/>
        </w:rPr>
        <w:t xml:space="preserve"> angielskim);</w:t>
      </w:r>
    </w:p>
    <w:p w14:paraId="514EE434" w14:textId="77777777" w:rsidR="00F84E19" w:rsidRDefault="00C82387" w:rsidP="00F84E19">
      <w:pPr>
        <w:pStyle w:val="Default"/>
        <w:numPr>
          <w:ilvl w:val="0"/>
          <w:numId w:val="8"/>
        </w:numPr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810B1C">
        <w:rPr>
          <w:rFonts w:asciiTheme="minorHAnsi" w:hAnsiTheme="minorHAnsi"/>
          <w:color w:val="auto"/>
          <w:sz w:val="22"/>
          <w:szCs w:val="22"/>
        </w:rPr>
        <w:t>min. 12 miesięczna gwarancja.</w:t>
      </w:r>
    </w:p>
    <w:p w14:paraId="42DA351D" w14:textId="5738B3DE" w:rsidR="00F84E19" w:rsidRPr="00F84E19" w:rsidRDefault="00F84E19" w:rsidP="00F84E19">
      <w:pPr>
        <w:pStyle w:val="Default"/>
        <w:spacing w:after="80"/>
        <w:jc w:val="both"/>
        <w:rPr>
          <w:rFonts w:asciiTheme="minorHAnsi" w:hAnsiTheme="minorHAnsi"/>
          <w:color w:val="auto"/>
          <w:sz w:val="22"/>
          <w:szCs w:val="22"/>
        </w:rPr>
      </w:pPr>
      <w:r w:rsidRPr="00F84E19">
        <w:rPr>
          <w:rFonts w:asciiTheme="minorHAnsi" w:hAnsiTheme="minorHAnsi"/>
          <w:color w:val="auto"/>
          <w:sz w:val="22"/>
          <w:szCs w:val="22"/>
        </w:rPr>
        <w:t xml:space="preserve">Powyższe wymagania spełnia </w:t>
      </w:r>
      <w:r>
        <w:rPr>
          <w:rFonts w:asciiTheme="minorHAnsi" w:hAnsiTheme="minorHAnsi"/>
          <w:color w:val="auto"/>
          <w:sz w:val="22"/>
          <w:szCs w:val="22"/>
        </w:rPr>
        <w:t>automatyczny czytnik termoluminescen</w:t>
      </w:r>
      <w:r w:rsidR="00443CDA">
        <w:rPr>
          <w:rFonts w:asciiTheme="minorHAnsi" w:hAnsiTheme="minorHAnsi"/>
          <w:color w:val="auto"/>
          <w:sz w:val="22"/>
          <w:szCs w:val="22"/>
        </w:rPr>
        <w:t>cyjny</w:t>
      </w:r>
      <w:r w:rsidRPr="00F84E19">
        <w:rPr>
          <w:rFonts w:asciiTheme="minorHAnsi" w:hAnsiTheme="minorHAnsi"/>
          <w:color w:val="auto"/>
          <w:sz w:val="22"/>
          <w:szCs w:val="22"/>
        </w:rPr>
        <w:t xml:space="preserve"> RADOS RE-2000-A</w:t>
      </w:r>
      <w:r w:rsidR="00443CDA">
        <w:rPr>
          <w:rFonts w:asciiTheme="minorHAnsi" w:hAnsiTheme="minorHAnsi"/>
          <w:color w:val="auto"/>
          <w:sz w:val="22"/>
          <w:szCs w:val="22"/>
        </w:rPr>
        <w:t>.</w:t>
      </w:r>
      <w:r w:rsidRPr="00F84E19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7D30C7A9" w14:textId="75F78E4D" w:rsidR="00222CD7" w:rsidRPr="00821CED" w:rsidRDefault="00222CD7" w:rsidP="00F84E19">
      <w:pPr>
        <w:pStyle w:val="Tekstpodstawowy"/>
        <w:snapToGrid w:val="0"/>
        <w:spacing w:after="80"/>
        <w:jc w:val="both"/>
        <w:rPr>
          <w:rFonts w:asciiTheme="minorHAnsi" w:hAnsiTheme="minorHAnsi"/>
          <w:b/>
          <w:sz w:val="22"/>
          <w:szCs w:val="22"/>
        </w:rPr>
      </w:pPr>
      <w:r w:rsidRPr="00821CED">
        <w:rPr>
          <w:rFonts w:asciiTheme="minorHAnsi" w:hAnsiTheme="minorHAnsi"/>
          <w:sz w:val="22"/>
          <w:szCs w:val="22"/>
        </w:rPr>
        <w:t xml:space="preserve">Wykonawca zobowiązany jest udzielić </w:t>
      </w:r>
      <w:r w:rsidR="007062C2" w:rsidRPr="00821CED">
        <w:rPr>
          <w:rFonts w:asciiTheme="minorHAnsi" w:hAnsiTheme="minorHAnsi"/>
          <w:sz w:val="22"/>
          <w:szCs w:val="22"/>
        </w:rPr>
        <w:t xml:space="preserve">minimum </w:t>
      </w:r>
      <w:r w:rsidRPr="00821CED">
        <w:rPr>
          <w:rFonts w:asciiTheme="minorHAnsi" w:hAnsiTheme="minorHAnsi"/>
          <w:sz w:val="22"/>
          <w:szCs w:val="22"/>
        </w:rPr>
        <w:t>12 miesięcznej gwarancji na dostarczan</w:t>
      </w:r>
      <w:r w:rsidR="00122268">
        <w:rPr>
          <w:rFonts w:asciiTheme="minorHAnsi" w:hAnsiTheme="minorHAnsi"/>
          <w:sz w:val="22"/>
          <w:szCs w:val="22"/>
        </w:rPr>
        <w:t>y automatyczny czytnik termoluminescencyjny</w:t>
      </w:r>
      <w:r w:rsidR="00F84E19">
        <w:rPr>
          <w:rFonts w:asciiTheme="minorHAnsi" w:hAnsiTheme="minorHAnsi"/>
          <w:sz w:val="22"/>
          <w:szCs w:val="22"/>
        </w:rPr>
        <w:t>.</w:t>
      </w:r>
      <w:r w:rsidR="00122268">
        <w:rPr>
          <w:rFonts w:asciiTheme="minorHAnsi" w:hAnsiTheme="minorHAnsi"/>
          <w:sz w:val="22"/>
          <w:szCs w:val="22"/>
        </w:rPr>
        <w:t xml:space="preserve"> </w:t>
      </w:r>
    </w:p>
    <w:p w14:paraId="6CDE0E6C" w14:textId="77777777" w:rsidR="00DE1E55" w:rsidRDefault="00DE1E55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</w:p>
    <w:p w14:paraId="60770151" w14:textId="77777777" w:rsidR="00122268" w:rsidRDefault="00122268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</w:p>
    <w:p w14:paraId="03BCF3A9" w14:textId="77777777" w:rsidR="00122268" w:rsidRDefault="00122268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</w:p>
    <w:p w14:paraId="661C9206" w14:textId="77777777" w:rsidR="00810B1C" w:rsidRDefault="00810B1C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</w:p>
    <w:p w14:paraId="1DDC31A8" w14:textId="77777777" w:rsidR="00793730" w:rsidRDefault="00793730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</w:p>
    <w:p w14:paraId="2369CD94" w14:textId="77777777" w:rsidR="006F788A" w:rsidRPr="006F788A" w:rsidRDefault="006F788A" w:rsidP="006F788A">
      <w:pPr>
        <w:pStyle w:val="Tekstpodstawowy"/>
        <w:snapToGrid w:val="0"/>
        <w:spacing w:after="80"/>
        <w:ind w:left="-46" w:hanging="14"/>
        <w:jc w:val="both"/>
        <w:rPr>
          <w:rFonts w:asciiTheme="minorHAnsi" w:hAnsiTheme="minorHAnsi"/>
          <w:sz w:val="22"/>
          <w:szCs w:val="22"/>
        </w:rPr>
      </w:pPr>
      <w:r w:rsidRPr="006F788A">
        <w:rPr>
          <w:rFonts w:asciiTheme="minorHAnsi" w:hAnsiTheme="minorHAnsi"/>
          <w:sz w:val="22"/>
          <w:szCs w:val="22"/>
        </w:rPr>
        <w:lastRenderedPageBreak/>
        <w:t>Po wykonaniu usługi dostawy, Laboratorium Dozymetrii Indywidualnej i Środowiskowej Instytutu Fizyki Jądrowej im. Henryka Niewodniczańskiego PAN w Krakowie oceni dostawcę usługi wzorcowania wg następujących kryteriów:</w:t>
      </w:r>
    </w:p>
    <w:p w14:paraId="2D006E8C" w14:textId="77777777" w:rsid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Reakcja na zapytanie ofertowe;</w:t>
      </w:r>
    </w:p>
    <w:p w14:paraId="049DCB27" w14:textId="77777777" w:rsid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 w:rsidRPr="006F788A">
        <w:rPr>
          <w:rFonts w:asciiTheme="minorHAnsi" w:hAnsiTheme="minorHAnsi"/>
          <w:sz w:val="22"/>
          <w:szCs w:val="22"/>
        </w:rPr>
        <w:t>Posiadanie w ofercie przedmiotu dostawy;</w:t>
      </w:r>
    </w:p>
    <w:p w14:paraId="348745ED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 w:rsidRPr="006F788A">
        <w:rPr>
          <w:rFonts w:asciiTheme="minorHAnsi" w:hAnsiTheme="minorHAnsi"/>
          <w:sz w:val="22"/>
          <w:szCs w:val="22"/>
        </w:rPr>
        <w:t>Zapewnienie zgodności parametrów ofero</w:t>
      </w:r>
      <w:r>
        <w:rPr>
          <w:rFonts w:asciiTheme="minorHAnsi" w:hAnsiTheme="minorHAnsi"/>
          <w:sz w:val="22"/>
          <w:szCs w:val="22"/>
        </w:rPr>
        <w:t>wanego urządzenia z wymaganiami;</w:t>
      </w:r>
    </w:p>
    <w:p w14:paraId="449255C3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Pr="006F788A">
        <w:rPr>
          <w:rFonts w:asciiTheme="minorHAnsi" w:hAnsiTheme="minorHAnsi"/>
          <w:sz w:val="22"/>
          <w:szCs w:val="22"/>
        </w:rPr>
        <w:t>zas dostawy/realizacji</w:t>
      </w:r>
      <w:r>
        <w:rPr>
          <w:rFonts w:asciiTheme="minorHAnsi" w:hAnsiTheme="minorHAnsi"/>
          <w:sz w:val="22"/>
          <w:szCs w:val="22"/>
        </w:rPr>
        <w:t>;</w:t>
      </w:r>
    </w:p>
    <w:p w14:paraId="3CF0EA50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Cena;</w:t>
      </w:r>
    </w:p>
    <w:p w14:paraId="0159DC0D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Termin płatności;</w:t>
      </w:r>
    </w:p>
    <w:p w14:paraId="6F5BA228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Forma płatności;</w:t>
      </w:r>
    </w:p>
    <w:p w14:paraId="2968C4A8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Okres gwarancji;</w:t>
      </w:r>
    </w:p>
    <w:p w14:paraId="334D243E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Możliwość reklamacji/skarg;</w:t>
      </w:r>
    </w:p>
    <w:p w14:paraId="317435BE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Sprawny i profesjonalny serwis;</w:t>
      </w:r>
    </w:p>
    <w:p w14:paraId="523E7DFC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6F788A">
        <w:rPr>
          <w:rFonts w:asciiTheme="minorHAnsi" w:hAnsiTheme="minorHAnsi"/>
          <w:sz w:val="22"/>
          <w:szCs w:val="22"/>
        </w:rPr>
        <w:t>osiadanie odpowiednich atestów, uprawnień</w:t>
      </w:r>
      <w:r>
        <w:rPr>
          <w:rFonts w:asciiTheme="minorHAnsi" w:hAnsiTheme="minorHAnsi"/>
          <w:sz w:val="22"/>
          <w:szCs w:val="22"/>
        </w:rPr>
        <w:t>, kwalifikacji;</w:t>
      </w:r>
    </w:p>
    <w:p w14:paraId="4273FCB8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Długoletnia współpraca;</w:t>
      </w:r>
    </w:p>
    <w:p w14:paraId="76B30651" w14:textId="77777777" w:rsidR="006F788A" w:rsidRPr="006F788A" w:rsidRDefault="006F788A" w:rsidP="006F788A">
      <w:pPr>
        <w:pStyle w:val="Tekstpodstawowy"/>
        <w:numPr>
          <w:ilvl w:val="0"/>
          <w:numId w:val="7"/>
        </w:numPr>
        <w:snapToGrid w:val="0"/>
        <w:spacing w:after="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6F788A">
        <w:rPr>
          <w:rFonts w:asciiTheme="minorHAnsi" w:hAnsiTheme="minorHAnsi"/>
          <w:sz w:val="22"/>
          <w:szCs w:val="22"/>
        </w:rPr>
        <w:t>osiadanie certyfikacji systemu zarządzania.</w:t>
      </w:r>
    </w:p>
    <w:sectPr w:rsidR="006F788A" w:rsidRPr="006F788A" w:rsidSect="00FE72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EF68" w14:textId="77777777" w:rsidR="00885EE4" w:rsidRDefault="00885EE4" w:rsidP="00A1760B">
      <w:r>
        <w:separator/>
      </w:r>
    </w:p>
  </w:endnote>
  <w:endnote w:type="continuationSeparator" w:id="0">
    <w:p w14:paraId="1B013F0C" w14:textId="77777777" w:rsidR="00885EE4" w:rsidRDefault="00885EE4" w:rsidP="00A1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462449"/>
      <w:docPartObj>
        <w:docPartGallery w:val="Page Numbers (Bottom of Page)"/>
        <w:docPartUnique/>
      </w:docPartObj>
    </w:sdtPr>
    <w:sdtEndPr>
      <w:rPr>
        <w:rFonts w:ascii="Calibri" w:hAnsi="Calibri"/>
        <w:color w:val="7F7F7F" w:themeColor="background1" w:themeShade="7F"/>
        <w:spacing w:val="60"/>
        <w:sz w:val="22"/>
        <w:szCs w:val="22"/>
      </w:rPr>
    </w:sdtEndPr>
    <w:sdtContent>
      <w:p w14:paraId="15D2E02C" w14:textId="77777777" w:rsidR="005F62AF" w:rsidRPr="00A1760B" w:rsidRDefault="005F62AF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Calibri" w:hAnsi="Calibri"/>
            <w:sz w:val="22"/>
            <w:szCs w:val="22"/>
          </w:rPr>
        </w:pPr>
        <w:r w:rsidRPr="00A1760B">
          <w:rPr>
            <w:rFonts w:ascii="Calibri" w:hAnsi="Calibri"/>
            <w:sz w:val="22"/>
            <w:szCs w:val="22"/>
          </w:rPr>
          <w:fldChar w:fldCharType="begin"/>
        </w:r>
        <w:r w:rsidRPr="00A1760B">
          <w:rPr>
            <w:rFonts w:ascii="Calibri" w:hAnsi="Calibri"/>
            <w:sz w:val="22"/>
            <w:szCs w:val="22"/>
          </w:rPr>
          <w:instrText>PAGE   \* MERGEFORMAT</w:instrText>
        </w:r>
        <w:r w:rsidRPr="00A1760B">
          <w:rPr>
            <w:rFonts w:ascii="Calibri" w:hAnsi="Calibri"/>
            <w:sz w:val="22"/>
            <w:szCs w:val="22"/>
          </w:rPr>
          <w:fldChar w:fldCharType="separate"/>
        </w:r>
        <w:r w:rsidR="005E0741">
          <w:rPr>
            <w:rFonts w:ascii="Calibri" w:hAnsi="Calibri"/>
            <w:noProof/>
            <w:sz w:val="22"/>
            <w:szCs w:val="22"/>
          </w:rPr>
          <w:t>2</w:t>
        </w:r>
        <w:r w:rsidRPr="00A1760B">
          <w:rPr>
            <w:rFonts w:ascii="Calibri" w:hAnsi="Calibri"/>
            <w:sz w:val="22"/>
            <w:szCs w:val="22"/>
          </w:rPr>
          <w:fldChar w:fldCharType="end"/>
        </w:r>
        <w:r w:rsidRPr="00A1760B">
          <w:rPr>
            <w:rFonts w:ascii="Calibri" w:hAnsi="Calibri"/>
            <w:sz w:val="22"/>
            <w:szCs w:val="22"/>
          </w:rPr>
          <w:t xml:space="preserve"> | </w:t>
        </w:r>
        <w:r w:rsidRPr="00A1760B">
          <w:rPr>
            <w:rFonts w:ascii="Calibri" w:hAnsi="Calibri"/>
            <w:color w:val="7F7F7F" w:themeColor="background1" w:themeShade="7F"/>
            <w:spacing w:val="60"/>
            <w:sz w:val="22"/>
            <w:szCs w:val="22"/>
          </w:rPr>
          <w:t>Strona</w:t>
        </w:r>
      </w:p>
    </w:sdtContent>
  </w:sdt>
  <w:p w14:paraId="55EEB161" w14:textId="77777777" w:rsidR="005F62AF" w:rsidRDefault="005F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3F76" w14:textId="77777777" w:rsidR="00885EE4" w:rsidRDefault="00885EE4" w:rsidP="00A1760B">
      <w:r>
        <w:separator/>
      </w:r>
    </w:p>
  </w:footnote>
  <w:footnote w:type="continuationSeparator" w:id="0">
    <w:p w14:paraId="4C384141" w14:textId="77777777" w:rsidR="00885EE4" w:rsidRDefault="00885EE4" w:rsidP="00A1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1770"/>
    <w:multiLevelType w:val="hybridMultilevel"/>
    <w:tmpl w:val="D7B60FD8"/>
    <w:lvl w:ilvl="0" w:tplc="31747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6E0"/>
    <w:multiLevelType w:val="hybridMultilevel"/>
    <w:tmpl w:val="6D024CFE"/>
    <w:lvl w:ilvl="0" w:tplc="8D4AD6AA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F570E"/>
    <w:multiLevelType w:val="hybridMultilevel"/>
    <w:tmpl w:val="80F2586C"/>
    <w:lvl w:ilvl="0" w:tplc="49D0000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379752C4"/>
    <w:multiLevelType w:val="hybridMultilevel"/>
    <w:tmpl w:val="0164A9E2"/>
    <w:lvl w:ilvl="0" w:tplc="49D00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F06"/>
    <w:multiLevelType w:val="hybridMultilevel"/>
    <w:tmpl w:val="359AB94C"/>
    <w:lvl w:ilvl="0" w:tplc="31747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D7BB8"/>
    <w:multiLevelType w:val="hybridMultilevel"/>
    <w:tmpl w:val="FBA0D19E"/>
    <w:lvl w:ilvl="0" w:tplc="31747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D112B"/>
    <w:multiLevelType w:val="multilevel"/>
    <w:tmpl w:val="95B82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6027272"/>
    <w:multiLevelType w:val="hybridMultilevel"/>
    <w:tmpl w:val="A0208DD0"/>
    <w:lvl w:ilvl="0" w:tplc="123C0A7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21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943893">
    <w:abstractNumId w:val="1"/>
  </w:num>
  <w:num w:numId="3" w16cid:durableId="900292640">
    <w:abstractNumId w:val="5"/>
  </w:num>
  <w:num w:numId="4" w16cid:durableId="730544944">
    <w:abstractNumId w:val="3"/>
  </w:num>
  <w:num w:numId="5" w16cid:durableId="487210720">
    <w:abstractNumId w:val="7"/>
  </w:num>
  <w:num w:numId="6" w16cid:durableId="1796212468">
    <w:abstractNumId w:val="4"/>
  </w:num>
  <w:num w:numId="7" w16cid:durableId="159390514">
    <w:abstractNumId w:val="2"/>
  </w:num>
  <w:num w:numId="8" w16cid:durableId="169144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28"/>
    <w:rsid w:val="00012E97"/>
    <w:rsid w:val="000131E6"/>
    <w:rsid w:val="00020F4E"/>
    <w:rsid w:val="00027D5C"/>
    <w:rsid w:val="00032128"/>
    <w:rsid w:val="00040884"/>
    <w:rsid w:val="00046F1E"/>
    <w:rsid w:val="00047199"/>
    <w:rsid w:val="00056AD9"/>
    <w:rsid w:val="00061D98"/>
    <w:rsid w:val="00077573"/>
    <w:rsid w:val="00093C4F"/>
    <w:rsid w:val="00097840"/>
    <w:rsid w:val="000A6BC3"/>
    <w:rsid w:val="000A7E99"/>
    <w:rsid w:val="000C0AD8"/>
    <w:rsid w:val="000C31D7"/>
    <w:rsid w:val="000D2A73"/>
    <w:rsid w:val="000D523B"/>
    <w:rsid w:val="000D66DB"/>
    <w:rsid w:val="000F1C19"/>
    <w:rsid w:val="000F3358"/>
    <w:rsid w:val="00104FC9"/>
    <w:rsid w:val="00114FCC"/>
    <w:rsid w:val="00122268"/>
    <w:rsid w:val="001238A5"/>
    <w:rsid w:val="00146722"/>
    <w:rsid w:val="001529BB"/>
    <w:rsid w:val="0015604E"/>
    <w:rsid w:val="00157DEF"/>
    <w:rsid w:val="001727C8"/>
    <w:rsid w:val="001764AF"/>
    <w:rsid w:val="00181D7D"/>
    <w:rsid w:val="001860F8"/>
    <w:rsid w:val="001938CB"/>
    <w:rsid w:val="00194463"/>
    <w:rsid w:val="001962BE"/>
    <w:rsid w:val="001A134D"/>
    <w:rsid w:val="001A25FE"/>
    <w:rsid w:val="001A42D9"/>
    <w:rsid w:val="001B23E8"/>
    <w:rsid w:val="001B6123"/>
    <w:rsid w:val="001C1435"/>
    <w:rsid w:val="001E1529"/>
    <w:rsid w:val="0020016E"/>
    <w:rsid w:val="00203EF4"/>
    <w:rsid w:val="0020637E"/>
    <w:rsid w:val="002167F4"/>
    <w:rsid w:val="00221B4D"/>
    <w:rsid w:val="00222CD7"/>
    <w:rsid w:val="00223FCA"/>
    <w:rsid w:val="00224751"/>
    <w:rsid w:val="0022536D"/>
    <w:rsid w:val="002260BD"/>
    <w:rsid w:val="0025325F"/>
    <w:rsid w:val="00282A50"/>
    <w:rsid w:val="00286BA7"/>
    <w:rsid w:val="002923D9"/>
    <w:rsid w:val="002A1595"/>
    <w:rsid w:val="002B6BD2"/>
    <w:rsid w:val="002C3AF6"/>
    <w:rsid w:val="002D51DD"/>
    <w:rsid w:val="002E2483"/>
    <w:rsid w:val="00303C88"/>
    <w:rsid w:val="00304FA6"/>
    <w:rsid w:val="003072B7"/>
    <w:rsid w:val="00321B1F"/>
    <w:rsid w:val="00324E6C"/>
    <w:rsid w:val="00327E3D"/>
    <w:rsid w:val="003723BC"/>
    <w:rsid w:val="003733B6"/>
    <w:rsid w:val="00391550"/>
    <w:rsid w:val="003978BA"/>
    <w:rsid w:val="003D5C28"/>
    <w:rsid w:val="003E225F"/>
    <w:rsid w:val="003F1518"/>
    <w:rsid w:val="00404059"/>
    <w:rsid w:val="00424DB6"/>
    <w:rsid w:val="00443CDA"/>
    <w:rsid w:val="00443E67"/>
    <w:rsid w:val="00445EA0"/>
    <w:rsid w:val="00460677"/>
    <w:rsid w:val="004612F3"/>
    <w:rsid w:val="00462C1B"/>
    <w:rsid w:val="00464C5B"/>
    <w:rsid w:val="0048750D"/>
    <w:rsid w:val="004A4CAE"/>
    <w:rsid w:val="004A76EA"/>
    <w:rsid w:val="004B0093"/>
    <w:rsid w:val="004B711A"/>
    <w:rsid w:val="004C7E9A"/>
    <w:rsid w:val="004E18D6"/>
    <w:rsid w:val="00503314"/>
    <w:rsid w:val="005072E4"/>
    <w:rsid w:val="0051279F"/>
    <w:rsid w:val="00517D78"/>
    <w:rsid w:val="00543BA7"/>
    <w:rsid w:val="005524F0"/>
    <w:rsid w:val="00566F26"/>
    <w:rsid w:val="00573BD2"/>
    <w:rsid w:val="00577937"/>
    <w:rsid w:val="005841C3"/>
    <w:rsid w:val="0058548E"/>
    <w:rsid w:val="00586476"/>
    <w:rsid w:val="005958C9"/>
    <w:rsid w:val="005A7814"/>
    <w:rsid w:val="005B1C0C"/>
    <w:rsid w:val="005C0DEE"/>
    <w:rsid w:val="005C4CE6"/>
    <w:rsid w:val="005D2663"/>
    <w:rsid w:val="005E0741"/>
    <w:rsid w:val="005E1C93"/>
    <w:rsid w:val="005F62AF"/>
    <w:rsid w:val="00612C18"/>
    <w:rsid w:val="00613623"/>
    <w:rsid w:val="006202A8"/>
    <w:rsid w:val="0063305D"/>
    <w:rsid w:val="0063644D"/>
    <w:rsid w:val="00641513"/>
    <w:rsid w:val="006569E8"/>
    <w:rsid w:val="006576CA"/>
    <w:rsid w:val="00673EE0"/>
    <w:rsid w:val="00681C01"/>
    <w:rsid w:val="006908A8"/>
    <w:rsid w:val="0069419E"/>
    <w:rsid w:val="006B38CE"/>
    <w:rsid w:val="006B7A21"/>
    <w:rsid w:val="006C03C7"/>
    <w:rsid w:val="006D1EE0"/>
    <w:rsid w:val="006F788A"/>
    <w:rsid w:val="007062C2"/>
    <w:rsid w:val="00727835"/>
    <w:rsid w:val="00744434"/>
    <w:rsid w:val="0074583F"/>
    <w:rsid w:val="00750B67"/>
    <w:rsid w:val="00772B13"/>
    <w:rsid w:val="0078210E"/>
    <w:rsid w:val="00782979"/>
    <w:rsid w:val="00786B3E"/>
    <w:rsid w:val="00793730"/>
    <w:rsid w:val="00793A9E"/>
    <w:rsid w:val="007B6147"/>
    <w:rsid w:val="007C411E"/>
    <w:rsid w:val="007E1131"/>
    <w:rsid w:val="008057D2"/>
    <w:rsid w:val="00810B1C"/>
    <w:rsid w:val="00821CED"/>
    <w:rsid w:val="00823B75"/>
    <w:rsid w:val="008261C6"/>
    <w:rsid w:val="008276A3"/>
    <w:rsid w:val="00842B92"/>
    <w:rsid w:val="008470A5"/>
    <w:rsid w:val="008659BA"/>
    <w:rsid w:val="00873064"/>
    <w:rsid w:val="00882580"/>
    <w:rsid w:val="00885EE4"/>
    <w:rsid w:val="008948E7"/>
    <w:rsid w:val="008A2D00"/>
    <w:rsid w:val="008A4318"/>
    <w:rsid w:val="008C38C7"/>
    <w:rsid w:val="008C6950"/>
    <w:rsid w:val="008C6C26"/>
    <w:rsid w:val="008D4FE0"/>
    <w:rsid w:val="008D5B6F"/>
    <w:rsid w:val="008E25E1"/>
    <w:rsid w:val="00900D2E"/>
    <w:rsid w:val="00915C75"/>
    <w:rsid w:val="00917686"/>
    <w:rsid w:val="009420CE"/>
    <w:rsid w:val="00945BB5"/>
    <w:rsid w:val="00972267"/>
    <w:rsid w:val="00972D7F"/>
    <w:rsid w:val="00974CD7"/>
    <w:rsid w:val="009755B9"/>
    <w:rsid w:val="00997343"/>
    <w:rsid w:val="009B53AA"/>
    <w:rsid w:val="009B5FEA"/>
    <w:rsid w:val="009C370B"/>
    <w:rsid w:val="009D1724"/>
    <w:rsid w:val="009F4A96"/>
    <w:rsid w:val="00A13F34"/>
    <w:rsid w:val="00A1481E"/>
    <w:rsid w:val="00A1760B"/>
    <w:rsid w:val="00A20B65"/>
    <w:rsid w:val="00A34B41"/>
    <w:rsid w:val="00A36F96"/>
    <w:rsid w:val="00A44B26"/>
    <w:rsid w:val="00A70CBF"/>
    <w:rsid w:val="00A75FB9"/>
    <w:rsid w:val="00A9180F"/>
    <w:rsid w:val="00AA3813"/>
    <w:rsid w:val="00AB01E5"/>
    <w:rsid w:val="00AB6F46"/>
    <w:rsid w:val="00AB710A"/>
    <w:rsid w:val="00AC7A0A"/>
    <w:rsid w:val="00AE02DD"/>
    <w:rsid w:val="00AE2A11"/>
    <w:rsid w:val="00AE3799"/>
    <w:rsid w:val="00AE3CC2"/>
    <w:rsid w:val="00B0160B"/>
    <w:rsid w:val="00B1756A"/>
    <w:rsid w:val="00B34B98"/>
    <w:rsid w:val="00B4423A"/>
    <w:rsid w:val="00B47AE6"/>
    <w:rsid w:val="00B60581"/>
    <w:rsid w:val="00B64778"/>
    <w:rsid w:val="00B727C0"/>
    <w:rsid w:val="00B8755D"/>
    <w:rsid w:val="00B904EB"/>
    <w:rsid w:val="00B940A8"/>
    <w:rsid w:val="00BC0088"/>
    <w:rsid w:val="00BE46EB"/>
    <w:rsid w:val="00C31A58"/>
    <w:rsid w:val="00C4305C"/>
    <w:rsid w:val="00C44267"/>
    <w:rsid w:val="00C524AE"/>
    <w:rsid w:val="00C6079C"/>
    <w:rsid w:val="00C735D4"/>
    <w:rsid w:val="00C73CAA"/>
    <w:rsid w:val="00C7771E"/>
    <w:rsid w:val="00C82387"/>
    <w:rsid w:val="00C85166"/>
    <w:rsid w:val="00CA0750"/>
    <w:rsid w:val="00CB7D94"/>
    <w:rsid w:val="00CC0D7A"/>
    <w:rsid w:val="00CD095B"/>
    <w:rsid w:val="00CE02CC"/>
    <w:rsid w:val="00CE6CC4"/>
    <w:rsid w:val="00CF7C7C"/>
    <w:rsid w:val="00D00753"/>
    <w:rsid w:val="00D03A80"/>
    <w:rsid w:val="00D04E05"/>
    <w:rsid w:val="00D228B6"/>
    <w:rsid w:val="00D263B1"/>
    <w:rsid w:val="00D42C21"/>
    <w:rsid w:val="00D52D68"/>
    <w:rsid w:val="00D6318B"/>
    <w:rsid w:val="00D6492D"/>
    <w:rsid w:val="00D81196"/>
    <w:rsid w:val="00D87AD0"/>
    <w:rsid w:val="00D916C6"/>
    <w:rsid w:val="00DA34D6"/>
    <w:rsid w:val="00DB37B7"/>
    <w:rsid w:val="00DC3573"/>
    <w:rsid w:val="00DC41AE"/>
    <w:rsid w:val="00DE1E55"/>
    <w:rsid w:val="00DE2A0B"/>
    <w:rsid w:val="00DE3013"/>
    <w:rsid w:val="00DE79BA"/>
    <w:rsid w:val="00DF0A4B"/>
    <w:rsid w:val="00E02BC7"/>
    <w:rsid w:val="00E04F78"/>
    <w:rsid w:val="00E06EFF"/>
    <w:rsid w:val="00E123F6"/>
    <w:rsid w:val="00E270AA"/>
    <w:rsid w:val="00E47837"/>
    <w:rsid w:val="00E5399A"/>
    <w:rsid w:val="00E56A69"/>
    <w:rsid w:val="00E600A8"/>
    <w:rsid w:val="00E752B6"/>
    <w:rsid w:val="00E7542E"/>
    <w:rsid w:val="00EA60F8"/>
    <w:rsid w:val="00ED468B"/>
    <w:rsid w:val="00EE3241"/>
    <w:rsid w:val="00EE54B0"/>
    <w:rsid w:val="00EF09C2"/>
    <w:rsid w:val="00F0003F"/>
    <w:rsid w:val="00F05FE8"/>
    <w:rsid w:val="00F10E91"/>
    <w:rsid w:val="00F26D9E"/>
    <w:rsid w:val="00F34D46"/>
    <w:rsid w:val="00F443B1"/>
    <w:rsid w:val="00F47170"/>
    <w:rsid w:val="00F53F69"/>
    <w:rsid w:val="00F5493D"/>
    <w:rsid w:val="00F629B7"/>
    <w:rsid w:val="00F67666"/>
    <w:rsid w:val="00F67BC9"/>
    <w:rsid w:val="00F70E64"/>
    <w:rsid w:val="00F84E19"/>
    <w:rsid w:val="00F958F3"/>
    <w:rsid w:val="00FC2390"/>
    <w:rsid w:val="00FC6CE8"/>
    <w:rsid w:val="00FD798C"/>
    <w:rsid w:val="00FE7208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D3A30"/>
  <w15:docId w15:val="{6FD78EBE-AAC4-4334-AB07-6C8CCDB5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C2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uiPriority w:val="99"/>
    <w:qFormat/>
    <w:rsid w:val="0063644D"/>
    <w:pPr>
      <w:spacing w:before="360" w:after="120"/>
      <w:ind w:left="360" w:hanging="360"/>
      <w:jc w:val="right"/>
      <w:outlineLvl w:val="0"/>
    </w:pPr>
    <w:rPr>
      <w:rFonts w:ascii="Calibri" w:hAnsi="Calibri" w:cs="Arial"/>
      <w:b/>
      <w:color w:val="000000"/>
      <w:kern w:val="32"/>
      <w:sz w:val="22"/>
      <w:szCs w:val="22"/>
    </w:rPr>
  </w:style>
  <w:style w:type="paragraph" w:styleId="Nagwek2">
    <w:name w:val="heading 2"/>
    <w:basedOn w:val="Normalny"/>
    <w:link w:val="Nagwek2Znak"/>
    <w:autoRedefine/>
    <w:uiPriority w:val="99"/>
    <w:qFormat/>
    <w:rsid w:val="003D5C28"/>
    <w:pPr>
      <w:widowControl w:val="0"/>
      <w:numPr>
        <w:ilvl w:val="1"/>
        <w:numId w:val="1"/>
      </w:numPr>
      <w:jc w:val="both"/>
      <w:outlineLvl w:val="1"/>
    </w:pPr>
    <w:rPr>
      <w:rFonts w:cs="Arial"/>
      <w:bCs/>
      <w:iCs/>
      <w:color w:val="FF0000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3644D"/>
    <w:rPr>
      <w:rFonts w:eastAsia="Times New Roman" w:cs="Arial"/>
      <w:b/>
      <w:color w:val="000000"/>
      <w:kern w:val="32"/>
      <w:sz w:val="22"/>
      <w:szCs w:val="22"/>
    </w:rPr>
  </w:style>
  <w:style w:type="character" w:customStyle="1" w:styleId="Nagwek2Znak">
    <w:name w:val="Nagłówek 2 Znak"/>
    <w:link w:val="Nagwek2"/>
    <w:uiPriority w:val="99"/>
    <w:semiHidden/>
    <w:locked/>
    <w:rsid w:val="003D5C28"/>
    <w:rPr>
      <w:rFonts w:ascii="Times New Roman" w:hAnsi="Times New Roman" w:cs="Arial"/>
      <w:bCs/>
      <w:iCs/>
      <w:color w:val="FF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D5C28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3D5C2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D5C2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Pogrubienie">
    <w:name w:val="Strong"/>
    <w:uiPriority w:val="99"/>
    <w:qFormat/>
    <w:rsid w:val="003D5C2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17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60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7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60B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4CE6"/>
    <w:pPr>
      <w:ind w:left="720"/>
      <w:contextualSpacing/>
    </w:pPr>
  </w:style>
  <w:style w:type="table" w:styleId="Tabela-Siatka">
    <w:name w:val="Table Grid"/>
    <w:basedOn w:val="Standardowy"/>
    <w:locked/>
    <w:rsid w:val="0078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uiPriority w:val="46"/>
    <w:rsid w:val="00D228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D2A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A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84B8-3E25-49F8-ACBB-B79D0FEE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Kinga</dc:creator>
  <cp:lastModifiedBy>oprzebieracz</cp:lastModifiedBy>
  <cp:revision>3</cp:revision>
  <cp:lastPrinted>2025-05-28T11:51:00Z</cp:lastPrinted>
  <dcterms:created xsi:type="dcterms:W3CDTF">2026-08-20T10:47:00Z</dcterms:created>
  <dcterms:modified xsi:type="dcterms:W3CDTF">2026-08-20T11:15:00Z</dcterms:modified>
</cp:coreProperties>
</file>