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ABAD6" w14:textId="48ED765E" w:rsidR="00EB3B7F" w:rsidRDefault="00EB3B7F" w:rsidP="00EB3B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3B7F">
        <w:rPr>
          <w:rFonts w:ascii="Times New Roman" w:hAnsi="Times New Roman" w:cs="Times New Roman"/>
          <w:b/>
          <w:sz w:val="24"/>
          <w:szCs w:val="24"/>
        </w:rPr>
        <w:t>Załącznik nr 5</w:t>
      </w:r>
      <w:r w:rsidR="00477153">
        <w:rPr>
          <w:rFonts w:ascii="Times New Roman" w:hAnsi="Times New Roman" w:cs="Times New Roman"/>
          <w:b/>
          <w:sz w:val="24"/>
          <w:szCs w:val="24"/>
        </w:rPr>
        <w:t>C</w:t>
      </w:r>
      <w:r w:rsidRPr="00EB3B7F">
        <w:rPr>
          <w:rFonts w:ascii="Times New Roman" w:hAnsi="Times New Roman" w:cs="Times New Roman"/>
          <w:b/>
          <w:sz w:val="24"/>
          <w:szCs w:val="24"/>
        </w:rPr>
        <w:t xml:space="preserve"> - OPZ - Masz oświetleniowy</w:t>
      </w:r>
    </w:p>
    <w:p w14:paraId="36F52643" w14:textId="245E91AA" w:rsidR="00D06CFC" w:rsidRPr="00D77367" w:rsidRDefault="004C1FC1" w:rsidP="00C71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367">
        <w:rPr>
          <w:rFonts w:ascii="Times New Roman" w:hAnsi="Times New Roman" w:cs="Times New Roman"/>
          <w:b/>
          <w:sz w:val="24"/>
          <w:szCs w:val="24"/>
        </w:rPr>
        <w:t>OPIS PRZEDMIOTU ZAMÓWIENIA</w:t>
      </w:r>
      <w:r w:rsidR="009558DC">
        <w:rPr>
          <w:rFonts w:ascii="Times New Roman" w:hAnsi="Times New Roman" w:cs="Times New Roman"/>
          <w:b/>
          <w:sz w:val="24"/>
          <w:szCs w:val="24"/>
        </w:rPr>
        <w:t xml:space="preserve"> (OPZ)</w:t>
      </w:r>
    </w:p>
    <w:p w14:paraId="75C9AFA1" w14:textId="77777777" w:rsidR="005C1088" w:rsidRDefault="005C1088" w:rsidP="00C716C4">
      <w:pPr>
        <w:jc w:val="both"/>
        <w:rPr>
          <w:rFonts w:ascii="Times New Roman" w:hAnsi="Times New Roman" w:cs="Times New Roman"/>
          <w:sz w:val="24"/>
          <w:szCs w:val="24"/>
        </w:rPr>
      </w:pPr>
      <w:r w:rsidRPr="00D77367">
        <w:rPr>
          <w:rFonts w:ascii="Times New Roman" w:hAnsi="Times New Roman" w:cs="Times New Roman"/>
          <w:sz w:val="24"/>
          <w:szCs w:val="24"/>
        </w:rPr>
        <w:t xml:space="preserve">Przedmiot zamówienia realizowany w ramach „Programu Ochrony Ludności i Obrony Cywilnej na lata 2025-2026” </w:t>
      </w:r>
    </w:p>
    <w:p w14:paraId="5563A4C7" w14:textId="77777777" w:rsidR="008C6270" w:rsidRPr="008C6270" w:rsidRDefault="008C6270" w:rsidP="008C6270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 Zamówienia</w:t>
      </w:r>
    </w:p>
    <w:p w14:paraId="6AB558B5" w14:textId="77777777" w:rsidR="00D77367" w:rsidRPr="00D77367" w:rsidRDefault="00D77367" w:rsidP="00C716C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Przedmiot</w:t>
      </w:r>
      <w:r w:rsidR="00DB422A">
        <w:rPr>
          <w:rFonts w:ascii="Times New Roman" w:eastAsia="Times New Roman" w:hAnsi="Times New Roman" w:cs="Times New Roman"/>
          <w:b/>
          <w:bCs/>
          <w:sz w:val="24"/>
          <w:szCs w:val="24"/>
        </w:rPr>
        <w:t>em</w:t>
      </w: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zamówienia</w:t>
      </w:r>
      <w:r w:rsidR="00DB42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jest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22A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286397">
        <w:rPr>
          <w:rFonts w:ascii="Times New Roman" w:eastAsia="Times New Roman" w:hAnsi="Times New Roman" w:cs="Times New Roman"/>
          <w:b/>
          <w:sz w:val="24"/>
          <w:szCs w:val="24"/>
        </w:rPr>
        <w:t xml:space="preserve">ostawa </w:t>
      </w:r>
      <w:r w:rsidR="00286397">
        <w:rPr>
          <w:rFonts w:ascii="Times New Roman" w:eastAsia="Times New Roman" w:hAnsi="Times New Roman" w:cs="Times New Roman"/>
          <w:b/>
          <w:sz w:val="24"/>
          <w:szCs w:val="24"/>
        </w:rPr>
        <w:t xml:space="preserve">1 sztuki </w:t>
      </w:r>
      <w:r w:rsidRPr="00286397">
        <w:rPr>
          <w:rFonts w:ascii="Times New Roman" w:eastAsia="Times New Roman" w:hAnsi="Times New Roman" w:cs="Times New Roman"/>
          <w:b/>
          <w:sz w:val="24"/>
          <w:szCs w:val="24"/>
        </w:rPr>
        <w:t>mobilnego masztu oświetleniowego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o podwyższonej stabilności, przeznaczonego do zabezpieczania działań w ramach ochrony ludności oraz doświetlania infrastruktury magazynowej/namiotowej.</w:t>
      </w:r>
    </w:p>
    <w:p w14:paraId="4A18FF9B" w14:textId="77777777" w:rsidR="00D77367" w:rsidRPr="008C6270" w:rsidRDefault="00D77367" w:rsidP="008C6270">
      <w:pPr>
        <w:pStyle w:val="Akapitzlist"/>
        <w:numPr>
          <w:ilvl w:val="0"/>
          <w:numId w:val="26"/>
        </w:num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6270">
        <w:rPr>
          <w:rFonts w:ascii="Times New Roman" w:eastAsia="Times New Roman" w:hAnsi="Times New Roman" w:cs="Times New Roman"/>
          <w:b/>
          <w:bCs/>
          <w:sz w:val="24"/>
          <w:szCs w:val="24"/>
        </w:rPr>
        <w:t>Wymagania ogólne i konstrukcyjne statywu</w:t>
      </w:r>
    </w:p>
    <w:p w14:paraId="3C12ADB5" w14:textId="77777777" w:rsidR="00D77367" w:rsidRPr="00D77367" w:rsidRDefault="00D77367" w:rsidP="00C716C4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System rozkładania: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Mechaniczny, realizowany za pomocą zintegrowanej windy (wciągarki) korbowej ze stalową liną i automatyczną blokadą bezpieczeństwa, zapobiegającą niekontrolowane</w:t>
      </w:r>
      <w:r w:rsidR="008E1C3C">
        <w:rPr>
          <w:rFonts w:ascii="Times New Roman" w:eastAsia="Times New Roman" w:hAnsi="Times New Roman" w:cs="Times New Roman"/>
          <w:sz w:val="24"/>
          <w:szCs w:val="24"/>
        </w:rPr>
        <w:t>mu zsunięciu się sekcji masztu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>. Wyklucza się systemy wymagające ręcznego podnoszenia sekcji „siłą rąk”.</w:t>
      </w:r>
    </w:p>
    <w:p w14:paraId="339ECEC6" w14:textId="77777777" w:rsidR="00D77367" w:rsidRPr="00D77367" w:rsidRDefault="00D77367" w:rsidP="00C716C4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Wysokość robocza: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Regulowana płynnie w zakresie od minimum 2,8 m do minimum 4,5 m po pełnym rozłożeniu.</w:t>
      </w:r>
    </w:p>
    <w:p w14:paraId="6E6F497C" w14:textId="77777777" w:rsidR="00D77367" w:rsidRPr="00D77367" w:rsidRDefault="00D77367" w:rsidP="00C716C4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Materiał konstrukcyjny: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Stal ocynkowana ogniowo lub aluminium o podwyższonej wytrzymałości mechanicznej, zabezpieczone antykorozyjnie, odporne na działanie niekorzystnych warunków atmosferycznych (deszcz, śnieg, niskie temperatury).</w:t>
      </w:r>
    </w:p>
    <w:p w14:paraId="3E6305CB" w14:textId="77777777" w:rsidR="00D77367" w:rsidRPr="00D77367" w:rsidRDefault="00D77367" w:rsidP="00C716C4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Konstrukcja podstawy:</w:t>
      </w:r>
      <w:r w:rsidR="009826D5">
        <w:rPr>
          <w:rFonts w:ascii="Times New Roman" w:eastAsia="Times New Roman" w:hAnsi="Times New Roman" w:cs="Times New Roman"/>
          <w:sz w:val="24"/>
          <w:szCs w:val="24"/>
        </w:rPr>
        <w:t xml:space="preserve"> Stabilna 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>z funkcją regulacji (poziomowania) na nierównym terenie. Rozpiętość podstawy po pełnym rozłożeniu nóg musi wynosić minimum Ø 200 cm w celu zapewnienia stabilności na wietrze.</w:t>
      </w:r>
    </w:p>
    <w:p w14:paraId="77E21E60" w14:textId="77777777" w:rsidR="00D77367" w:rsidRPr="00D51473" w:rsidRDefault="00D77367" w:rsidP="00D51473">
      <w:pPr>
        <w:pStyle w:val="Akapitzlist"/>
        <w:numPr>
          <w:ilvl w:val="0"/>
          <w:numId w:val="26"/>
        </w:num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473">
        <w:rPr>
          <w:rFonts w:ascii="Times New Roman" w:eastAsia="Times New Roman" w:hAnsi="Times New Roman" w:cs="Times New Roman"/>
          <w:b/>
          <w:bCs/>
          <w:sz w:val="24"/>
          <w:szCs w:val="24"/>
        </w:rPr>
        <w:t>Parametry techniczne głowicy oświetleniowej (LED)</w:t>
      </w:r>
    </w:p>
    <w:p w14:paraId="38B43CB7" w14:textId="77777777" w:rsidR="00D77367" w:rsidRPr="00D77367" w:rsidRDefault="00D77367" w:rsidP="00C716C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Źródło światła: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Panel oświetleniowy składający się z energooszczędnych reflektorów/naświetlaczy wykonanych w technologii LED.</w:t>
      </w:r>
    </w:p>
    <w:p w14:paraId="758A0B6C" w14:textId="77777777" w:rsidR="008E1C3C" w:rsidRPr="008E1C3C" w:rsidRDefault="00D77367" w:rsidP="00C716C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C3C">
        <w:rPr>
          <w:rFonts w:ascii="Times New Roman" w:eastAsia="Times New Roman" w:hAnsi="Times New Roman" w:cs="Times New Roman"/>
          <w:b/>
          <w:bCs/>
          <w:sz w:val="24"/>
          <w:szCs w:val="24"/>
        </w:rPr>
        <w:t>Strumień świetlny łączny:</w:t>
      </w:r>
      <w:r w:rsidRPr="008E1C3C">
        <w:rPr>
          <w:rFonts w:ascii="Times New Roman" w:eastAsia="Times New Roman" w:hAnsi="Times New Roman" w:cs="Times New Roman"/>
          <w:sz w:val="24"/>
          <w:szCs w:val="24"/>
        </w:rPr>
        <w:t xml:space="preserve"> Minimum 60 000 </w:t>
      </w:r>
      <w:r w:rsidRPr="00C716C4">
        <w:rPr>
          <w:rFonts w:ascii="Times New Roman" w:eastAsia="Times New Roman" w:hAnsi="Times New Roman" w:cs="Times New Roman"/>
          <w:sz w:val="24"/>
          <w:szCs w:val="24"/>
        </w:rPr>
        <w:t xml:space="preserve">lumenów (lm), </w:t>
      </w:r>
      <w:r w:rsidR="008E1C3C" w:rsidRPr="00C716C4">
        <w:rPr>
          <w:rFonts w:ascii="Times New Roman" w:hAnsi="Times New Roman" w:cs="Times New Roman"/>
          <w:sz w:val="24"/>
          <w:szCs w:val="24"/>
        </w:rPr>
        <w:t>Zamawiający dopuszcza strumień świetlny o wartości wyższej niż minimalna, pod warunkiem bezwzględnego spełnienia parametru maksymalnego poboru mocy (maksymalnie 600W)</w:t>
      </w:r>
    </w:p>
    <w:p w14:paraId="4BE5315C" w14:textId="77777777" w:rsidR="00D77367" w:rsidRPr="008E1C3C" w:rsidRDefault="00D77367" w:rsidP="00C716C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C3C">
        <w:rPr>
          <w:rFonts w:ascii="Times New Roman" w:eastAsia="Times New Roman" w:hAnsi="Times New Roman" w:cs="Times New Roman"/>
          <w:b/>
          <w:bCs/>
          <w:sz w:val="24"/>
          <w:szCs w:val="24"/>
        </w:rPr>
        <w:t>Charakterystyka strumienia:</w:t>
      </w:r>
      <w:r w:rsidRPr="008E1C3C">
        <w:rPr>
          <w:rFonts w:ascii="Times New Roman" w:eastAsia="Times New Roman" w:hAnsi="Times New Roman" w:cs="Times New Roman"/>
          <w:sz w:val="24"/>
          <w:szCs w:val="24"/>
        </w:rPr>
        <w:t xml:space="preserve"> Światło kierunkowe, z możliwością niezależnej regulacji kąta nachylenia i obrotu poszczególnych reflektorów w pionie i poziomie w celu optymalnego oświetlenia placu przed infrastrukturą namiotową.</w:t>
      </w:r>
    </w:p>
    <w:p w14:paraId="32A36B77" w14:textId="77777777" w:rsidR="00D77367" w:rsidRPr="00D77367" w:rsidRDefault="00D77367" w:rsidP="00C716C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Temperatura barwowa: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Barwa</w:t>
      </w:r>
      <w:r w:rsidR="00407089">
        <w:rPr>
          <w:rFonts w:ascii="Times New Roman" w:eastAsia="Times New Roman" w:hAnsi="Times New Roman" w:cs="Times New Roman"/>
          <w:sz w:val="24"/>
          <w:szCs w:val="24"/>
        </w:rPr>
        <w:t xml:space="preserve"> neutralna lub zimna, minimum 4000K, 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>zapewniająca doskonałą widoczność w trudnych warunkach (np. zadymienie, mgła).</w:t>
      </w:r>
    </w:p>
    <w:p w14:paraId="425E944A" w14:textId="77777777" w:rsidR="00D77367" w:rsidRPr="00D77367" w:rsidRDefault="00D77367" w:rsidP="00C716C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Klasa szczelności opraw LED: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Minimum IP65 (pełna pyłoszczelność i odporność na strugi wody).</w:t>
      </w:r>
    </w:p>
    <w:p w14:paraId="416BAF7A" w14:textId="77777777" w:rsidR="00D77367" w:rsidRPr="00D51473" w:rsidRDefault="00D77367" w:rsidP="00D51473">
      <w:pPr>
        <w:pStyle w:val="Akapitzlist"/>
        <w:numPr>
          <w:ilvl w:val="0"/>
          <w:numId w:val="26"/>
        </w:num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473">
        <w:rPr>
          <w:rFonts w:ascii="Times New Roman" w:eastAsia="Times New Roman" w:hAnsi="Times New Roman" w:cs="Times New Roman"/>
          <w:b/>
          <w:bCs/>
          <w:sz w:val="24"/>
          <w:szCs w:val="24"/>
        </w:rPr>
        <w:t>Zasilanie i parametry elektryczne</w:t>
      </w:r>
    </w:p>
    <w:p w14:paraId="5B37B7EE" w14:textId="77777777" w:rsidR="00D77367" w:rsidRPr="00D77367" w:rsidRDefault="00D77367" w:rsidP="00C716C4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Napięcie zasilania: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Standardowe 230V / 50Hz, przystosowane do zasilania bezpośrednio z jednofazowego gniazda polowego agregatu prądotwórczego.</w:t>
      </w:r>
    </w:p>
    <w:p w14:paraId="039812C9" w14:textId="77777777" w:rsidR="00D77367" w:rsidRPr="00D77367" w:rsidRDefault="00D77367" w:rsidP="00C716C4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Pobór mocy łączny: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Maksymalnie 600W (zapewniający niski pobór prądu i współpracę z agregatami o różnej mocy z dużym zapasem energetycznym).</w:t>
      </w:r>
    </w:p>
    <w:p w14:paraId="7C155D04" w14:textId="77777777" w:rsidR="00D77367" w:rsidRPr="00D77367" w:rsidRDefault="00D77367" w:rsidP="00C716C4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Przewód zasilający: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O długości minimum</w:t>
      </w:r>
      <w:r w:rsidRPr="0076607B">
        <w:rPr>
          <w:rFonts w:ascii="Times New Roman" w:eastAsia="Times New Roman" w:hAnsi="Times New Roman" w:cs="Times New Roman"/>
          <w:sz w:val="24"/>
          <w:szCs w:val="24"/>
        </w:rPr>
        <w:t xml:space="preserve"> 25 metrów, 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wykonany w izolacji poliuretanowej lub ciężkiej gumowej (typ H07RN-F lub równoważny o podwyższonej odporności na 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uszkodzenia mechaniczne, najechanie, oleje i niskie temperatury), zakończony hermetyczną wtyczką 230V (IP44/IP67). </w:t>
      </w:r>
    </w:p>
    <w:p w14:paraId="5A9E64E7" w14:textId="77777777" w:rsidR="00D77367" w:rsidRPr="00D51473" w:rsidRDefault="00D77367" w:rsidP="00D51473">
      <w:pPr>
        <w:pStyle w:val="Akapitzlist"/>
        <w:numPr>
          <w:ilvl w:val="0"/>
          <w:numId w:val="26"/>
        </w:num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473">
        <w:rPr>
          <w:rFonts w:ascii="Times New Roman" w:eastAsia="Times New Roman" w:hAnsi="Times New Roman" w:cs="Times New Roman"/>
          <w:b/>
          <w:bCs/>
          <w:sz w:val="24"/>
          <w:szCs w:val="24"/>
        </w:rPr>
        <w:t>Przystosowanie do trudnego podłoża i akcesoria stabilizujące</w:t>
      </w:r>
    </w:p>
    <w:p w14:paraId="0991D4E7" w14:textId="77777777" w:rsidR="00D77367" w:rsidRPr="00D77367" w:rsidRDefault="00D77367" w:rsidP="00C716C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sz w:val="24"/>
          <w:szCs w:val="24"/>
        </w:rPr>
        <w:t>W celu zapewnienia bezpieczeństwa pracy na podłożu różnorodnym (asfalt, beton, trawa, piasek), zestaw musi zostać dostarczony wraz z kompletem akcesoriów:</w:t>
      </w:r>
    </w:p>
    <w:p w14:paraId="3AA1535F" w14:textId="77777777" w:rsidR="00D77367" w:rsidRPr="00D77367" w:rsidRDefault="00D77367" w:rsidP="00C716C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Na podłoże miękkie (trawa, piasek):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Stopki statywu muszą posiadać fabryczne otwory kotwiące. W zestawie należy dostarczyć </w:t>
      </w:r>
      <w:r w:rsidR="00407089">
        <w:rPr>
          <w:rFonts w:ascii="Times New Roman" w:eastAsia="Times New Roman" w:hAnsi="Times New Roman" w:cs="Times New Roman"/>
          <w:sz w:val="24"/>
          <w:szCs w:val="24"/>
        </w:rPr>
        <w:t xml:space="preserve">komplet 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>stalowych szpilek/kotw gruntowych do wbijania w ziemię oraz komplet dedykowanych odciągów linowych/pasowych wraz z napinaczami montowanymi do górnej sekcji masztu.</w:t>
      </w:r>
    </w:p>
    <w:p w14:paraId="5A0838DB" w14:textId="77777777" w:rsidR="00D77367" w:rsidRPr="00D77367" w:rsidRDefault="00D77367" w:rsidP="00C716C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Na podłoże twarde (beton, asfalt):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W zestawie należy dostarczyć dedykowane obciążniki stabilizujące (np. elastyczne worki balastowe na piasek montowane na nogi statywu lub dedykowane ciężarki żeliwne) o łącznej masie balastowej minimum 30 kg na zestaw.</w:t>
      </w:r>
    </w:p>
    <w:p w14:paraId="0879FF21" w14:textId="77777777" w:rsidR="00D77367" w:rsidRPr="00D51473" w:rsidRDefault="00D77367" w:rsidP="00D51473">
      <w:pPr>
        <w:pStyle w:val="Akapitzlist"/>
        <w:numPr>
          <w:ilvl w:val="0"/>
          <w:numId w:val="26"/>
        </w:num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473">
        <w:rPr>
          <w:rFonts w:ascii="Times New Roman" w:eastAsia="Times New Roman" w:hAnsi="Times New Roman" w:cs="Times New Roman"/>
          <w:b/>
          <w:bCs/>
          <w:sz w:val="24"/>
          <w:szCs w:val="24"/>
        </w:rPr>
        <w:t>Logistyka i transport</w:t>
      </w:r>
    </w:p>
    <w:p w14:paraId="4B3D5919" w14:textId="77777777" w:rsidR="00D77367" w:rsidRPr="00D77367" w:rsidRDefault="00D77367" w:rsidP="00C716C4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Pokrowce transportowe: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W zestawie należy dostarczyć dedykowane, wodoodporne pokrowce/torby transportowe z uchwytami, oddzielnie na statyw mechaniczny oraz oddzielnie (walizka transportowa lub dedykowana torba ze sztywnym piankowym wypełnieniem) na głowicę oświetleniową LED, chroniące sprzęt przed uszkodzeniem w czasie transportu pojazdem ratowniczym.</w:t>
      </w:r>
    </w:p>
    <w:p w14:paraId="0B8FF232" w14:textId="77777777" w:rsidR="00D77367" w:rsidRPr="00D77367" w:rsidRDefault="00D77367" w:rsidP="00C716C4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Waga transportowa: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Konstrukcja po złożeniu musi umożliwiać łatwy załadunek i rozładunek przez maksymalnie dwie osoby.</w:t>
      </w:r>
    </w:p>
    <w:p w14:paraId="2C4B2109" w14:textId="77777777" w:rsidR="00D77367" w:rsidRPr="00D51473" w:rsidRDefault="00D77367" w:rsidP="00D51473">
      <w:pPr>
        <w:pStyle w:val="Akapitzlist"/>
        <w:numPr>
          <w:ilvl w:val="0"/>
          <w:numId w:val="26"/>
        </w:num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473">
        <w:rPr>
          <w:rFonts w:ascii="Times New Roman" w:eastAsia="Times New Roman" w:hAnsi="Times New Roman" w:cs="Times New Roman"/>
          <w:b/>
          <w:bCs/>
          <w:sz w:val="24"/>
          <w:szCs w:val="24"/>
        </w:rPr>
        <w:t>Gwarancja, certyfikaty i dostawa</w:t>
      </w:r>
    </w:p>
    <w:p w14:paraId="593F2AF0" w14:textId="77777777" w:rsidR="00D77367" w:rsidRPr="00D77367" w:rsidRDefault="00D77367" w:rsidP="00C716C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Gwarancja: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Minimum 24 miesiące na cały zestaw.</w:t>
      </w:r>
    </w:p>
    <w:p w14:paraId="675F1CC4" w14:textId="77777777" w:rsidR="00D77367" w:rsidRPr="00D77367" w:rsidRDefault="00D77367" w:rsidP="00C716C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>Certyfikacja:</w:t>
      </w:r>
      <w:r w:rsidRPr="00D77367">
        <w:rPr>
          <w:rFonts w:ascii="Times New Roman" w:eastAsia="Times New Roman" w:hAnsi="Times New Roman" w:cs="Times New Roman"/>
          <w:sz w:val="24"/>
          <w:szCs w:val="24"/>
        </w:rPr>
        <w:t xml:space="preserve"> Produkt musi nowy posiadać deklarację zgodności CE. Konstrukcja masztu i windy musi spełniać aktualne normy bezpieczeństwa dla urządzeń podnoszących (np. dyrektywa maszynowa, DGUV 17/18 lub równoważne normy </w:t>
      </w:r>
    </w:p>
    <w:p w14:paraId="46DF7467" w14:textId="36CB0E46" w:rsidR="00D77367" w:rsidRPr="00D77367" w:rsidRDefault="00D77367" w:rsidP="00C716C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3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Dostawa: </w:t>
      </w:r>
      <w:r w:rsidRPr="00D77367">
        <w:rPr>
          <w:rFonts w:ascii="Times New Roman" w:eastAsia="Times New Roman" w:hAnsi="Times New Roman" w:cs="Times New Roman"/>
          <w:bCs/>
          <w:sz w:val="24"/>
          <w:szCs w:val="24"/>
        </w:rPr>
        <w:t>Na koszt Wykonawcy</w:t>
      </w:r>
      <w:r w:rsidR="0083102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831027" w:rsidRPr="00831027">
        <w:rPr>
          <w:rFonts w:ascii="Times New Roman" w:eastAsia="Times New Roman" w:hAnsi="Times New Roman" w:cs="Times New Roman"/>
          <w:bCs/>
          <w:sz w:val="24"/>
          <w:szCs w:val="24"/>
        </w:rPr>
        <w:t>Loco: 78-425 Biały Bór.</w:t>
      </w:r>
    </w:p>
    <w:p w14:paraId="05816E29" w14:textId="77777777" w:rsidR="00D77367" w:rsidRPr="00D77367" w:rsidRDefault="00D77367" w:rsidP="00C716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6BCD19" w14:textId="77777777" w:rsidR="004A767F" w:rsidRPr="00FB2140" w:rsidRDefault="004A767F" w:rsidP="00C716C4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A767F" w:rsidRPr="00FB2140" w:rsidSect="00FB2140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0B51F" w14:textId="77777777" w:rsidR="00AA7220" w:rsidRDefault="00AA7220" w:rsidP="006600B5">
      <w:pPr>
        <w:spacing w:after="0" w:line="240" w:lineRule="auto"/>
      </w:pPr>
      <w:r>
        <w:separator/>
      </w:r>
    </w:p>
  </w:endnote>
  <w:endnote w:type="continuationSeparator" w:id="0">
    <w:p w14:paraId="726FB3C0" w14:textId="77777777" w:rsidR="00AA7220" w:rsidRDefault="00AA7220" w:rsidP="00660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F89B6" w14:textId="77777777" w:rsidR="00AA7220" w:rsidRDefault="00AA7220" w:rsidP="006600B5">
      <w:pPr>
        <w:spacing w:after="0" w:line="240" w:lineRule="auto"/>
      </w:pPr>
      <w:r>
        <w:separator/>
      </w:r>
    </w:p>
  </w:footnote>
  <w:footnote w:type="continuationSeparator" w:id="0">
    <w:p w14:paraId="6A721E5F" w14:textId="77777777" w:rsidR="00AA7220" w:rsidRDefault="00AA7220" w:rsidP="00660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4AF8" w14:textId="77777777" w:rsidR="005C1088" w:rsidRDefault="005C1088">
    <w:pPr>
      <w:pStyle w:val="Nagwek"/>
    </w:pPr>
    <w:r w:rsidRPr="005C1088">
      <w:rPr>
        <w:noProof/>
      </w:rPr>
      <w:drawing>
        <wp:inline distT="0" distB="0" distL="0" distR="0" wp14:anchorId="14C6BE9E" wp14:editId="278B6ED2">
          <wp:extent cx="4933950" cy="990600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050" t="36765" r="331" b="32648"/>
                  <a:stretch>
                    <a:fillRect/>
                  </a:stretch>
                </pic:blipFill>
                <pic:spPr bwMode="auto">
                  <a:xfrm>
                    <a:off x="0" y="0"/>
                    <a:ext cx="49339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D4F0879" w14:textId="77777777" w:rsidR="005C1088" w:rsidRDefault="005C10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7C7"/>
    <w:multiLevelType w:val="hybridMultilevel"/>
    <w:tmpl w:val="5F6E832E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7F3E"/>
    <w:multiLevelType w:val="multilevel"/>
    <w:tmpl w:val="773C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E19FA"/>
    <w:multiLevelType w:val="multilevel"/>
    <w:tmpl w:val="966E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23407"/>
    <w:multiLevelType w:val="multilevel"/>
    <w:tmpl w:val="5954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D3AE7"/>
    <w:multiLevelType w:val="hybridMultilevel"/>
    <w:tmpl w:val="35AC4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106C6"/>
    <w:multiLevelType w:val="multilevel"/>
    <w:tmpl w:val="0544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EA0B2F"/>
    <w:multiLevelType w:val="multilevel"/>
    <w:tmpl w:val="7C74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C02B33"/>
    <w:multiLevelType w:val="multilevel"/>
    <w:tmpl w:val="07AE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FB0F3E"/>
    <w:multiLevelType w:val="hybridMultilevel"/>
    <w:tmpl w:val="9796CFA8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B5DFD"/>
    <w:multiLevelType w:val="hybridMultilevel"/>
    <w:tmpl w:val="771AA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053DA"/>
    <w:multiLevelType w:val="multilevel"/>
    <w:tmpl w:val="37DC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64326"/>
    <w:multiLevelType w:val="hybridMultilevel"/>
    <w:tmpl w:val="97CE4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F24DD"/>
    <w:multiLevelType w:val="multilevel"/>
    <w:tmpl w:val="F188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9C08F0"/>
    <w:multiLevelType w:val="multilevel"/>
    <w:tmpl w:val="3C3A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D918A1"/>
    <w:multiLevelType w:val="hybridMultilevel"/>
    <w:tmpl w:val="306ADB9A"/>
    <w:lvl w:ilvl="0" w:tplc="6C9E4E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AE3F48"/>
    <w:multiLevelType w:val="multilevel"/>
    <w:tmpl w:val="C9F8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8A307F"/>
    <w:multiLevelType w:val="multilevel"/>
    <w:tmpl w:val="5108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3C582A"/>
    <w:multiLevelType w:val="multilevel"/>
    <w:tmpl w:val="3A52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D37217"/>
    <w:multiLevelType w:val="multilevel"/>
    <w:tmpl w:val="3E1A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1468A3"/>
    <w:multiLevelType w:val="multilevel"/>
    <w:tmpl w:val="F49A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86307"/>
    <w:multiLevelType w:val="multilevel"/>
    <w:tmpl w:val="A678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71544"/>
    <w:multiLevelType w:val="hybridMultilevel"/>
    <w:tmpl w:val="B4244DDC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82DBC"/>
    <w:multiLevelType w:val="multilevel"/>
    <w:tmpl w:val="9A00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A216CB"/>
    <w:multiLevelType w:val="multilevel"/>
    <w:tmpl w:val="2496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A727F"/>
    <w:multiLevelType w:val="multilevel"/>
    <w:tmpl w:val="89D4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B95739"/>
    <w:multiLevelType w:val="hybridMultilevel"/>
    <w:tmpl w:val="430EF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810905">
    <w:abstractNumId w:val="9"/>
  </w:num>
  <w:num w:numId="2" w16cid:durableId="1062174090">
    <w:abstractNumId w:val="25"/>
  </w:num>
  <w:num w:numId="3" w16cid:durableId="1306548370">
    <w:abstractNumId w:val="21"/>
  </w:num>
  <w:num w:numId="4" w16cid:durableId="276833931">
    <w:abstractNumId w:val="8"/>
  </w:num>
  <w:num w:numId="5" w16cid:durableId="318273718">
    <w:abstractNumId w:val="14"/>
  </w:num>
  <w:num w:numId="6" w16cid:durableId="156194320">
    <w:abstractNumId w:val="0"/>
  </w:num>
  <w:num w:numId="7" w16cid:durableId="1435517059">
    <w:abstractNumId w:val="11"/>
  </w:num>
  <w:num w:numId="8" w16cid:durableId="722025344">
    <w:abstractNumId w:val="3"/>
  </w:num>
  <w:num w:numId="9" w16cid:durableId="762409592">
    <w:abstractNumId w:val="18"/>
  </w:num>
  <w:num w:numId="10" w16cid:durableId="995954191">
    <w:abstractNumId w:val="20"/>
  </w:num>
  <w:num w:numId="11" w16cid:durableId="226109036">
    <w:abstractNumId w:val="10"/>
  </w:num>
  <w:num w:numId="12" w16cid:durableId="451216807">
    <w:abstractNumId w:val="16"/>
  </w:num>
  <w:num w:numId="13" w16cid:durableId="888959854">
    <w:abstractNumId w:val="24"/>
  </w:num>
  <w:num w:numId="14" w16cid:durableId="702022012">
    <w:abstractNumId w:val="22"/>
  </w:num>
  <w:num w:numId="15" w16cid:durableId="1357654842">
    <w:abstractNumId w:val="15"/>
  </w:num>
  <w:num w:numId="16" w16cid:durableId="763888573">
    <w:abstractNumId w:val="7"/>
  </w:num>
  <w:num w:numId="17" w16cid:durableId="1830779965">
    <w:abstractNumId w:val="5"/>
  </w:num>
  <w:num w:numId="18" w16cid:durableId="788861192">
    <w:abstractNumId w:val="1"/>
  </w:num>
  <w:num w:numId="19" w16cid:durableId="732855521">
    <w:abstractNumId w:val="13"/>
  </w:num>
  <w:num w:numId="20" w16cid:durableId="673142031">
    <w:abstractNumId w:val="12"/>
  </w:num>
  <w:num w:numId="21" w16cid:durableId="740835841">
    <w:abstractNumId w:val="17"/>
  </w:num>
  <w:num w:numId="22" w16cid:durableId="1322469096">
    <w:abstractNumId w:val="6"/>
  </w:num>
  <w:num w:numId="23" w16cid:durableId="967392061">
    <w:abstractNumId w:val="19"/>
  </w:num>
  <w:num w:numId="24" w16cid:durableId="64383026">
    <w:abstractNumId w:val="23"/>
  </w:num>
  <w:num w:numId="25" w16cid:durableId="1017731848">
    <w:abstractNumId w:val="2"/>
  </w:num>
  <w:num w:numId="26" w16cid:durableId="479345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FC1"/>
    <w:rsid w:val="00031022"/>
    <w:rsid w:val="00043B1C"/>
    <w:rsid w:val="00052B3D"/>
    <w:rsid w:val="00063752"/>
    <w:rsid w:val="00066021"/>
    <w:rsid w:val="0006638E"/>
    <w:rsid w:val="00070BF1"/>
    <w:rsid w:val="000A2F9E"/>
    <w:rsid w:val="000A6BEE"/>
    <w:rsid w:val="000F13A0"/>
    <w:rsid w:val="0011142C"/>
    <w:rsid w:val="00114082"/>
    <w:rsid w:val="00131AD7"/>
    <w:rsid w:val="00135D32"/>
    <w:rsid w:val="00155F99"/>
    <w:rsid w:val="001A0335"/>
    <w:rsid w:val="00227C70"/>
    <w:rsid w:val="00234BBF"/>
    <w:rsid w:val="0023735B"/>
    <w:rsid w:val="002405EF"/>
    <w:rsid w:val="0025298E"/>
    <w:rsid w:val="00286397"/>
    <w:rsid w:val="00291453"/>
    <w:rsid w:val="0030114A"/>
    <w:rsid w:val="003072CB"/>
    <w:rsid w:val="00346176"/>
    <w:rsid w:val="00375A7A"/>
    <w:rsid w:val="00390D35"/>
    <w:rsid w:val="003954F0"/>
    <w:rsid w:val="003A1ED1"/>
    <w:rsid w:val="003C02C1"/>
    <w:rsid w:val="003D0571"/>
    <w:rsid w:val="003E31A7"/>
    <w:rsid w:val="004014E6"/>
    <w:rsid w:val="004016E1"/>
    <w:rsid w:val="00407089"/>
    <w:rsid w:val="0043704F"/>
    <w:rsid w:val="00445A56"/>
    <w:rsid w:val="0045327C"/>
    <w:rsid w:val="0045762B"/>
    <w:rsid w:val="004635C6"/>
    <w:rsid w:val="00472BD8"/>
    <w:rsid w:val="00477153"/>
    <w:rsid w:val="004A767F"/>
    <w:rsid w:val="004B29A0"/>
    <w:rsid w:val="004C0FB5"/>
    <w:rsid w:val="004C1FC1"/>
    <w:rsid w:val="004C7AFD"/>
    <w:rsid w:val="004E4D67"/>
    <w:rsid w:val="005374B6"/>
    <w:rsid w:val="00540ECE"/>
    <w:rsid w:val="00580B54"/>
    <w:rsid w:val="005C1088"/>
    <w:rsid w:val="005D4C46"/>
    <w:rsid w:val="005E4CF7"/>
    <w:rsid w:val="005F3D72"/>
    <w:rsid w:val="0062426D"/>
    <w:rsid w:val="0063531D"/>
    <w:rsid w:val="006600B5"/>
    <w:rsid w:val="00663B3D"/>
    <w:rsid w:val="00686E65"/>
    <w:rsid w:val="006D431B"/>
    <w:rsid w:val="006D54C7"/>
    <w:rsid w:val="00710C72"/>
    <w:rsid w:val="007239E1"/>
    <w:rsid w:val="00730AA7"/>
    <w:rsid w:val="007370A9"/>
    <w:rsid w:val="007630C0"/>
    <w:rsid w:val="0076607B"/>
    <w:rsid w:val="00802EDD"/>
    <w:rsid w:val="008155DE"/>
    <w:rsid w:val="00831027"/>
    <w:rsid w:val="008322B0"/>
    <w:rsid w:val="00854901"/>
    <w:rsid w:val="00876BCF"/>
    <w:rsid w:val="00884DA0"/>
    <w:rsid w:val="008864F9"/>
    <w:rsid w:val="00895A0B"/>
    <w:rsid w:val="008B4DB6"/>
    <w:rsid w:val="008C227C"/>
    <w:rsid w:val="008C6270"/>
    <w:rsid w:val="008E1C3C"/>
    <w:rsid w:val="008E5B81"/>
    <w:rsid w:val="008F0872"/>
    <w:rsid w:val="00907E0F"/>
    <w:rsid w:val="009558DC"/>
    <w:rsid w:val="00956E9C"/>
    <w:rsid w:val="009826D5"/>
    <w:rsid w:val="009C612C"/>
    <w:rsid w:val="00A072E3"/>
    <w:rsid w:val="00A135DB"/>
    <w:rsid w:val="00A24EB7"/>
    <w:rsid w:val="00A25809"/>
    <w:rsid w:val="00A37153"/>
    <w:rsid w:val="00A507C5"/>
    <w:rsid w:val="00A701C1"/>
    <w:rsid w:val="00A71313"/>
    <w:rsid w:val="00A83791"/>
    <w:rsid w:val="00AA7220"/>
    <w:rsid w:val="00AC7E73"/>
    <w:rsid w:val="00AD2CE7"/>
    <w:rsid w:val="00AF1107"/>
    <w:rsid w:val="00AF25CB"/>
    <w:rsid w:val="00B33E65"/>
    <w:rsid w:val="00B342AC"/>
    <w:rsid w:val="00B364A2"/>
    <w:rsid w:val="00B37ED0"/>
    <w:rsid w:val="00B423AC"/>
    <w:rsid w:val="00B92C97"/>
    <w:rsid w:val="00BB789B"/>
    <w:rsid w:val="00C03A95"/>
    <w:rsid w:val="00C06B47"/>
    <w:rsid w:val="00C716C4"/>
    <w:rsid w:val="00C774E4"/>
    <w:rsid w:val="00C9240F"/>
    <w:rsid w:val="00CC4081"/>
    <w:rsid w:val="00CC7F89"/>
    <w:rsid w:val="00CD2EEA"/>
    <w:rsid w:val="00D06CFC"/>
    <w:rsid w:val="00D11C73"/>
    <w:rsid w:val="00D51473"/>
    <w:rsid w:val="00D51DDD"/>
    <w:rsid w:val="00D77367"/>
    <w:rsid w:val="00DA7DC3"/>
    <w:rsid w:val="00DB028E"/>
    <w:rsid w:val="00DB422A"/>
    <w:rsid w:val="00DC0C2F"/>
    <w:rsid w:val="00DD53C6"/>
    <w:rsid w:val="00E311D4"/>
    <w:rsid w:val="00EB3B7F"/>
    <w:rsid w:val="00EE0700"/>
    <w:rsid w:val="00EF5458"/>
    <w:rsid w:val="00F04302"/>
    <w:rsid w:val="00F2398D"/>
    <w:rsid w:val="00F80693"/>
    <w:rsid w:val="00F875F4"/>
    <w:rsid w:val="00FA39FA"/>
    <w:rsid w:val="00FA6CD0"/>
    <w:rsid w:val="00FB2140"/>
    <w:rsid w:val="00FC420E"/>
    <w:rsid w:val="00FC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98B1"/>
  <w15:docId w15:val="{4BED7D5D-E222-4F08-B7D1-4F2EC3B0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CF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0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00B5"/>
  </w:style>
  <w:style w:type="paragraph" w:styleId="Stopka">
    <w:name w:val="footer"/>
    <w:basedOn w:val="Normalny"/>
    <w:link w:val="StopkaZnak"/>
    <w:uiPriority w:val="99"/>
    <w:semiHidden/>
    <w:unhideWhenUsed/>
    <w:rsid w:val="00660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00B5"/>
  </w:style>
  <w:style w:type="paragraph" w:styleId="Tekstdymka">
    <w:name w:val="Balloon Text"/>
    <w:basedOn w:val="Normalny"/>
    <w:link w:val="TekstdymkaZnak"/>
    <w:uiPriority w:val="99"/>
    <w:semiHidden/>
    <w:unhideWhenUsed/>
    <w:rsid w:val="0066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0B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408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A767F"/>
    <w:rPr>
      <w:b/>
      <w:bCs/>
    </w:rPr>
  </w:style>
  <w:style w:type="character" w:styleId="Uwydatnienie">
    <w:name w:val="Emphasis"/>
    <w:basedOn w:val="Domylnaczcionkaakapitu"/>
    <w:uiPriority w:val="20"/>
    <w:qFormat/>
    <w:rsid w:val="004A767F"/>
    <w:rPr>
      <w:i/>
      <w:iCs/>
    </w:rPr>
  </w:style>
  <w:style w:type="character" w:customStyle="1" w:styleId="t286pc">
    <w:name w:val="t286pc"/>
    <w:basedOn w:val="Domylnaczcionkaakapitu"/>
    <w:rsid w:val="004A7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8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789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8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66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3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45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29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6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8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88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1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04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3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94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Dawid Olejnik</cp:lastModifiedBy>
  <cp:revision>28</cp:revision>
  <cp:lastPrinted>2026-06-29T10:29:00Z</cp:lastPrinted>
  <dcterms:created xsi:type="dcterms:W3CDTF">2026-06-24T08:51:00Z</dcterms:created>
  <dcterms:modified xsi:type="dcterms:W3CDTF">2026-08-25T07:42:00Z</dcterms:modified>
</cp:coreProperties>
</file>