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uppressAutoHyphens w:val="false"/>
        <w:spacing w:before="1134" w:after="567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Załącznik nr 1 do umowy nr……..</w:t>
      </w:r>
      <w:r>
        <w:rPr>
          <w:rFonts w:ascii="Arial" w:hAnsi="Arial"/>
          <w:b/>
          <w:bCs/>
          <w:sz w:val="28"/>
          <w:szCs w:val="28"/>
        </w:rPr>
        <w:t>z dnia…...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P</w:t>
      </w:r>
      <w:r>
        <w:rPr>
          <w:b/>
          <w:bCs/>
        </w:rPr>
        <w:t>rzedmiot zamówienia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Przedmiot zamówienia obejmuje:</w:t>
      </w:r>
    </w:p>
    <w:p>
      <w:pPr>
        <w:pStyle w:val="Normal"/>
        <w:numPr>
          <w:ilvl w:val="2"/>
          <w:numId w:val="26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>
        <w:rPr>
          <w:rFonts w:ascii="Times New Roman" w:hAnsi="Times New Roman"/>
          <w:sz w:val="24"/>
          <w:szCs w:val="24"/>
        </w:rPr>
        <w:t xml:space="preserve">projektu budowlanego: </w:t>
      </w:r>
      <w:r>
        <w:rPr>
          <w:rFonts w:ascii="Times New Roman" w:hAnsi="Times New Roman"/>
          <w:sz w:val="24"/>
          <w:szCs w:val="24"/>
        </w:rPr>
        <w:t>zagospodarowania terenu, architektoniczno budowlanego</w:t>
      </w:r>
      <w:r>
        <w:rPr>
          <w:rFonts w:ascii="Times New Roman" w:hAnsi="Times New Roman"/>
          <w:sz w:val="24"/>
          <w:szCs w:val="24"/>
        </w:rPr>
        <w:t xml:space="preserve"> oraz technicznego, spełniającego wymogi projektu wykonawczego, zgodnie z wymogami zawartymi w </w:t>
      </w:r>
      <w:r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ozporządzeni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Ministra Rozwoju i Technologii</w:t>
      </w:r>
      <w:r>
        <w:rPr>
          <w:rFonts w:ascii="Times New Roman" w:hAnsi="Times New Roman"/>
          <w:b w:val="false"/>
          <w:bCs w:val="false"/>
          <w:color w:val="000000"/>
          <w:sz w:val="24"/>
          <w:szCs w:val="24"/>
        </w:rPr>
        <w:t xml:space="preserve"> w sprawie szczegółowego zakresu i formy dokumentacji projektowej, specyfikacji technicznych wykonania i odbioru robót budowlanych oraz programu funkcjonalno-użytkowego,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</w:t>
      </w:r>
      <w:r>
        <w:rPr>
          <w:rFonts w:ascii="Times New Roman" w:hAnsi="Times New Roman"/>
          <w:sz w:val="24"/>
          <w:szCs w:val="24"/>
        </w:rPr>
        <w:t>szczegółowego</w:t>
      </w:r>
      <w:r>
        <w:rPr>
          <w:rFonts w:ascii="Times New Roman" w:hAnsi="Times New Roman"/>
          <w:sz w:val="24"/>
          <w:szCs w:val="24"/>
        </w:rPr>
        <w:t xml:space="preserve"> kosztorys</w:t>
      </w:r>
      <w:r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Inwestorski</w:t>
      </w:r>
      <w:r>
        <w:rPr>
          <w:rFonts w:ascii="Times New Roman" w:hAnsi="Times New Roman"/>
          <w:sz w:val="24"/>
          <w:szCs w:val="24"/>
        </w:rPr>
        <w:t>ego wraz z przedmiarem robót</w:t>
      </w:r>
      <w:r>
        <w:rPr>
          <w:rFonts w:ascii="Times New Roman" w:hAnsi="Times New Roman"/>
          <w:sz w:val="24"/>
          <w:szCs w:val="24"/>
        </w:rPr>
        <w:t>,</w:t>
      </w:r>
    </w:p>
    <w:p>
      <w:pPr>
        <w:pStyle w:val="Normal"/>
        <w:numPr>
          <w:ilvl w:val="2"/>
          <w:numId w:val="4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specyfikacji techniczn</w:t>
      </w:r>
      <w:r>
        <w:rPr>
          <w:rFonts w:ascii="Times New Roman" w:hAnsi="Times New Roman"/>
          <w:sz w:val="24"/>
          <w:szCs w:val="24"/>
        </w:rPr>
        <w:t>ej,</w:t>
      </w:r>
    </w:p>
    <w:p>
      <w:pPr>
        <w:pStyle w:val="Normal"/>
        <w:numPr>
          <w:ilvl w:val="2"/>
          <w:numId w:val="5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</w:rPr>
        <w:t>opracowanie dokumentacji geotechniczn</w:t>
      </w:r>
      <w:r>
        <w:rPr>
          <w:rFonts w:ascii="Times New Roman" w:hAnsi="Times New Roman"/>
        </w:rPr>
        <w:t>ej,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opracowanie planu gospodarki zielenią,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opracowanie czasowej oraz docelowej organizacji ruchu, </w:t>
      </w:r>
      <w:r>
        <w:rPr>
          <w:rFonts w:ascii="Times New Roman" w:hAnsi="Times New Roman"/>
          <w:sz w:val="24"/>
          <w:szCs w:val="24"/>
        </w:rPr>
        <w:t>wraz z decyzją zatwierdzającą,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</w:t>
      </w:r>
      <w:r>
        <w:rPr>
          <w:rFonts w:ascii="Times New Roman" w:hAnsi="Times New Roman"/>
          <w:sz w:val="24"/>
          <w:szCs w:val="24"/>
        </w:rPr>
        <w:t>map</w:t>
      </w:r>
      <w:r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do celów projektowych,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operatu wodnoprawnego, wraz z uzyskaniem pozwolenia wodnoprawnego,</w:t>
      </w:r>
    </w:p>
    <w:p>
      <w:pPr>
        <w:pStyle w:val="Normal"/>
        <w:numPr>
          <w:ilvl w:val="2"/>
          <w:numId w:val="6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  <w:shd w:fill="auto" w:val="clear"/>
        </w:rPr>
      </w:pPr>
      <w:r>
        <w:rPr>
          <w:rFonts w:ascii="Times New Roman" w:hAnsi="Times New Roman"/>
          <w:sz w:val="24"/>
          <w:szCs w:val="24"/>
          <w:shd w:fill="auto" w:val="clear"/>
        </w:rPr>
        <w:t xml:space="preserve">uzyskanie prawomocnej decyzji zezwalającej na realizacje zadania, jeżeli w trakcie </w:t>
      </w:r>
      <w:r>
        <w:rPr>
          <w:rFonts w:ascii="Times New Roman" w:hAnsi="Times New Roman"/>
          <w:sz w:val="24"/>
          <w:szCs w:val="24"/>
          <w:shd w:fill="auto" w:val="clear"/>
        </w:rPr>
        <w:t>trwania prac projektowych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okaże się, że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zakres projektowy wykracza poza działki będące w zarządzie Zamawiającego, należy uzyskać decyzję </w:t>
      </w:r>
      <w:r>
        <w:rPr>
          <w:rFonts w:ascii="Times New Roman" w:hAnsi="Times New Roman"/>
          <w:sz w:val="24"/>
          <w:szCs w:val="24"/>
          <w:shd w:fill="auto" w:val="clear"/>
        </w:rPr>
        <w:t>zezw</w:t>
      </w:r>
      <w:r>
        <w:rPr>
          <w:rFonts w:ascii="Times New Roman" w:hAnsi="Times New Roman"/>
          <w:sz w:val="24"/>
          <w:szCs w:val="24"/>
          <w:shd w:fill="auto" w:val="clear"/>
        </w:rPr>
        <w:t>alającą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na realizację inwestycji drogowej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(ZRID) zgodnie z ustawą 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z dnia 10 kwietnia 2003 roku, </w:t>
      </w:r>
      <w:r>
        <w:rPr>
          <w:rFonts w:ascii="Times New Roman" w:hAnsi="Times New Roman"/>
          <w:sz w:val="24"/>
          <w:szCs w:val="24"/>
          <w:shd w:fill="auto" w:val="clear"/>
        </w:rPr>
        <w:t>o szczególnych zasadach przygotowania i realizacji inwestycji w zakresie dróg publicznych.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założenie dziennika budowy,</w:t>
      </w:r>
    </w:p>
    <w:p>
      <w:pPr>
        <w:pStyle w:val="Normal"/>
        <w:numPr>
          <w:ilvl w:val="2"/>
          <w:numId w:val="3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porządzenie oświadczenia dla każdej z branż, przez projektanta i sprawdzającego, zgodnie z wymogami ustawy Prawo Budowlane, o sporządzeniu projektu technicznego.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Dla następującego zadania:</w:t>
      </w:r>
    </w:p>
    <w:p>
      <w:pPr>
        <w:pStyle w:val="Normal"/>
        <w:numPr>
          <w:ilvl w:val="0"/>
          <w:numId w:val="0"/>
        </w:numPr>
        <w:tabs>
          <w:tab w:val="clear" w:pos="709"/>
        </w:tabs>
        <w:suppressAutoHyphens w:val="false"/>
        <w:bidi w:val="0"/>
        <w:spacing w:before="0" w:after="102"/>
        <w:ind w:hanging="0" w:start="720"/>
        <w:jc w:val="start"/>
        <w:rPr>
          <w:rFonts w:ascii="Times New Roman" w:hAnsi="Times New Roman" w:eastAsia="Times New Roman" w:cs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</w:pPr>
      <w:r>
        <w:rPr>
          <w:rFonts w:eastAsia="Times New Roman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 xml:space="preserve">Odbudowa dwóch murów oporowych w ciągu drogi powiatowej nr 1407S Tresna - Roztoka </w:t>
      </w:r>
      <w:r>
        <w:rPr>
          <w:rFonts w:eastAsia="Times New Roman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 xml:space="preserve">w km </w:t>
      </w:r>
      <w:r>
        <w:rPr>
          <w:rFonts w:eastAsia="Times New Roman" w:cs="Times New Roman" w:ascii="Times New Roman" w:hAnsi="Times New Roman"/>
          <w:b/>
          <w:bCs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</w:rPr>
        <w:t>1+582 do km 1+675 w Czernichowie.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pracowania </w:t>
      </w:r>
      <w:r>
        <w:rPr>
          <w:rFonts w:ascii="Times New Roman" w:hAnsi="Times New Roman"/>
          <w:sz w:val="24"/>
          <w:szCs w:val="24"/>
        </w:rPr>
        <w:t xml:space="preserve">należy </w:t>
      </w:r>
      <w:r>
        <w:rPr>
          <w:rFonts w:ascii="Times New Roman" w:hAnsi="Times New Roman"/>
          <w:sz w:val="24"/>
          <w:szCs w:val="24"/>
        </w:rPr>
        <w:t>wykonać</w:t>
      </w:r>
      <w:r>
        <w:rPr>
          <w:rFonts w:ascii="Times New Roman" w:hAnsi="Times New Roman"/>
          <w:sz w:val="24"/>
          <w:szCs w:val="24"/>
        </w:rPr>
        <w:t xml:space="preserve"> zgodnie z wymogami </w:t>
      </w:r>
      <w:r>
        <w:rPr>
          <w:rFonts w:ascii="Times New Roman" w:hAnsi="Times New Roman"/>
          <w:sz w:val="24"/>
          <w:szCs w:val="24"/>
        </w:rPr>
        <w:t xml:space="preserve">polskiego </w:t>
      </w:r>
      <w:r>
        <w:rPr>
          <w:rFonts w:ascii="Times New Roman" w:hAnsi="Times New Roman"/>
          <w:sz w:val="24"/>
          <w:szCs w:val="24"/>
        </w:rPr>
        <w:t xml:space="preserve">prawa, </w:t>
      </w:r>
      <w:r>
        <w:rPr>
          <w:rFonts w:ascii="Times New Roman" w:hAnsi="Times New Roman"/>
          <w:sz w:val="24"/>
          <w:szCs w:val="24"/>
        </w:rPr>
        <w:t xml:space="preserve">polskimi normami, </w:t>
      </w:r>
      <w:r>
        <w:rPr>
          <w:rFonts w:ascii="Times New Roman" w:hAnsi="Times New Roman"/>
          <w:sz w:val="24"/>
          <w:szCs w:val="24"/>
        </w:rPr>
        <w:t>w szczególności zgodnie z: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ustawą z dnia 7 lipca 1994r prawo budowlane,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ustaw</w:t>
      </w:r>
      <w:r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z dnia 16 kwietni</w:t>
      </w:r>
      <w:r>
        <w:rPr>
          <w:rFonts w:ascii="Times New Roman" w:hAnsi="Times New Roman"/>
          <w:b w:val="false"/>
          <w:bCs w:val="false"/>
          <w:sz w:val="24"/>
          <w:szCs w:val="24"/>
        </w:rPr>
        <w:t>a 2004r o ochronie przyrody,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ustawą </w:t>
      </w:r>
      <w:r>
        <w:rPr>
          <w:rFonts w:ascii="Times New Roman" w:hAnsi="Times New Roman"/>
          <w:sz w:val="23"/>
          <w:szCs w:val="24"/>
        </w:rPr>
        <w:t>z dnia 11 września 2019</w:t>
      </w:r>
      <w:r>
        <w:rPr>
          <w:rFonts w:ascii="Times New Roman" w:hAnsi="Times New Roman"/>
          <w:sz w:val="23"/>
          <w:szCs w:val="24"/>
        </w:rPr>
        <w:t>r</w:t>
      </w:r>
      <w:r>
        <w:rPr>
          <w:rFonts w:ascii="Times New Roman" w:hAnsi="Times New Roman"/>
          <w:sz w:val="23"/>
          <w:szCs w:val="24"/>
        </w:rPr>
        <w:t xml:space="preserve"> prawo zamówień publicznych,</w:t>
      </w:r>
    </w:p>
    <w:p>
      <w:pPr>
        <w:pStyle w:val="Normal"/>
        <w:numPr>
          <w:ilvl w:val="2"/>
          <w:numId w:val="7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sz w:val="23"/>
          <w:szCs w:val="24"/>
        </w:rPr>
        <w:t>u</w:t>
      </w:r>
      <w:r>
        <w:rPr>
          <w:rFonts w:ascii="Times New Roman" w:hAnsi="Times New Roman"/>
          <w:sz w:val="23"/>
          <w:szCs w:val="24"/>
        </w:rPr>
        <w:t>stawą z dnia 20 lipca 2017r prawo wodne,</w:t>
      </w:r>
    </w:p>
    <w:p>
      <w:pPr>
        <w:pStyle w:val="Heading2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r</w:t>
      </w:r>
      <w:r>
        <w:rPr>
          <w:rFonts w:ascii="Times New Roman" w:hAnsi="Times New Roman"/>
          <w:b w:val="false"/>
          <w:bCs w:val="false"/>
          <w:sz w:val="24"/>
          <w:szCs w:val="24"/>
        </w:rPr>
        <w:t>ozporządzenie</w:t>
      </w:r>
      <w:r>
        <w:rPr>
          <w:rFonts w:ascii="Times New Roman" w:hAnsi="Times New Roman"/>
          <w:b w:val="false"/>
          <w:bCs w:val="false"/>
          <w:sz w:val="24"/>
          <w:szCs w:val="24"/>
        </w:rPr>
        <w:t>m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Ministra Rozwoju z dnia 11 września 2020 r. w sprawie szczegółowego zakresu i formy projektu budowlanego,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r</w:t>
      </w:r>
      <w:r>
        <w:rPr>
          <w:rFonts w:ascii="Times New Roman" w:hAnsi="Times New Roman"/>
          <w:b w:val="false"/>
          <w:bCs w:val="false"/>
          <w:sz w:val="24"/>
          <w:szCs w:val="24"/>
        </w:rPr>
        <w:t>ozporządzenie</w:t>
      </w:r>
      <w:r>
        <w:rPr>
          <w:rFonts w:ascii="Times New Roman" w:hAnsi="Times New Roman"/>
          <w:b w:val="false"/>
          <w:bCs w:val="false"/>
          <w:sz w:val="24"/>
          <w:szCs w:val="24"/>
        </w:rPr>
        <w:t>m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Ministra Rozwoju i Technologii z dnia 20 grudnia 2021 r. w sprawie szczegółowego zakresu i form</w:t>
      </w:r>
      <w:r>
        <w:rPr>
          <w:rFonts w:ascii="Times New Roman" w:hAnsi="Times New Roman"/>
        </w:rPr>
        <w:t>y dokumentacji projektowej, specyfikacji technicznych wykonania i odbioru robót budowlanych oraz programu funkcjonalno-użytkowego,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ozporządzenie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Ministra Infrastruktury z dnia 24 czerwca 2022 r. w sprawie przepisów techniczno - budowlanych dotyczących dróg publicznych,</w:t>
      </w:r>
    </w:p>
    <w:p>
      <w:pPr>
        <w:pStyle w:val="Normal"/>
        <w:numPr>
          <w:ilvl w:val="2"/>
          <w:numId w:val="8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ozporządzenie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 xml:space="preserve"> Ministra Rozwoju i Technologii z dnia 20 grudnia 2021 r. w sprawie określenia metod i podstaw sporządz</w:t>
      </w:r>
      <w:r>
        <w:rPr/>
        <w:t>ania kosztorysu inwestorskiego, obliczania planowanych kosztów prac projektowych oraz planowanych kosztów robót budowlanych określonych w programie funkcjonalno-użytkowym,</w:t>
      </w:r>
    </w:p>
    <w:p>
      <w:pPr>
        <w:pStyle w:val="Normal"/>
        <w:numPr>
          <w:ilvl w:val="2"/>
          <w:numId w:val="9"/>
        </w:numPr>
        <w:suppressAutoHyphens w:val="false"/>
        <w:spacing w:lineRule="auto" w:line="276" w:before="0" w:after="113"/>
        <w:rPr/>
      </w:pPr>
      <w:r>
        <w:rPr/>
        <w:t>rozporządzeniem Ministra Infrastruktury z dnia 23 czerwca 2003r. W sprawie informacji dotyczącej bezpieczeństwa i ochrony zdrowia oraz planu bezpieczeństwa i ochrony zdrowia.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W</w:t>
      </w:r>
      <w:r>
        <w:rPr>
          <w:b/>
          <w:bCs/>
        </w:rPr>
        <w:t>ymogi techniczne dla przedmiotu zamówienia</w:t>
      </w:r>
    </w:p>
    <w:p>
      <w:pPr>
        <w:pStyle w:val="Normal"/>
        <w:numPr>
          <w:ilvl w:val="2"/>
          <w:numId w:val="10"/>
        </w:numPr>
        <w:suppressAutoHyphens w:val="false"/>
        <w:bidi w:val="0"/>
        <w:spacing w:lineRule="auto" w:line="276" w:before="0" w:after="113"/>
        <w:rPr/>
      </w:pPr>
      <w:r>
        <w:rPr/>
        <w:t>Projekt winien zmierzać do doprowadzenia parametrów drogi do zgodności z wymogami przepisów prawa obowiązujących na dzień złożenia wniosku o wydanie decyzji zezwalającej na realizacje robót.</w:t>
      </w:r>
    </w:p>
    <w:p>
      <w:pPr>
        <w:pStyle w:val="Normal"/>
        <w:numPr>
          <w:ilvl w:val="2"/>
          <w:numId w:val="11"/>
        </w:numPr>
        <w:suppressAutoHyphens w:val="false"/>
        <w:spacing w:lineRule="auto" w:line="276" w:before="0" w:after="113"/>
        <w:rPr/>
      </w:pPr>
      <w:r>
        <w:rPr/>
        <w:t xml:space="preserve">Projekt </w:t>
      </w:r>
      <w:r>
        <w:rPr/>
        <w:t>powinien obejmować następujące elementy:</w:t>
      </w:r>
    </w:p>
    <w:p>
      <w:pPr>
        <w:pStyle w:val="Normal"/>
        <w:numPr>
          <w:ilvl w:val="3"/>
          <w:numId w:val="12"/>
        </w:numPr>
        <w:suppressAutoHyphens w:val="false"/>
        <w:spacing w:lineRule="auto" w:line="276" w:before="0" w:after="113"/>
        <w:rPr>
          <w:sz w:val="24"/>
          <w:szCs w:val="24"/>
        </w:rPr>
      </w:pPr>
      <w:r>
        <w:rPr>
          <w:sz w:val="24"/>
          <w:szCs w:val="24"/>
        </w:rPr>
        <w:t>Odb</w:t>
      </w:r>
      <w:r>
        <w:rPr>
          <w:sz w:val="24"/>
          <w:szCs w:val="24"/>
        </w:rPr>
        <w:t xml:space="preserve">udowę </w:t>
      </w:r>
      <w:r>
        <w:rPr>
          <w:sz w:val="24"/>
          <w:szCs w:val="24"/>
        </w:rPr>
        <w:t xml:space="preserve">dwóch </w:t>
      </w:r>
      <w:r>
        <w:rPr>
          <w:sz w:val="24"/>
          <w:szCs w:val="24"/>
        </w:rPr>
        <w:t>mur</w:t>
      </w:r>
      <w:r>
        <w:rPr>
          <w:sz w:val="24"/>
          <w:szCs w:val="24"/>
        </w:rPr>
        <w:t>ów</w:t>
      </w:r>
      <w:r>
        <w:rPr>
          <w:sz w:val="24"/>
          <w:szCs w:val="24"/>
        </w:rPr>
        <w:t xml:space="preserve"> oporow</w:t>
      </w:r>
      <w:r>
        <w:rPr>
          <w:sz w:val="24"/>
          <w:szCs w:val="24"/>
        </w:rPr>
        <w:t>ych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wzdłuż potoku </w:t>
      </w:r>
      <w:r>
        <w:rPr>
          <w:sz w:val="24"/>
          <w:szCs w:val="24"/>
        </w:rPr>
        <w:t>Roztoka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wraz z towarzyszącą infrastrukturą</w:t>
      </w:r>
      <w:r>
        <w:rPr>
          <w:sz w:val="24"/>
          <w:szCs w:val="24"/>
        </w:rPr>
        <w:t xml:space="preserve">, w celu stabilizacji </w:t>
      </w:r>
      <w:r>
        <w:rPr>
          <w:sz w:val="24"/>
          <w:szCs w:val="24"/>
        </w:rPr>
        <w:t xml:space="preserve">korpusu drogi </w:t>
      </w:r>
      <w:r>
        <w:rPr>
          <w:sz w:val="24"/>
          <w:szCs w:val="24"/>
        </w:rPr>
        <w:t>na całej długości zadania</w:t>
      </w:r>
      <w:r>
        <w:rPr>
          <w:sz w:val="24"/>
          <w:szCs w:val="24"/>
        </w:rPr>
        <w:t>.</w:t>
      </w:r>
    </w:p>
    <w:p>
      <w:pPr>
        <w:pStyle w:val="Normal"/>
        <w:numPr>
          <w:ilvl w:val="3"/>
          <w:numId w:val="13"/>
        </w:numPr>
        <w:suppressAutoHyphens w:val="false"/>
        <w:spacing w:lineRule="auto" w:line="240" w:before="0" w:after="113"/>
        <w:rPr/>
      </w:pPr>
      <w:r>
        <w:rPr>
          <w:rFonts w:cs="Arial"/>
          <w:b w:val="false"/>
          <w:bCs w:val="false"/>
          <w:i w:val="false"/>
          <w:iCs w:val="false"/>
        </w:rPr>
        <w:t>W</w:t>
      </w:r>
      <w:r>
        <w:rPr>
          <w:rFonts w:cs="Arial"/>
          <w:b w:val="false"/>
          <w:bCs w:val="false"/>
          <w:i w:val="false"/>
          <w:iCs w:val="false"/>
        </w:rPr>
        <w:t xml:space="preserve"> zależności od potrzeb </w:t>
      </w:r>
      <w:r>
        <w:rPr>
          <w:rFonts w:cs="Arial"/>
          <w:b w:val="false"/>
          <w:bCs w:val="false"/>
          <w:i w:val="false"/>
          <w:iCs w:val="false"/>
        </w:rPr>
        <w:t>n</w:t>
      </w:r>
      <w:r>
        <w:rPr>
          <w:rFonts w:cs="Arial"/>
          <w:b w:val="false"/>
          <w:bCs w:val="false"/>
          <w:i w:val="false"/>
          <w:iCs w:val="false"/>
        </w:rPr>
        <w:t xml:space="preserve">ależy przewidzieć w niezbędnym zakresie </w:t>
      </w:r>
      <w:r>
        <w:rPr>
          <w:rFonts w:cs="Arial"/>
          <w:b w:val="false"/>
          <w:bCs w:val="false"/>
          <w:i w:val="false"/>
          <w:iCs w:val="false"/>
        </w:rPr>
        <w:t>remont lub</w:t>
      </w:r>
      <w:r>
        <w:rPr>
          <w:rFonts w:cs="Arial"/>
          <w:b w:val="false"/>
          <w:bCs w:val="false"/>
          <w:i w:val="false"/>
          <w:iCs w:val="false"/>
        </w:rPr>
        <w:t xml:space="preserve"> przebudowę przepustów podłużnych i poprzecznych, </w:t>
      </w:r>
      <w:r>
        <w:rPr>
          <w:rFonts w:cs="Arial"/>
          <w:b w:val="false"/>
          <w:bCs w:val="false"/>
          <w:i w:val="false"/>
          <w:iCs w:val="false"/>
        </w:rPr>
        <w:t xml:space="preserve">odtworzenie, </w:t>
      </w:r>
      <w:r>
        <w:rPr>
          <w:rFonts w:cs="Arial"/>
          <w:b w:val="false"/>
          <w:bCs w:val="false"/>
          <w:i w:val="false"/>
          <w:iCs w:val="false"/>
        </w:rPr>
        <w:t xml:space="preserve">oczyszczenie i regulacje rowów, poboczy, </w:t>
      </w:r>
      <w:r>
        <w:rPr>
          <w:rFonts w:cs="Arial"/>
          <w:b w:val="false"/>
          <w:bCs w:val="false"/>
          <w:i w:val="false"/>
          <w:iCs w:val="false"/>
        </w:rPr>
        <w:t>przykanalików</w:t>
      </w:r>
      <w:r>
        <w:rPr>
          <w:rFonts w:cs="Arial"/>
          <w:b w:val="false"/>
          <w:bCs w:val="false"/>
          <w:i w:val="false"/>
          <w:iCs w:val="false"/>
        </w:rPr>
        <w:t xml:space="preserve"> itd.</w:t>
      </w:r>
    </w:p>
    <w:p>
      <w:pPr>
        <w:pStyle w:val="Normal"/>
        <w:numPr>
          <w:ilvl w:val="3"/>
          <w:numId w:val="14"/>
        </w:numPr>
        <w:suppressAutoHyphens w:val="false"/>
        <w:spacing w:lineRule="auto" w:line="276" w:before="0" w:after="113"/>
        <w:rPr>
          <w:sz w:val="24"/>
          <w:szCs w:val="24"/>
        </w:rPr>
      </w:pPr>
      <w:r>
        <w:rPr>
          <w:sz w:val="24"/>
          <w:szCs w:val="24"/>
        </w:rPr>
        <w:t xml:space="preserve">Należy przewidzieć </w:t>
      </w:r>
      <w:r>
        <w:rPr>
          <w:sz w:val="24"/>
          <w:szCs w:val="24"/>
        </w:rPr>
        <w:t>wykonanie odwodnienia drogi wraz z odwodnieniem projektowanej konstrukcji.</w:t>
      </w:r>
    </w:p>
    <w:p>
      <w:pPr>
        <w:pStyle w:val="Normal"/>
        <w:numPr>
          <w:ilvl w:val="3"/>
          <w:numId w:val="15"/>
        </w:numPr>
        <w:suppressAutoHyphens w:val="false"/>
        <w:spacing w:before="0" w:after="113"/>
        <w:rPr/>
      </w:pPr>
      <w:r>
        <w:rPr>
          <w:rFonts w:cs="Arial"/>
          <w:b w:val="false"/>
          <w:bCs w:val="false"/>
          <w:i w:val="false"/>
          <w:iCs w:val="false"/>
        </w:rPr>
        <w:t xml:space="preserve">W związku z dużą różnicą wysokości terenu, należy przewidzieć </w:t>
      </w:r>
      <w:r>
        <w:rPr>
          <w:rFonts w:cs="Arial"/>
          <w:b w:val="false"/>
          <w:bCs w:val="false"/>
          <w:i w:val="false"/>
          <w:iCs w:val="false"/>
        </w:rPr>
        <w:t>odpowiednie urządzenia bezpieczeństwa ruchu</w:t>
      </w:r>
      <w:r>
        <w:rPr>
          <w:rFonts w:cs="Arial"/>
          <w:b w:val="false"/>
          <w:bCs w:val="false"/>
          <w:i w:val="false"/>
          <w:iCs w:val="false"/>
        </w:rPr>
        <w:t>.</w:t>
      </w:r>
    </w:p>
    <w:p>
      <w:pPr>
        <w:pStyle w:val="Normal"/>
        <w:numPr>
          <w:ilvl w:val="2"/>
          <w:numId w:val="15"/>
        </w:numPr>
        <w:suppressAutoHyphens w:val="false"/>
        <w:spacing w:lineRule="auto" w:line="276" w:before="0" w:after="113"/>
        <w:rPr/>
      </w:pPr>
      <w:r>
        <w:rPr/>
        <w:t>K</w:t>
      </w:r>
      <w:r>
        <w:rPr/>
        <w:t>lasę dr</w:t>
      </w:r>
      <w:r>
        <w:rPr/>
        <w:t>o</w:t>
      </w:r>
      <w:r>
        <w:rPr/>
        <w:t>g</w:t>
      </w:r>
      <w:r>
        <w:rPr/>
        <w:t>i</w:t>
      </w:r>
      <w:r>
        <w:rPr/>
        <w:t xml:space="preserve"> należy przyjąć zgodnie z u</w:t>
      </w:r>
      <w:r>
        <w:rPr/>
        <w:t xml:space="preserve">chwała nr XX/249/2020 Rady Powiatu w Żywcu z dnia 29 grudnia 2020 r. w sprawie ustalenia przebiegu istniejących dróg powiatowych na terenie Powiatu Żywieckiego oraz pozbawienia niektórych dróg statusu dróg powiatowych, </w:t>
      </w:r>
      <w:r>
        <w:rPr/>
        <w:t>wraz z późniejszymi zmianami.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 xml:space="preserve">Droga posiada klasę </w:t>
      </w:r>
      <w:r>
        <w:rPr/>
        <w:t>L</w:t>
      </w:r>
      <w:r>
        <w:rPr/>
        <w:t>.</w:t>
      </w:r>
    </w:p>
    <w:p>
      <w:pPr>
        <w:pStyle w:val="Normal"/>
        <w:numPr>
          <w:ilvl w:val="2"/>
          <w:numId w:val="16"/>
        </w:numPr>
        <w:suppressAutoHyphens w:val="false"/>
        <w:spacing w:lineRule="auto" w:line="276" w:before="0" w:after="113"/>
        <w:rPr/>
      </w:pPr>
      <w:r>
        <w:rPr/>
        <w:t xml:space="preserve">Należy przewidzieć odbudowę konstrukcji drogi na całym </w:t>
      </w:r>
      <w:r>
        <w:rPr/>
        <w:t xml:space="preserve">projektowanym </w:t>
      </w:r>
      <w:r>
        <w:rPr/>
        <w:t>odcinku.</w:t>
      </w:r>
    </w:p>
    <w:p>
      <w:pPr>
        <w:pStyle w:val="Normal"/>
        <w:numPr>
          <w:ilvl w:val="2"/>
          <w:numId w:val="16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>ależy przewidzieć, w niezbędnym zakresie, przebudowę urządzeń obcych. W przypadku konieczności przebudowy, należy uzyskać odpowiednie warunki przebudowy.</w:t>
      </w:r>
    </w:p>
    <w:p>
      <w:pPr>
        <w:pStyle w:val="Normal"/>
        <w:numPr>
          <w:ilvl w:val="2"/>
          <w:numId w:val="17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>ależy przewidzieć dostosowanie projektowan</w:t>
      </w:r>
      <w:r>
        <w:rPr/>
        <w:t>ego</w:t>
      </w:r>
      <w:r>
        <w:rPr/>
        <w:t xml:space="preserve"> odcink</w:t>
      </w:r>
      <w:r>
        <w:rPr/>
        <w:t>a</w:t>
      </w:r>
      <w:r>
        <w:rPr/>
        <w:t xml:space="preserve"> dr</w:t>
      </w:r>
      <w:r>
        <w:rPr/>
        <w:t>o</w:t>
      </w:r>
      <w:r>
        <w:rPr/>
        <w:t>g</w:t>
      </w:r>
      <w:r>
        <w:rPr/>
        <w:t>i</w:t>
      </w:r>
      <w:r>
        <w:rPr/>
        <w:t>, do dopuszczalnego nacisku pojedynczej osi napędowej pojazdu na nawierzchnie drogi – 115kN, zgodnie z Dyrektywą Rady 96/53/WE z dnia 25 lipca 1996r.</w:t>
      </w:r>
    </w:p>
    <w:p>
      <w:pPr>
        <w:pStyle w:val="Normal"/>
        <w:numPr>
          <w:ilvl w:val="2"/>
          <w:numId w:val="18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przewidzieć w niezbędnym zakresie, przebudowę przepustów podłużnych i poprzecznych, </w:t>
      </w:r>
      <w:r>
        <w:rPr/>
        <w:t xml:space="preserve">odtworzenie, </w:t>
      </w:r>
      <w:r>
        <w:rPr/>
        <w:t xml:space="preserve">oczyszczenie i regulacje rowów, poboczy, </w:t>
      </w:r>
      <w:r>
        <w:rPr/>
        <w:t>przykanalików</w:t>
      </w:r>
      <w:r>
        <w:rPr/>
        <w:t xml:space="preserve"> itd.</w:t>
      </w:r>
    </w:p>
    <w:p>
      <w:pPr>
        <w:pStyle w:val="Normal"/>
        <w:numPr>
          <w:ilvl w:val="2"/>
          <w:numId w:val="19"/>
        </w:numPr>
        <w:suppressAutoHyphens w:val="false"/>
        <w:spacing w:lineRule="auto" w:line="276" w:before="0" w:after="113"/>
        <w:rPr/>
      </w:pPr>
      <w:r>
        <w:rPr/>
        <w:t>W docelowej organizacji ruchu należy przeanalizować konieczność oznakowania odcinków drogi znakami A-18. Do analizy należy wykorzystać statystykę zgłoszeń kolizji ze zwierzętami.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>Należy także przewidzieć wyminę oznakowania pionowego, dla znaków których tarcze utraciły wymagane parametry.</w:t>
      </w:r>
    </w:p>
    <w:p>
      <w:pPr>
        <w:pStyle w:val="Normal"/>
        <w:numPr>
          <w:ilvl w:val="2"/>
          <w:numId w:val="20"/>
        </w:numPr>
        <w:suppressAutoHyphens w:val="false"/>
        <w:spacing w:lineRule="auto" w:line="276" w:before="0" w:after="113"/>
        <w:rPr/>
      </w:pPr>
      <w:r>
        <w:rPr>
          <w:rFonts w:ascii="Times New Roman" w:hAnsi="Times New Roman"/>
          <w:sz w:val="24"/>
          <w:szCs w:val="24"/>
        </w:rPr>
        <w:t xml:space="preserve">W zakres zadania wchodzi regulacja stanu prawnego nieruchomości zajętych pod drogi powiatowe, w oparciu o przepisy ustawy z dnia 13 X 1998r Przepisy wprowadzające ustawy reformujące administrację publiczną, </w:t>
      </w:r>
      <w:r>
        <w:rPr>
          <w:rFonts w:ascii="Times New Roman" w:hAnsi="Times New Roman"/>
          <w:sz w:val="24"/>
          <w:szCs w:val="24"/>
        </w:rPr>
        <w:t>w zakresie prac geodezyjnych.</w:t>
      </w:r>
    </w:p>
    <w:p>
      <w:pPr>
        <w:pStyle w:val="Normal"/>
        <w:numPr>
          <w:ilvl w:val="3"/>
          <w:numId w:val="20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Projektant wraz z Geodetą, przed przystąpieniem do </w:t>
      </w:r>
      <w:r>
        <w:rPr>
          <w:rFonts w:ascii="Times New Roman" w:hAnsi="Times New Roman"/>
          <w:sz w:val="24"/>
          <w:szCs w:val="24"/>
        </w:rPr>
        <w:t xml:space="preserve">właściwych </w:t>
      </w:r>
      <w:r>
        <w:rPr>
          <w:rFonts w:ascii="Times New Roman" w:hAnsi="Times New Roman"/>
          <w:sz w:val="24"/>
          <w:szCs w:val="24"/>
        </w:rPr>
        <w:t xml:space="preserve">prac projektowych winien przeanalizować zajętość działek pod drogą powiatową </w:t>
      </w:r>
      <w:r>
        <w:rPr>
          <w:rFonts w:ascii="Times New Roman" w:hAnsi="Times New Roman"/>
          <w:sz w:val="24"/>
          <w:szCs w:val="24"/>
        </w:rPr>
        <w:t>oraz drogami gminnymi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dzień 31 XII 1998r., spełniających warunki przejęcia na rzecz </w:t>
      </w:r>
      <w:r>
        <w:rPr>
          <w:rFonts w:ascii="Times New Roman" w:hAnsi="Times New Roman"/>
          <w:sz w:val="24"/>
          <w:szCs w:val="24"/>
        </w:rPr>
        <w:t>odpowiednio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owiatu </w:t>
      </w:r>
      <w:r>
        <w:rPr>
          <w:rFonts w:ascii="Times New Roman" w:hAnsi="Times New Roman"/>
          <w:sz w:val="24"/>
          <w:szCs w:val="24"/>
        </w:rPr>
        <w:t xml:space="preserve">lub Gminy </w:t>
      </w:r>
      <w:r>
        <w:rPr>
          <w:rFonts w:ascii="Times New Roman" w:hAnsi="Times New Roman"/>
          <w:sz w:val="24"/>
          <w:szCs w:val="24"/>
        </w:rPr>
        <w:t xml:space="preserve">w oparciu powyższą ustawę. </w:t>
      </w:r>
      <w:r>
        <w:rPr>
          <w:rFonts w:ascii="Times New Roman" w:hAnsi="Times New Roman"/>
          <w:sz w:val="24"/>
          <w:szCs w:val="24"/>
        </w:rPr>
        <w:t xml:space="preserve">Wynik swojej analizy winien przedłożyć do </w:t>
      </w:r>
      <w:r>
        <w:rPr>
          <w:rFonts w:ascii="Times New Roman" w:hAnsi="Times New Roman"/>
          <w:sz w:val="24"/>
          <w:szCs w:val="24"/>
        </w:rPr>
        <w:t>uzgodnienia</w:t>
      </w:r>
      <w:r>
        <w:rPr>
          <w:rFonts w:ascii="Times New Roman" w:hAnsi="Times New Roman"/>
          <w:sz w:val="24"/>
          <w:szCs w:val="24"/>
        </w:rPr>
        <w:t xml:space="preserve"> przez Zamawiającego.</w:t>
      </w:r>
    </w:p>
    <w:p>
      <w:pPr>
        <w:pStyle w:val="Normal"/>
        <w:numPr>
          <w:ilvl w:val="3"/>
          <w:numId w:val="20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oparciu o powyższe uzgodnienie, Geodeta winien wykonać </w:t>
      </w:r>
      <w:r>
        <w:rPr>
          <w:rFonts w:ascii="Times New Roman" w:hAnsi="Times New Roman"/>
          <w:sz w:val="24"/>
          <w:szCs w:val="24"/>
        </w:rPr>
        <w:t xml:space="preserve">i zatwierdzić </w:t>
      </w:r>
      <w:r>
        <w:rPr>
          <w:rFonts w:ascii="Times New Roman" w:hAnsi="Times New Roman"/>
          <w:sz w:val="24"/>
          <w:szCs w:val="24"/>
        </w:rPr>
        <w:t xml:space="preserve">projekty podziałów nieruchomości, które stanowić będą podstawę do przejęcia ich w ramach przywołanej ustawy. </w:t>
      </w:r>
      <w:r>
        <w:rPr>
          <w:rFonts w:ascii="Times New Roman" w:hAnsi="Times New Roman"/>
          <w:sz w:val="24"/>
          <w:szCs w:val="24"/>
        </w:rPr>
        <w:t xml:space="preserve">Dalszą część procedury prowadzić będzie </w:t>
      </w:r>
      <w:r>
        <w:rPr>
          <w:rFonts w:ascii="Times New Roman" w:hAnsi="Times New Roman"/>
          <w:sz w:val="24"/>
          <w:szCs w:val="24"/>
        </w:rPr>
        <w:t xml:space="preserve">odpowiednio </w:t>
      </w:r>
      <w:r>
        <w:rPr>
          <w:rFonts w:ascii="Times New Roman" w:hAnsi="Times New Roman"/>
          <w:sz w:val="24"/>
          <w:szCs w:val="24"/>
        </w:rPr>
        <w:t xml:space="preserve">Wydział Geodezji, Kartografii i Gospodarki Nieruchomościami, Starostwa Powiatowego w Żywcu </w:t>
      </w:r>
      <w:r>
        <w:rPr>
          <w:rFonts w:ascii="Times New Roman" w:hAnsi="Times New Roman"/>
          <w:sz w:val="24"/>
          <w:szCs w:val="24"/>
        </w:rPr>
        <w:t>oraz Gmina Łodygowice</w:t>
      </w:r>
      <w:r>
        <w:rPr>
          <w:rFonts w:ascii="Times New Roman" w:hAnsi="Times New Roman"/>
          <w:sz w:val="24"/>
          <w:szCs w:val="24"/>
        </w:rPr>
        <w:t>. Wykonawca jest zob</w:t>
      </w:r>
      <w:r>
        <w:rPr>
          <w:rFonts w:ascii="Times New Roman" w:hAnsi="Times New Roman"/>
          <w:sz w:val="24"/>
          <w:szCs w:val="24"/>
        </w:rPr>
        <w:t xml:space="preserve">owiązany do współpracy z Wydziałem </w:t>
      </w:r>
      <w:r>
        <w:rPr>
          <w:rFonts w:ascii="Times New Roman" w:hAnsi="Times New Roman"/>
          <w:sz w:val="24"/>
          <w:szCs w:val="24"/>
        </w:rPr>
        <w:t xml:space="preserve">oraz Gminą </w:t>
      </w:r>
      <w:r>
        <w:rPr>
          <w:rFonts w:ascii="Times New Roman" w:hAnsi="Times New Roman"/>
          <w:sz w:val="24"/>
          <w:szCs w:val="24"/>
        </w:rPr>
        <w:t>w trakcie trwania procedury, w tym do udzielania wyjaśnień, merytorycznego wsparcia oraz korekty swoich opracowań jeśli zajdzie taka potrzeba.</w:t>
      </w:r>
    </w:p>
    <w:p>
      <w:pPr>
        <w:pStyle w:val="Normal"/>
        <w:numPr>
          <w:ilvl w:val="3"/>
          <w:numId w:val="20"/>
        </w:numPr>
        <w:suppressAutoHyphens w:val="false"/>
        <w:spacing w:lineRule="auto" w:line="276" w:before="0" w:after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Nieruchomości nie podlegające pod ustawę </w:t>
      </w:r>
      <w:r>
        <w:rPr>
          <w:rFonts w:ascii="Times New Roman" w:hAnsi="Times New Roman"/>
          <w:sz w:val="24"/>
          <w:szCs w:val="24"/>
        </w:rPr>
        <w:t xml:space="preserve">z dnia 13 X 1998r Przepisy wprowadzające ustawy reformujące administrację publiczną, </w:t>
      </w:r>
      <w:r>
        <w:rPr>
          <w:rFonts w:ascii="Times New Roman" w:hAnsi="Times New Roman"/>
          <w:sz w:val="24"/>
          <w:szCs w:val="24"/>
        </w:rPr>
        <w:t>a które w chwili obecn</w:t>
      </w:r>
      <w:r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są zajęte lub w wyniku prac projektowych zostaną zajęte pod drogę powiatową, należy wydzielić zgodnie z zasadami ustawy </w:t>
      </w:r>
      <w:r>
        <w:rPr>
          <w:rFonts w:ascii="Times New Roman" w:hAnsi="Times New Roman"/>
          <w:sz w:val="24"/>
          <w:szCs w:val="24"/>
        </w:rPr>
        <w:t xml:space="preserve">z dnia 10 </w:t>
      </w:r>
      <w:r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2003 roku, </w:t>
      </w:r>
      <w:r>
        <w:rPr>
          <w:rFonts w:ascii="Times New Roman" w:hAnsi="Times New Roman"/>
          <w:sz w:val="24"/>
          <w:szCs w:val="24"/>
        </w:rPr>
        <w:t>o szczególnych zasadach przygotowania i realizacji inwestycji w zakresie dróg publicznych.</w:t>
      </w:r>
    </w:p>
    <w:p>
      <w:pPr>
        <w:pStyle w:val="Normal"/>
        <w:numPr>
          <w:ilvl w:val="2"/>
          <w:numId w:val="21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</w:t>
      </w:r>
      <w:r>
        <w:rPr/>
        <w:t>opracować plany gospodarki zielenią w zakresie bieżącego utrzymania zieleni przydrożnej, obejmujące:</w:t>
      </w:r>
    </w:p>
    <w:p>
      <w:pPr>
        <w:pStyle w:val="Normal"/>
        <w:numPr>
          <w:ilvl w:val="3"/>
          <w:numId w:val="21"/>
        </w:numPr>
        <w:suppressAutoHyphens w:val="false"/>
        <w:spacing w:lineRule="auto" w:line="276" w:before="0" w:after="113"/>
        <w:rPr/>
      </w:pPr>
      <w:r>
        <w:rPr/>
        <w:t>inwentaryzację drzew przewidzianych do wycinki, dla których wymagane jest uzyskanie decyzji właściwego organu, zezwalające na ich usuniecie,</w:t>
      </w:r>
    </w:p>
    <w:p>
      <w:pPr>
        <w:pStyle w:val="Normal"/>
        <w:numPr>
          <w:ilvl w:val="3"/>
          <w:numId w:val="22"/>
        </w:numPr>
        <w:suppressAutoHyphens w:val="false"/>
        <w:spacing w:lineRule="auto" w:line="276" w:before="0" w:after="113"/>
        <w:rPr/>
      </w:pPr>
      <w:r>
        <w:rPr/>
        <w:t>inwentaryzację drzew przewidzianych do wycinki, dla których nie wymagane jest uzyskanie decyzji właściwego organu, zezwalające na ich usuniecie,</w:t>
      </w:r>
    </w:p>
    <w:p>
      <w:pPr>
        <w:pStyle w:val="Normal"/>
        <w:numPr>
          <w:ilvl w:val="3"/>
          <w:numId w:val="22"/>
        </w:numPr>
        <w:suppressAutoHyphens w:val="false"/>
        <w:spacing w:lineRule="auto" w:line="276" w:before="0" w:after="113"/>
        <w:rPr/>
      </w:pPr>
      <w:r>
        <w:rPr/>
        <w:t>inwentaryzację drzew przewidzianych do wykonania cięć technicznych w skrajni drogi oraz cięć pielęgnacyjnych w koronach drzew,</w:t>
      </w:r>
    </w:p>
    <w:p>
      <w:pPr>
        <w:pStyle w:val="Normal"/>
        <w:numPr>
          <w:ilvl w:val="3"/>
          <w:numId w:val="22"/>
        </w:numPr>
        <w:suppressAutoHyphens w:val="false"/>
        <w:spacing w:lineRule="auto" w:line="276" w:before="0" w:after="113"/>
        <w:rPr/>
      </w:pPr>
      <w:r>
        <w:rPr/>
        <w:t>inwentaryzację zakrzaczeń wraz z podrostami drzew (samosiejki), do wycinki i karczowania.</w:t>
      </w:r>
    </w:p>
    <w:p>
      <w:pPr>
        <w:pStyle w:val="Normal"/>
        <w:numPr>
          <w:ilvl w:val="2"/>
          <w:numId w:val="23"/>
        </w:numPr>
        <w:suppressAutoHyphens w:val="false"/>
        <w:spacing w:lineRule="auto" w:line="276" w:before="0" w:after="113"/>
        <w:rPr/>
      </w:pPr>
      <w:r>
        <w:rPr/>
        <w:t>Projektant</w:t>
      </w:r>
      <w:r>
        <w:rPr/>
        <w:t xml:space="preserve"> w oparciu o sporządzoną inwentaryzację drzew </w:t>
      </w:r>
      <w:r>
        <w:rPr/>
        <w:t>i krzewów</w:t>
      </w:r>
      <w:r>
        <w:rPr/>
        <w:t xml:space="preserve"> do wycinki, winien </w:t>
      </w:r>
      <w:r>
        <w:rPr/>
        <w:t xml:space="preserve">sporządzić kompletny wniosek o zezwolenie na wycinkę </w:t>
      </w:r>
      <w:r>
        <w:rPr/>
        <w:t>i uzyskać decyzję zezwalającą na wycinkę</w:t>
      </w:r>
      <w:r>
        <w:rPr/>
        <w:t>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>Punk niniejszy nie ma zastosowania w przypadku uzyskania decyzji zezwalającej na realizacje inwestycji drogowej (ZRID). Wycinka drzew winna stanowić element tej decyzji.</w:t>
      </w:r>
    </w:p>
    <w:p>
      <w:pPr>
        <w:pStyle w:val="Normal"/>
        <w:numPr>
          <w:ilvl w:val="2"/>
          <w:numId w:val="24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przeanalizować, a następnie określić </w:t>
      </w:r>
      <w:r>
        <w:rPr/>
        <w:t xml:space="preserve">technologię wykonania </w:t>
      </w:r>
      <w:r>
        <w:rPr/>
        <w:t>odtworzenia</w:t>
      </w:r>
      <w:r>
        <w:rPr/>
        <w:t xml:space="preserve"> dr</w:t>
      </w:r>
      <w:r>
        <w:rPr/>
        <w:t>ogi</w:t>
      </w:r>
      <w:r>
        <w:rPr/>
        <w:t>. Zamawiający nie dopuszcza układ</w:t>
      </w:r>
      <w:r>
        <w:rPr>
          <w:shd w:fill="auto" w:val="clear"/>
        </w:rPr>
        <w:t xml:space="preserve">ania nawierzchni asfaltowej metodą połówkową. </w:t>
      </w:r>
      <w:r>
        <w:rPr>
          <w:shd w:fill="auto" w:val="clear"/>
        </w:rPr>
        <w:t>W ramach organizacji ruchu na czas prowadzonych robót, należy przewidzieć całkowite zamknięcie ruchu, na czas układania nawierzchni asfaltowej.</w:t>
      </w:r>
    </w:p>
    <w:p>
      <w:pPr>
        <w:pStyle w:val="Normal"/>
        <w:numPr>
          <w:ilvl w:val="2"/>
          <w:numId w:val="25"/>
        </w:numPr>
        <w:suppressAutoHyphens w:val="false"/>
        <w:spacing w:lineRule="auto" w:line="276" w:before="0" w:after="113"/>
        <w:rPr/>
      </w:pPr>
      <w:r>
        <w:rPr/>
        <w:t xml:space="preserve">Należy wykonać kosztorys Inwestorski oddzielnie dla zakresu każdego muru oporowego, </w:t>
      </w:r>
      <w:r>
        <w:rPr/>
        <w:t>tak by można było wykonać pojedynczy mur oporowy jako samodzielne zadanie.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/>
        <w:t xml:space="preserve">Kosztorys winien być sporządzony z zastosowaniem: </w:t>
      </w:r>
      <w:r>
        <w:rPr>
          <w:i/>
          <w:iCs/>
        </w:rPr>
        <w:t>Katalog</w:t>
      </w:r>
      <w:r>
        <w:rPr>
          <w:i/>
          <w:iCs/>
        </w:rPr>
        <w:t>ów</w:t>
      </w:r>
      <w:r>
        <w:rPr>
          <w:i/>
          <w:iCs/>
        </w:rPr>
        <w:t xml:space="preserve"> Nakładów Rzeczowych (KNR), Katalogów Scalonych Nakładów Rzeczowych (KSNR), Kosztorysowych Norm Nakładów Rzeczowych (KNNR)</w:t>
      </w:r>
      <w:r>
        <w:rPr>
          <w:i w:val="false"/>
          <w:iCs w:val="false"/>
        </w:rPr>
        <w:t>, lub równoważnych katalogów.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>
          <w:i w:val="false"/>
          <w:iCs w:val="false"/>
        </w:rPr>
        <w:t xml:space="preserve">Pozycje </w:t>
      </w:r>
      <w:r>
        <w:rPr>
          <w:i/>
          <w:iCs/>
        </w:rPr>
        <w:t>Kalkulacja Własna,</w:t>
      </w:r>
      <w:r>
        <w:rPr>
          <w:i w:val="false"/>
          <w:iCs w:val="false"/>
        </w:rPr>
        <w:t xml:space="preserve"> dopuszcza się jedynie dla robót nietypowych, nie mających odpowiedników w opracowanych katalogach.</w:t>
      </w:r>
    </w:p>
    <w:p>
      <w:pPr>
        <w:pStyle w:val="Normal"/>
        <w:numPr>
          <w:ilvl w:val="0"/>
          <w:numId w:val="0"/>
        </w:numPr>
        <w:suppressAutoHyphens w:val="false"/>
        <w:spacing w:lineRule="auto" w:line="276" w:before="0" w:after="113"/>
        <w:ind w:hanging="0" w:start="1440"/>
        <w:rPr/>
      </w:pPr>
      <w:r>
        <w:rPr>
          <w:i w:val="false"/>
          <w:iCs w:val="false"/>
        </w:rPr>
        <w:t>Ceny robocizny, materiałów, sprzętu itd., należy przyjąć w oparciu o uznane publikacje, jak np. SEKOCENBUD, dla kwartału poprzedzającego kwarta</w:t>
      </w:r>
      <w:r>
        <w:rPr>
          <w:i w:val="false"/>
          <w:iCs w:val="false"/>
        </w:rPr>
        <w:t>ł</w:t>
      </w:r>
      <w:r>
        <w:rPr>
          <w:i w:val="false"/>
          <w:iCs w:val="false"/>
        </w:rPr>
        <w:t xml:space="preserve"> w którym dokumentacja przekazywana jest do odbioru końcowego.</w:t>
      </w:r>
    </w:p>
    <w:p>
      <w:pPr>
        <w:pStyle w:val="Normal"/>
        <w:numPr>
          <w:ilvl w:val="2"/>
          <w:numId w:val="25"/>
        </w:numPr>
        <w:suppressAutoHyphens w:val="false"/>
        <w:spacing w:lineRule="auto" w:line="276" w:before="0" w:after="113"/>
        <w:rPr/>
      </w:pPr>
      <w:r>
        <w:rPr/>
        <w:t>N</w:t>
      </w:r>
      <w:r>
        <w:rPr/>
        <w:t xml:space="preserve">ależy przewidzieć </w:t>
      </w:r>
      <w:r>
        <w:rPr/>
        <w:t>odpowiednią formułę prawną umożliwiająca rezygnację z budowy kanałów technologicznych.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/>
      </w:pPr>
      <w:r>
        <w:rPr>
          <w:b/>
          <w:bCs/>
        </w:rPr>
        <w:t>S</w:t>
      </w:r>
      <w:r>
        <w:rPr>
          <w:b/>
          <w:bCs/>
        </w:rPr>
        <w:t>posób organizacji opracowań będących przedmiotem zamówienia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 xml:space="preserve">Sposób organizacji opracowań przekazywanych Zamawiającemu określa standard techniczny </w:t>
      </w:r>
      <w:r>
        <w:rPr>
          <w:i/>
          <w:iCs/>
        </w:rPr>
        <w:t>Sposób zorganizowania dokumentacji projektowej</w:t>
      </w:r>
      <w:r>
        <w:rPr/>
        <w:t>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Wykonan</w:t>
      </w:r>
      <w:r>
        <w:rPr/>
        <w:t>y</w:t>
      </w:r>
      <w:r>
        <w:rPr/>
        <w:t xml:space="preserve"> </w:t>
      </w:r>
      <w:r>
        <w:rPr/>
        <w:t>projekt</w:t>
      </w:r>
      <w:r>
        <w:rPr/>
        <w:t xml:space="preserve"> </w:t>
      </w:r>
      <w:r>
        <w:rPr/>
        <w:t>oraz</w:t>
      </w:r>
      <w:r>
        <w:rPr/>
        <w:t xml:space="preserve"> pozostałe opracowania </w:t>
      </w:r>
      <w:r>
        <w:rPr/>
        <w:t xml:space="preserve">stanowić będą podstawę wyłonienia wykonawcy </w:t>
      </w:r>
      <w:r>
        <w:rPr/>
        <w:t>w drodze przetargu publicznego.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Mając na uwadze przepisy ustawy Prawo Zamówień Publicznych, w szczególności art. 99 ustawy, Zamawiający wymaga aby w wykonanych opracowaniach nie przywoływać nazw własnych i aby nie zawierać innych zapisów utrudniających konkurencje.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>
          <w:b/>
          <w:bCs/>
        </w:rPr>
      </w:pPr>
      <w:r>
        <w:rPr>
          <w:b/>
          <w:bCs/>
        </w:rPr>
        <w:t>Konsultacje w trakcie realizacji zamówienia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Wykonawca zobowiązany jest do konsultacji przyjętych rozwiązań projektowych oraz do przesyłania Zamawiającemu, drogą e-mail miesięcznych raportów o postępie prac oraz podejmowanych przez Wykonawcę działaniach. Ponadto Zamawiający zastrzega sobie prawo do wglądu i bieżącego nadzoru nad prowadzonymi przez Wykonawcę pracami.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Zamawiający zastrzega sobie prawo do zwoływania spotkań konsultacyjnych, na dowolnym etapie prac.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Zamawiający zobowiązuje Wykonawcę do przeprowadzenia następujących spotkań konsultacyjnych: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Przed przystąpieniem do realizacji zamówienia, nie później niż </w:t>
      </w:r>
      <w:r>
        <w:rPr/>
        <w:t>trzy</w:t>
      </w:r>
      <w:r>
        <w:rPr/>
        <w:t xml:space="preserve"> tygodnie od podpisania umowy, celem omówienia założeń.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Minimum </w:t>
      </w:r>
      <w:r>
        <w:rPr/>
        <w:t>trzy tygodnie</w:t>
      </w:r>
      <w:r>
        <w:rPr/>
        <w:t xml:space="preserve"> przez zakończeniem terminu realizacji zadania, celem przedłożenia do akceptacji przez Zamawiającego kompletnych opracowań.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>Projektant może także zażądać przeprowadzenia spotkań konsultacyjnych w trakcie realizacji zamówienia, w miarę występujących potrzeb.</w:t>
      </w:r>
    </w:p>
    <w:p>
      <w:pPr>
        <w:pStyle w:val="Normal"/>
        <w:keepNext w:val="true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W spotkaniach konsultacyjnych wezmą udział: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>Z</w:t>
      </w:r>
      <w:r>
        <w:rPr/>
        <w:t>e strony Powiatowego Zarządu Dróg – upoważnieni przedstawiciele Zamawiającego (pracownicy  Powiatowego Zarządu Dróg).</w:t>
      </w:r>
    </w:p>
    <w:p>
      <w:pPr>
        <w:pStyle w:val="Normal"/>
        <w:numPr>
          <w:ilvl w:val="2"/>
          <w:numId w:val="2"/>
        </w:numPr>
        <w:suppressAutoHyphens w:val="false"/>
        <w:spacing w:lineRule="auto" w:line="276" w:before="0" w:after="113"/>
        <w:rPr/>
      </w:pPr>
      <w:r>
        <w:rPr/>
        <w:t xml:space="preserve">Ze strony Wykonawcy Projektant wskazany przez Wykonawcę </w:t>
      </w:r>
      <w:r>
        <w:rPr/>
        <w:t xml:space="preserve">oraz inne osoby biorące udział </w:t>
      </w:r>
      <w:r>
        <w:rPr/>
        <w:t>w</w:t>
      </w:r>
      <w:r>
        <w:rPr/>
        <w:t xml:space="preserve"> realizacji umowy po stronie Wykonawcy.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 xml:space="preserve">Z wnioskiem o przeprowadzenie spotkania konsultacyjnego, występuje Strona inicjująca spotkanie. Spotkanie, jeżeli strony nie ustalą inaczej, odbędzie się w siedzibie Powiatowego Zarządu Dróg w Żywcu w terminie </w:t>
      </w:r>
      <w:r>
        <w:rPr/>
        <w:t xml:space="preserve">14 </w:t>
      </w:r>
      <w:r>
        <w:rPr/>
        <w:t>dni roboczych. Termin spotkania wyznacza Powiatowy Zarząd Dróg w Żywcu.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Na spotkaniu wymagana jest obecność Projektanta, w przypadku jego nieobecności, Zamawiający może odwołać spotkanie konsultacyjne, z przyczyn leżących po stronie Wykonawcy.</w:t>
      </w:r>
    </w:p>
    <w:p>
      <w:pPr>
        <w:pStyle w:val="Normal"/>
        <w:keepNext w:val="true"/>
        <w:numPr>
          <w:ilvl w:val="0"/>
          <w:numId w:val="2"/>
        </w:numPr>
        <w:suppressAutoHyphens w:val="false"/>
        <w:spacing w:lineRule="auto" w:line="276" w:before="0" w:after="113"/>
        <w:rPr>
          <w:b/>
          <w:bCs/>
        </w:rPr>
      </w:pPr>
      <w:r>
        <w:rPr>
          <w:b/>
          <w:bCs/>
        </w:rPr>
        <w:t>Osoby odpowiedzialne za realizacje umowy ze strony Wykonawcy</w:t>
      </w:r>
    </w:p>
    <w:p>
      <w:pPr>
        <w:pStyle w:val="Normal"/>
        <w:numPr>
          <w:ilvl w:val="1"/>
          <w:numId w:val="2"/>
        </w:numPr>
        <w:suppressAutoHyphens w:val="false"/>
        <w:spacing w:lineRule="auto" w:line="276" w:before="0" w:after="113"/>
        <w:rPr/>
      </w:pPr>
      <w:r>
        <w:rPr/>
        <w:t>Osobą odpowiedzialną za realizacje umowy ze strony Wykonawcy jest Projektant wpisany do umowy. Projektant jest osobą która na bieżąco konsultuje i omawia szczegół</w:t>
      </w:r>
      <w:r>
        <w:rPr/>
        <w:t>y</w:t>
      </w:r>
      <w:r>
        <w:rPr/>
        <w:t xml:space="preserve"> zadania. Zamawiający nie konsultuje rozwiązań projektowych z innymi osobami poza Projektantem.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6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8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9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0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6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7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8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19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0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1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2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3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4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abstractNum w:abstractNumId="25">
    <w:lvl w:ilvl="0">
      <w:start w:val="1"/>
      <w:numFmt w:val="upperRoman"/>
      <w:lvlText w:val=" %1."/>
      <w:lvlJc w:val="start"/>
      <w:pPr>
        <w:tabs>
          <w:tab w:val="num" w:pos="720"/>
        </w:tabs>
        <w:ind w:start="720" w:hanging="360"/>
      </w:pPr>
    </w:lvl>
    <w:lvl w:ilvl="1">
      <w:start w:val="1"/>
      <w:numFmt w:val="decimal"/>
      <w:lvlText w:val=" 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bullet"/>
      <w:lvlText w:val=""/>
      <w:lvlJc w:val="start"/>
      <w:pPr>
        <w:tabs>
          <w:tab w:val="num" w:pos="1440"/>
        </w:tabs>
        <w:ind w:star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"/>
      <w:lvlJc w:val="start"/>
      <w:pPr>
        <w:tabs>
          <w:tab w:val="num" w:pos="2520"/>
        </w:tabs>
        <w:ind w:star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3240"/>
        </w:tabs>
        <w:ind w:star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3600"/>
        </w:tabs>
        <w:ind w:star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Heading2">
    <w:name w:val="heading 2"/>
    <w:basedOn w:val="Nagwek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SimSun" w:cs="Arial"/>
      <w:b/>
      <w:bCs/>
      <w:sz w:val="36"/>
      <w:szCs w:val="36"/>
    </w:rPr>
  </w:style>
  <w:style w:type="paragraph" w:styleId="Heading3">
    <w:name w:val="heading 3"/>
    <w:basedOn w:val="Nagwek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DefaultParagraphFont">
    <w:name w:val="Default Paragraph Font"/>
    <w:qFormat/>
    <w:rPr/>
  </w:style>
  <w:style w:type="character" w:styleId="Znakinumeracji">
    <w:name w:val="Znaki numeracji"/>
    <w:qFormat/>
    <w:rPr/>
  </w:style>
  <w:style w:type="character" w:styleId="Strong">
    <w:name w:val="Strong"/>
    <w:qFormat/>
    <w:rPr>
      <w:b/>
      <w:bCs/>
    </w:rPr>
  </w:style>
  <w:style w:type="character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character" w:styleId="DefaultParagraphFont1">
    <w:name w:val="Default Paragraph Font1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ormalTable">
    <w:name w:val="Normal Table"/>
    <w:qFormat/>
    <w:pPr>
      <w:widowControl/>
      <w:kinsoku w:val="true"/>
      <w:overflowPunct w:val="true"/>
      <w:autoSpaceDE w:val="true"/>
      <w:bidi w:val="0"/>
      <w:spacing w:lineRule="auto" w:line="257" w:before="0" w:after="160"/>
      <w:jc w:val="start"/>
      <w:textAlignment w:val="auto"/>
    </w:pPr>
    <w:rPr>
      <w:rFonts w:ascii="Calibri" w:hAnsi="Calibri" w:eastAsia="Cambria Math" w:cs="Times New Roman"/>
      <w:color w:val="auto"/>
      <w:kern w:val="2"/>
      <w:sz w:val="22"/>
      <w:szCs w:val="22"/>
      <w:lang w:val="pl-PL" w:eastAsia="en-US" w:bidi="ar-SA"/>
    </w:rPr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jc w:val="start"/>
      <w:textAlignment w:val="auto"/>
    </w:pPr>
    <w:rPr>
      <w:rFonts w:ascii="Calibri" w:hAnsi="Calibri" w:eastAsia="Cambria Math" w:cs="Calibri"/>
      <w:color w:val="000000"/>
      <w:kern w:val="2"/>
      <w:sz w:val="24"/>
      <w:szCs w:val="24"/>
      <w:lang w:val="pl-PL" w:eastAsia="en-US" w:bidi="ar-SA"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/>
    <w:rPr/>
  </w:style>
  <w:style w:type="paragraph" w:styleId="Tekstdymka">
    <w:name w:val="Tekst dymka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1652</TotalTime>
  <Application>LibreOffice/26.2.4.2$Windows_X86_64 LibreOffice_project/0229ac93fcf0d7cbc6376066c6f35021cef002dc</Application>
  <AppVersion>15.0000</AppVersion>
  <Pages>5</Pages>
  <Words>1455</Words>
  <Characters>9845</Characters>
  <CharactersWithSpaces>11171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2024-01-11T08:14:00Z</dcterms:created>
  <dc:creator>Władysław Baksza</dc:creator>
  <dc:description/>
  <dc:language>pl-PL</dc:language>
  <cp:lastModifiedBy/>
  <cp:lastPrinted>2024-08-08T14:42:56Z</cp:lastPrinted>
  <dcterms:modified xsi:type="dcterms:W3CDTF">2026-06-18T11:28:53Z</dcterms:modified>
  <cp:revision>149</cp:revision>
  <dc:subject/>
  <dc:title>Akt prawny</dc:title>
</cp:coreProperties>
</file>