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pPr>
        <w:keepNext w:val="0"/>
        <w:spacing w:before="0" w:after="0" w:line="240" w:lineRule="auto"/>
        <w:widowControl/>
      </w:pPr>
      <w:r>
        <w:rPr>
          <w:rFonts w:ascii="Arial" w:hAnsi="Arial" w:cs="Arial"/>
          <w:b/>
          <w:i w:val="0"/>
          <w:sz w:val="19"/>
        </w:rPr>
        <w:t>Znak sprawy: ZPF.I.271.3.2026</w:t>
      </w:r>
    </w:p>
    <w:p>
      <w:pPr>
        <w:keepNext w:val="0"/>
        <w:spacing w:before="0" w:after="160" w:line="240" w:lineRule="auto"/>
        <w:jc w:val="right"/>
        <w:widowControl/>
      </w:pPr>
      <w:r>
        <w:rPr>
          <w:rFonts w:ascii="Arial" w:hAnsi="Arial" w:cs="Arial"/>
          <w:b/>
          <w:i w:val="0"/>
          <w:sz w:val="19"/>
        </w:rPr>
        <w:t>Załącznik nr 7 do SWZ</w:t>
      </w:r>
    </w:p>
    <w:p>
      <w:pPr>
        <w:pStyle w:val="Tytu"/>
        <w:spacing w:after="160"/>
        <w:jc w:val="center"/>
        <w:widowControl/>
      </w:pPr>
      <w:r>
        <w:rPr>
          <w:rFonts w:ascii="Arial" w:hAnsi="Arial" w:cs="Arial"/>
          <w:b/>
          <w:i w:val="0"/>
          <w:color w:val="17365D"/>
          <w:sz w:val="28"/>
        </w:rPr>
        <w:t>OPIS PRZEDMIOTU ZAMÓWIENIA</w:t>
      </w:r>
    </w:p>
    <w:p>
      <w:pPr>
        <w:keepNext w:val="0"/>
        <w:spacing w:before="0" w:after="40" w:line="240" w:lineRule="auto"/>
        <w:jc w:val="center"/>
        <w:widowControl/>
      </w:pPr>
      <w:r>
        <w:rPr>
          <w:rFonts w:ascii="Arial" w:hAnsi="Arial" w:cs="Arial"/>
          <w:b w:val="0"/>
          <w:i w:val="0"/>
          <w:sz w:val="19"/>
        </w:rPr>
        <w:t>dotyczący postępowania o udzielenie zamówienia publicznego pn.:</w:t>
      </w:r>
    </w:p>
    <w:p>
      <w:pPr>
        <w:keepNext w:val="0"/>
        <w:spacing w:before="0" w:after="140" w:line="240" w:lineRule="auto"/>
        <w:jc w:val="center"/>
        <w:widowControl/>
      </w:pPr>
      <w:r>
        <w:rPr>
          <w:rFonts w:ascii="Arial" w:hAnsi="Arial" w:cs="Arial"/>
          <w:b/>
          <w:i w:val="0"/>
          <w:sz w:val="20"/>
        </w:rPr>
        <w:t>„Zakup autobusu przystosowanego do przewozu osób niepełnosprawnych, w tym poruszających się na wózkach, w szczególności dzieci i młodzieży z terenu Gminy Żurawica”</w:t>
      </w:r>
    </w:p>
    <w:p>
      <w:pPr>
        <w:keepNext/>
        <w:spacing w:before="160" w:after="60" w:line="240" w:lineRule="auto"/>
        <w:shd w:val="clear" w:color="auto" w:fill="DAEEF3"/>
        <w:pBdr>
          <w:bottom w:val="double" w:sz="4" w:space="1" w:color="auto"/>
        </w:pBdr>
        <w:widowControl/>
      </w:pPr>
      <w:r>
        <w:rPr>
          <w:rFonts w:ascii="Arial" w:hAnsi="Arial" w:cs="Arial"/>
          <w:b/>
          <w:i w:val="0"/>
          <w:sz w:val="20"/>
        </w:rPr>
        <w:t>I. Wymagania ogólne dotyczące przedmiotu zamówienia</w:t>
      </w:r>
    </w:p>
    <w:p>
      <w:pPr>
        <w:spacing w:before="0" w:after="60" w:line="240" w:lineRule="auto"/>
        <w:jc w:val="both"/>
        <w:widowControl/>
      </w:pPr>
      <w:r>
        <w:rPr>
          <w:rFonts w:ascii="Arial" w:hAnsi="Arial" w:cs="Arial"/>
          <w:b w:val="0"/>
          <w:i w:val="0"/>
          <w:sz w:val="19"/>
        </w:rPr>
        <w:t>Przedmiotem zamówienia jest dostawa jednego fabrycznie nowego, nieużywanego autobusu, przystosowanego do przewozu osób niepełnosprawnych, w tym osób poruszających się na wózkach inwalidzkich, spełniającego wszystkie wymagania określone w niniejszym Opisie Przedmiotu Zamówienia.</w:t>
      </w:r>
    </w:p>
    <w:p>
      <w:pPr>
        <w:spacing w:before="0" w:after="60" w:line="240" w:lineRule="auto"/>
        <w:jc w:val="both"/>
        <w:widowControl/>
      </w:pPr>
      <w:r>
        <w:rPr>
          <w:rFonts w:ascii="Arial" w:hAnsi="Arial" w:cs="Arial"/>
          <w:b w:val="0"/>
          <w:i w:val="0"/>
          <w:sz w:val="19"/>
        </w:rPr>
        <w:t>Dostarczony pojazd musi być fabrycznie nowy, nieużywany, wolny od wad fizycznych  i prawnych oraz praw osób trzecich, kompletny i gotowy do użytkowania zgodnie z jego przeznaczeniem. Pojazd nie może być pojazdem demonstracyjnym ani wcześniej eksploatowanym. Dopuszcza się wyłącznie przebieg wynikający z procesu produkcji, wykonania zabudowy autobusowej, badań, czynności homologacyjnych.</w:t>
      </w:r>
    </w:p>
    <w:p>
      <w:pPr>
        <w:spacing w:before="0" w:after="60" w:line="240" w:lineRule="auto"/>
        <w:jc w:val="both"/>
        <w:widowControl/>
      </w:pPr>
      <w:r>
        <w:rPr>
          <w:rFonts w:ascii="Arial" w:hAnsi="Arial" w:cs="Arial"/>
          <w:b w:val="0"/>
          <w:i w:val="0"/>
          <w:sz w:val="19"/>
        </w:rPr>
        <w:t>Pojazd musi być wyprodukowany nie wcześniej niż w 2026 r. oraz posiadać wszystkie dokumenty wymagane do jego pierwszej rejestracji i dopuszczenia do ruchu na terytorium Rzeczypospolitej Polskiej jako autobus.</w:t>
      </w:r>
    </w:p>
    <w:p>
      <w:pPr>
        <w:spacing w:before="0" w:after="60" w:line="240" w:lineRule="auto"/>
        <w:jc w:val="both"/>
        <w:widowControl/>
      </w:pPr>
      <w:r>
        <w:rPr>
          <w:rFonts w:ascii="Arial" w:hAnsi="Arial" w:cs="Arial"/>
          <w:b w:val="0"/>
          <w:i w:val="0"/>
          <w:sz w:val="19"/>
        </w:rPr>
        <w:t>Dostarczony pojazd wraz z wykonaną zabudową autobusową musi stanowić pojazd kompletny, spełniający wymagania wynikające z obowiązujących przepisów prawa, w szczególności przepisów dotyczących warunków technicznych pojazdów oraz wymagań homologacyjnych. Konstrukcja pojazdu, miejsca siedzące, systemy mocowania foteli, stanowiska przeznaczone dla osób poruszających się na wózkach, pasy bezpieczeństwa oraz pozostałe elementy zabudowy muszą spełniać wymagania przepisów homologacyjnych obowiązujących na dzień dostawy pojazdu.</w:t>
      </w:r>
    </w:p>
    <w:p>
      <w:pPr>
        <w:spacing w:before="0" w:after="60" w:line="240" w:lineRule="auto"/>
        <w:jc w:val="both"/>
        <w:widowControl/>
      </w:pPr>
      <w:r>
        <w:rPr>
          <w:rFonts w:ascii="Arial" w:hAnsi="Arial" w:cs="Arial"/>
          <w:b w:val="0"/>
          <w:i w:val="0"/>
          <w:sz w:val="19"/>
        </w:rPr>
        <w:t>Pojazd musi spełniać wymagania w zakresie emisji spalin obowiązujące dla fabrycznie nowego pojazdu danego rodzaju i kategorii w dniu jego dostawy i pierwszej rejestracji. Wykonawca zobowiązany jest dostarczyć wraz z pojazdem dokumenty potwierdzające spełnienie wymagań homologacyjnych oraz dokumenty niezbędne do jego pierwszej rejestracji.</w:t>
      </w:r>
    </w:p>
    <w:p>
      <w:pPr>
        <w:keepNext/>
        <w:spacing w:before="160" w:after="60" w:line="240" w:lineRule="auto"/>
        <w:shd w:val="clear" w:color="auto" w:fill="DAEEF3"/>
        <w:pBdr>
          <w:bottom w:val="double" w:sz="4" w:space="1" w:color="auto"/>
        </w:pBdr>
        <w:widowControl/>
      </w:pPr>
      <w:r>
        <w:rPr>
          <w:rFonts w:ascii="Arial" w:hAnsi="Arial" w:cs="Arial"/>
          <w:b/>
          <w:i w:val="0"/>
          <w:sz w:val="20"/>
        </w:rPr>
        <w:t>II. Minimalne wymagania techniczne, funkcjonalne, i homologacyjne dotyczące pojazdu</w:t>
      </w:r>
    </w:p>
    <w:p>
      <w:pPr>
        <w:keepNext/>
        <w:spacing w:before="140" w:after="40" w:line="240" w:lineRule="auto"/>
        <w:shd w:val="clear" w:color="auto" w:fill="DAEEF3"/>
        <w:pBdr>
          <w:bottom w:val="double" w:sz="4" w:space="1" w:color="auto"/>
        </w:pBdr>
        <w:widowControl/>
      </w:pPr>
      <w:r>
        <w:rPr>
          <w:rFonts w:ascii="Arial" w:hAnsi="Arial" w:cs="Arial"/>
          <w:b/>
          <w:i w:val="0"/>
          <w:sz w:val="19"/>
        </w:rPr>
        <w:t>1. Układ napędowy</w:t>
      </w:r>
    </w:p>
    <w:p>
      <w:pPr>
        <w:spacing w:before="0" w:after="44" w:line="240" w:lineRule="auto"/>
        <w:ind w:left="408" w:hanging="272"/>
        <w:jc w:val="both"/>
        <w:widowControl/>
      </w:pPr>
      <w:r>
        <w:rPr>
          <w:rFonts w:ascii="Arial" w:hAnsi="Arial" w:cs="Arial"/>
          <w:b w:val="0"/>
          <w:i w:val="0"/>
          <w:sz w:val="19"/>
        </w:rPr>
        <w:t>1) Silnik wysokoprężny, turbodoładowany.</w:t>
      </w:r>
    </w:p>
    <w:p>
      <w:pPr>
        <w:spacing w:before="0" w:after="44" w:line="240" w:lineRule="auto"/>
        <w:ind w:left="408" w:hanging="272"/>
        <w:jc w:val="both"/>
        <w:widowControl/>
      </w:pPr>
      <w:r>
        <w:rPr>
          <w:rFonts w:ascii="Arial" w:hAnsi="Arial" w:cs="Arial"/>
          <w:b w:val="0"/>
          <w:i w:val="0"/>
          <w:sz w:val="19"/>
        </w:rPr>
        <w:t>2) Moc maksymalna silnika: nie mniej niż 125 kW (około 170 KM).</w:t>
      </w:r>
    </w:p>
    <w:p>
      <w:pPr>
        <w:spacing w:before="0" w:after="44" w:line="240" w:lineRule="auto"/>
        <w:ind w:left="408" w:hanging="272"/>
        <w:jc w:val="both"/>
        <w:widowControl/>
      </w:pPr>
      <w:r>
        <w:rPr>
          <w:rFonts w:ascii="Arial" w:hAnsi="Arial" w:cs="Arial"/>
          <w:b w:val="0"/>
          <w:i w:val="0"/>
          <w:sz w:val="19"/>
        </w:rPr>
        <w:t>3) Skrzynia biegów: automatyczna, posiadająca co najmniej 8 przełożeń do jazdy do przodu, zapewniająca samoczynną zmianę przełożeń bez konieczności manualnej zmiany biegów przez kierowcę.</w:t>
      </w:r>
    </w:p>
    <w:p>
      <w:pPr>
        <w:spacing w:before="0" w:after="44" w:line="240" w:lineRule="auto"/>
        <w:ind w:left="408" w:hanging="272"/>
        <w:jc w:val="both"/>
        <w:widowControl/>
      </w:pPr>
      <w:r>
        <w:rPr>
          <w:rFonts w:ascii="Arial" w:hAnsi="Arial" w:cs="Arial"/>
          <w:b w:val="0"/>
          <w:i w:val="0"/>
          <w:sz w:val="19"/>
        </w:rPr>
        <w:t>4) Pojazd wyposażony w tempomat.</w:t>
      </w:r>
    </w:p>
    <w:p>
      <w:pPr>
        <w:keepNext/>
        <w:spacing w:before="140" w:after="40" w:line="240" w:lineRule="auto"/>
        <w:shd w:val="clear" w:color="auto" w:fill="DAEEF3"/>
        <w:pBdr>
          <w:bottom w:val="double" w:sz="4" w:space="1" w:color="auto"/>
        </w:pBdr>
        <w:widowControl/>
      </w:pPr>
      <w:r>
        <w:rPr>
          <w:rFonts w:ascii="Arial" w:hAnsi="Arial" w:cs="Arial"/>
          <w:b/>
          <w:i w:val="0"/>
          <w:sz w:val="19"/>
        </w:rPr>
        <w:t>2. Układ jezdny, zawieszenie i konstrukcja pojazdu</w:t>
      </w:r>
    </w:p>
    <w:p>
      <w:pPr>
        <w:spacing w:before="0" w:after="44" w:line="240" w:lineRule="auto"/>
        <w:ind w:left="408" w:hanging="272"/>
        <w:jc w:val="both"/>
        <w:widowControl/>
      </w:pPr>
      <w:r>
        <w:rPr>
          <w:rFonts w:ascii="Arial" w:hAnsi="Arial" w:cs="Arial"/>
          <w:b w:val="0"/>
          <w:i w:val="0"/>
          <w:sz w:val="19"/>
        </w:rPr>
        <w:t>1) Podwozie, zawieszenie i elementy konstrukcyjne pojazdu muszą być dostosowane do wykonanej zabudowy autobusowej, liczby przewożonych osób oraz dopuszczalnej masy całkowitej pojazdu.</w:t>
      </w:r>
    </w:p>
    <w:p>
      <w:pPr>
        <w:spacing w:before="0" w:after="44" w:line="240" w:lineRule="auto"/>
        <w:ind w:left="408" w:hanging="272"/>
        <w:jc w:val="both"/>
        <w:widowControl/>
      </w:pPr>
      <w:r>
        <w:rPr>
          <w:rFonts w:ascii="Arial" w:hAnsi="Arial" w:cs="Arial"/>
          <w:b w:val="0"/>
          <w:i w:val="0"/>
          <w:sz w:val="19"/>
        </w:rPr>
        <w:t>2) Oś przednia o nośności odpowiedniej do docelowej konfiguracji i zabudowy autobusowej pojazdu, w razie potrzeby konstrukcyjnie wzmocniona.</w:t>
      </w:r>
    </w:p>
    <w:p>
      <w:pPr>
        <w:spacing w:before="0" w:after="44" w:line="240" w:lineRule="auto"/>
        <w:ind w:left="408" w:hanging="272"/>
        <w:jc w:val="both"/>
        <w:widowControl/>
      </w:pPr>
      <w:r>
        <w:rPr>
          <w:rFonts w:ascii="Arial" w:hAnsi="Arial" w:cs="Arial"/>
          <w:b w:val="0"/>
          <w:i w:val="0"/>
          <w:sz w:val="19"/>
        </w:rPr>
        <w:t>3) Rama, podłużnice oraz pozostałe elementy nośne pojazdu muszą posiadać wytrzymałość odpowiednią dla zabudowy autobusowej; dopuszcza się ich fabryczne lub wykonane zgodnie z wymaganiami producenta pojazdu wzmocnienie.</w:t>
      </w:r>
    </w:p>
    <w:p>
      <w:pPr>
        <w:spacing w:before="0" w:after="44" w:line="240" w:lineRule="auto"/>
        <w:ind w:left="408" w:hanging="272"/>
        <w:jc w:val="both"/>
        <w:widowControl/>
      </w:pPr>
      <w:r>
        <w:rPr>
          <w:rFonts w:ascii="Arial" w:hAnsi="Arial" w:cs="Arial"/>
          <w:b w:val="0"/>
          <w:i w:val="0"/>
          <w:sz w:val="19"/>
        </w:rPr>
        <w:t>4) Pojazd musi posiadać układ zawieszenia i stabilizacji zapewniający właściwą stateczność oraz bezpieczeństwo jazdy przy pełnym obciążeniu i w docelowej konfiguracji autobusowej.</w:t>
      </w:r>
    </w:p>
    <w:p>
      <w:pPr>
        <w:spacing w:before="0" w:after="44" w:line="240" w:lineRule="auto"/>
        <w:ind w:left="408" w:hanging="272"/>
        <w:jc w:val="both"/>
        <w:widowControl/>
      </w:pPr>
      <w:r>
        <w:rPr>
          <w:rFonts w:ascii="Arial" w:hAnsi="Arial" w:cs="Arial"/>
          <w:b w:val="0"/>
          <w:i w:val="0"/>
          <w:sz w:val="19"/>
        </w:rPr>
        <w:t>5) Pojazd wyposażony w system kontroli ciśnienia w ogumieniu.</w:t>
      </w:r>
    </w:p>
    <w:p>
      <w:pPr>
        <w:spacing w:before="0" w:after="44" w:line="240" w:lineRule="auto"/>
        <w:ind w:left="408" w:hanging="272"/>
        <w:jc w:val="both"/>
        <w:widowControl/>
      </w:pPr>
      <w:r>
        <w:rPr>
          <w:rFonts w:ascii="Arial" w:hAnsi="Arial" w:cs="Arial"/>
          <w:b w:val="0"/>
          <w:i w:val="0"/>
          <w:sz w:val="19"/>
        </w:rPr>
        <w:t>6) Pojazd wyposażony w pełnowymiarowe koło zapasowe albo koło zapasowe przewidziane przez producenta dla zaoferowanego pojazdu.</w:t>
      </w:r>
    </w:p>
    <w:p>
      <w:pPr>
        <w:spacing w:before="0" w:after="44" w:line="240" w:lineRule="auto"/>
        <w:ind w:left="408" w:hanging="272"/>
        <w:jc w:val="both"/>
        <w:widowControl/>
      </w:pPr>
      <w:r>
        <w:rPr>
          <w:rFonts w:ascii="Arial" w:hAnsi="Arial" w:cs="Arial"/>
          <w:b w:val="0"/>
          <w:i w:val="0"/>
          <w:sz w:val="19"/>
        </w:rPr>
        <w:t>7) Wyposażenie pojazdu musi obejmować hydrauliczny podnośnik samochodowy o udźwigu odpowiednim do dopuszczalnej masy pojazdu.</w:t>
      </w:r>
    </w:p>
    <w:p>
      <w:pPr>
        <w:keepNext/>
        <w:spacing w:before="140" w:after="40" w:line="240" w:lineRule="auto"/>
        <w:shd w:val="clear" w:color="auto" w:fill="DAEEF3"/>
        <w:pBdr>
          <w:bottom w:val="double" w:sz="4" w:space="1" w:color="auto"/>
        </w:pBdr>
        <w:widowControl/>
      </w:pPr>
      <w:r>
        <w:rPr>
          <w:rFonts w:ascii="Arial" w:hAnsi="Arial" w:cs="Arial"/>
          <w:b/>
          <w:i w:val="0"/>
          <w:sz w:val="19"/>
        </w:rPr>
        <w:t>3. Nadwozie, drzwi i przeszklenie</w:t>
      </w:r>
    </w:p>
    <w:p>
      <w:pPr>
        <w:spacing w:before="0" w:after="44" w:line="240" w:lineRule="auto"/>
        <w:ind w:left="408" w:hanging="272"/>
        <w:jc w:val="both"/>
        <w:widowControl/>
      </w:pPr>
      <w:r>
        <w:rPr>
          <w:rFonts w:ascii="Arial" w:hAnsi="Arial" w:cs="Arial"/>
          <w:b w:val="0"/>
          <w:i w:val="0"/>
          <w:sz w:val="19"/>
        </w:rPr>
        <w:t>1) Nadwozie z dachem wysokim, przystosowane do zabudowy autobusowej i zapewniające swobodne korzystanie z przestrzeni pasażerskiej.</w:t>
      </w:r>
    </w:p>
    <w:p>
      <w:pPr>
        <w:spacing w:before="0" w:after="44" w:line="240" w:lineRule="auto"/>
        <w:ind w:left="408" w:hanging="272"/>
        <w:jc w:val="both"/>
        <w:widowControl/>
      </w:pPr>
      <w:r>
        <w:rPr>
          <w:rFonts w:ascii="Arial" w:hAnsi="Arial" w:cs="Arial"/>
          <w:b w:val="0"/>
          <w:i w:val="0"/>
          <w:sz w:val="19"/>
        </w:rPr>
        <w:t>2) Tylne drzwi pojazdu otwierane w sposób zapewniający możliwie szeroki dostęp do przestrzeni tylnej, z możliwością otwarcia do ścian bocznych pojazdu lub zastosowaniem rozwiązania zapewniającego równoważną szerokość i funkcjonalność dostępu.</w:t>
      </w:r>
    </w:p>
    <w:p>
      <w:pPr>
        <w:spacing w:before="0" w:after="44" w:line="240" w:lineRule="auto"/>
        <w:ind w:left="408" w:hanging="272"/>
        <w:jc w:val="both"/>
        <w:widowControl/>
      </w:pPr>
      <w:r>
        <w:rPr>
          <w:rFonts w:ascii="Arial" w:hAnsi="Arial" w:cs="Arial"/>
          <w:b w:val="0"/>
          <w:i w:val="0"/>
          <w:sz w:val="19"/>
        </w:rPr>
        <w:t>3) Przy tylnych drzwiach po prawej stronie pojazdu uchwyt ułatwiający bezpieczne wsiadanie i wysiadanie.</w:t>
      </w:r>
    </w:p>
    <w:p>
      <w:pPr>
        <w:spacing w:before="0" w:after="44" w:line="240" w:lineRule="auto"/>
        <w:ind w:left="408" w:hanging="272"/>
        <w:jc w:val="both"/>
        <w:widowControl/>
      </w:pPr>
      <w:r>
        <w:rPr>
          <w:rFonts w:ascii="Arial" w:hAnsi="Arial" w:cs="Arial"/>
          <w:b w:val="0"/>
          <w:i w:val="0"/>
          <w:sz w:val="19"/>
        </w:rPr>
        <w:t>4) Przestrzeń pasażerska wyposażona w panoramiczne przeszklenie boczne o dużej powierzchni, zapewniające pasażerom szerokie pole widzenia. Szyby pojedyncze, przyciemniane. Dopuszcza się szyby gięte lub inne rozwiązanie zapewniające co najmniej równoważną funkcjonalność przeszklenia.</w:t>
      </w:r>
    </w:p>
    <w:p>
      <w:pPr>
        <w:spacing w:before="0" w:after="44" w:line="240" w:lineRule="auto"/>
        <w:ind w:left="408" w:hanging="272"/>
        <w:jc w:val="both"/>
        <w:widowControl/>
      </w:pPr>
      <w:r>
        <w:rPr>
          <w:rFonts w:ascii="Arial" w:hAnsi="Arial" w:cs="Arial"/>
          <w:b w:val="0"/>
          <w:i w:val="0"/>
          <w:sz w:val="19"/>
        </w:rPr>
        <w:t>5) Szyba czołowa wyposażona w filtr ograniczający nagrzewanie i nasłonecznienie wnętrza, zgodnie z wymaganiami homologacyjnymi.</w:t>
      </w:r>
    </w:p>
    <w:p>
      <w:pPr>
        <w:spacing w:before="0" w:after="44" w:line="240" w:lineRule="auto"/>
        <w:ind w:left="408" w:hanging="272"/>
        <w:jc w:val="both"/>
        <w:widowControl/>
      </w:pPr>
      <w:r>
        <w:rPr>
          <w:rFonts w:ascii="Arial" w:hAnsi="Arial" w:cs="Arial"/>
          <w:b w:val="0"/>
          <w:i w:val="0"/>
          <w:sz w:val="19"/>
        </w:rPr>
        <w:t>6) Szyba przednia ogrzewana.</w:t>
      </w:r>
    </w:p>
    <w:p>
      <w:pPr>
        <w:keepNext/>
        <w:spacing w:before="140" w:after="40" w:line="240" w:lineRule="auto"/>
        <w:shd w:val="clear" w:color="auto" w:fill="DAEEF3"/>
        <w:pBdr>
          <w:bottom w:val="double" w:sz="4" w:space="1" w:color="auto"/>
        </w:pBdr>
        <w:widowControl/>
      </w:pPr>
      <w:r>
        <w:rPr>
          <w:rFonts w:ascii="Arial" w:hAnsi="Arial" w:cs="Arial"/>
          <w:b/>
          <w:i w:val="0"/>
          <w:sz w:val="19"/>
        </w:rPr>
        <w:t>4. Wyposażenie stanowiska kierowcy</w:t>
      </w:r>
    </w:p>
    <w:p>
      <w:pPr>
        <w:spacing w:before="0" w:after="44" w:line="240" w:lineRule="auto"/>
        <w:ind w:left="408" w:hanging="272"/>
        <w:jc w:val="both"/>
        <w:widowControl/>
      </w:pPr>
      <w:r>
        <w:rPr>
          <w:rFonts w:ascii="Arial" w:hAnsi="Arial" w:cs="Arial"/>
          <w:b w:val="0"/>
          <w:i w:val="0"/>
          <w:sz w:val="19"/>
        </w:rPr>
        <w:t>1) Kierownica wielofunkcyjna umożliwiająca obsługę podstawowych funkcji pojazdu lub systemu multimedialnego bez konieczności zdejmowania rąk z kierownicy.</w:t>
      </w:r>
    </w:p>
    <w:p>
      <w:pPr>
        <w:spacing w:before="0" w:after="44" w:line="240" w:lineRule="auto"/>
        <w:ind w:left="408" w:hanging="272"/>
        <w:jc w:val="both"/>
        <w:widowControl/>
      </w:pPr>
      <w:r>
        <w:rPr>
          <w:rFonts w:ascii="Arial" w:hAnsi="Arial" w:cs="Arial"/>
          <w:b w:val="0"/>
          <w:i w:val="0"/>
          <w:sz w:val="19"/>
        </w:rPr>
        <w:t>2) Kierownica obszyta skórą lub materiałem o co najmniej równoważnej trwałości, odporności na zużycie i właściwościach użytkowych.</w:t>
      </w:r>
    </w:p>
    <w:p>
      <w:pPr>
        <w:spacing w:before="0" w:after="44" w:line="240" w:lineRule="auto"/>
        <w:ind w:left="408" w:hanging="272"/>
        <w:jc w:val="both"/>
        <w:widowControl/>
      </w:pPr>
      <w:r>
        <w:rPr>
          <w:rFonts w:ascii="Arial" w:hAnsi="Arial" w:cs="Arial"/>
          <w:b w:val="0"/>
          <w:i w:val="0"/>
          <w:sz w:val="19"/>
        </w:rPr>
        <w:t>3) Fotel kierowcy wyposażony w podłokietnik.</w:t>
      </w:r>
    </w:p>
    <w:p>
      <w:pPr>
        <w:spacing w:before="0" w:after="44" w:line="240" w:lineRule="auto"/>
        <w:ind w:left="408" w:hanging="272"/>
        <w:jc w:val="both"/>
        <w:widowControl/>
      </w:pPr>
      <w:r>
        <w:rPr>
          <w:rFonts w:ascii="Arial" w:hAnsi="Arial" w:cs="Arial"/>
          <w:b w:val="0"/>
          <w:i w:val="0"/>
          <w:sz w:val="19"/>
        </w:rPr>
        <w:t>4) Lusterka zewnętrzne:</w:t>
      </w:r>
    </w:p>
    <w:p>
      <w:pPr>
        <w:spacing w:before="0" w:after="44" w:line="240" w:lineRule="auto"/>
        <w:ind w:left="726" w:hanging="227"/>
        <w:jc w:val="both"/>
        <w:widowControl/>
      </w:pPr>
      <w:r>
        <w:rPr>
          <w:rFonts w:ascii="Arial" w:hAnsi="Arial" w:cs="Arial"/>
          <w:b w:val="0"/>
          <w:i w:val="0"/>
          <w:sz w:val="19"/>
        </w:rPr>
        <w:t>a. regulowane elektrycznie,</w:t>
      </w:r>
    </w:p>
    <w:p>
      <w:pPr>
        <w:spacing w:before="0" w:after="44" w:line="240" w:lineRule="auto"/>
        <w:ind w:left="726" w:hanging="227"/>
        <w:jc w:val="both"/>
        <w:widowControl/>
      </w:pPr>
      <w:r>
        <w:rPr>
          <w:rFonts w:ascii="Arial" w:hAnsi="Arial" w:cs="Arial"/>
          <w:b w:val="0"/>
          <w:i w:val="0"/>
          <w:sz w:val="19"/>
        </w:rPr>
        <w:t>b. podgrzewane,</w:t>
      </w:r>
    </w:p>
    <w:p>
      <w:pPr>
        <w:spacing w:before="0" w:after="44" w:line="240" w:lineRule="auto"/>
        <w:ind w:left="726" w:hanging="227"/>
        <w:jc w:val="both"/>
        <w:widowControl/>
      </w:pPr>
      <w:r>
        <w:rPr>
          <w:rFonts w:ascii="Arial" w:hAnsi="Arial" w:cs="Arial"/>
          <w:b w:val="0"/>
          <w:i w:val="0"/>
          <w:sz w:val="19"/>
        </w:rPr>
        <w:t>c. składane elektrycznie.</w:t>
      </w:r>
    </w:p>
    <w:p>
      <w:pPr>
        <w:spacing w:before="0" w:after="44" w:line="240" w:lineRule="auto"/>
        <w:ind w:left="408" w:hanging="272"/>
        <w:jc w:val="both"/>
        <w:widowControl/>
      </w:pPr>
      <w:r>
        <w:rPr>
          <w:rFonts w:ascii="Arial" w:hAnsi="Arial" w:cs="Arial"/>
          <w:b w:val="0"/>
          <w:i w:val="0"/>
          <w:sz w:val="19"/>
        </w:rPr>
        <w:t>5) Kamera cofania zapewniająca kierowcy podgląd obszaru bezpośrednio za pojazdem podczas wykonywania manewru cofania.</w:t>
      </w:r>
    </w:p>
    <w:p>
      <w:pPr>
        <w:spacing w:before="0" w:after="44" w:line="240" w:lineRule="auto"/>
        <w:ind w:left="408" w:hanging="272"/>
        <w:jc w:val="both"/>
        <w:widowControl/>
      </w:pPr>
      <w:r>
        <w:rPr>
          <w:rFonts w:ascii="Arial" w:hAnsi="Arial" w:cs="Arial"/>
          <w:b w:val="0"/>
          <w:i w:val="0"/>
          <w:sz w:val="19"/>
        </w:rPr>
        <w:t>6) Czujnik deszczu automatycznie uruchamiający lub regulujący pracę wycieraczek.</w:t>
      </w:r>
    </w:p>
    <w:p>
      <w:pPr>
        <w:spacing w:before="0" w:after="44" w:line="240" w:lineRule="auto"/>
        <w:ind w:left="408" w:hanging="272"/>
        <w:jc w:val="both"/>
        <w:widowControl/>
      </w:pPr>
      <w:r>
        <w:rPr>
          <w:rFonts w:ascii="Arial" w:hAnsi="Arial" w:cs="Arial"/>
          <w:b w:val="0"/>
          <w:i w:val="0"/>
          <w:sz w:val="19"/>
        </w:rPr>
        <w:t>7) Asystent ruszania na wzniesieniu zapobiegający niekontrolowanemu stoczeniu się pojazdu podczas rozpoczęcia jazdy.</w:t>
      </w:r>
    </w:p>
    <w:p>
      <w:pPr>
        <w:spacing w:before="0" w:after="44" w:line="240" w:lineRule="auto"/>
        <w:ind w:left="408" w:hanging="272"/>
        <w:jc w:val="both"/>
        <w:widowControl/>
      </w:pPr>
      <w:r>
        <w:rPr>
          <w:rFonts w:ascii="Arial" w:hAnsi="Arial" w:cs="Arial"/>
          <w:b w:val="0"/>
          <w:i w:val="0"/>
          <w:sz w:val="19"/>
        </w:rPr>
        <w:t>8) Pojazd wyposażony w system wspomagający bezpieczne ruszanie poprzez monitorowanie obszaru bezpośrednio przed pojazdem lub w jego bezpośrednim otoczeniu.</w:t>
      </w:r>
    </w:p>
    <w:p>
      <w:pPr>
        <w:keepNext/>
        <w:spacing w:before="140" w:after="40" w:line="240" w:lineRule="auto"/>
        <w:shd w:val="clear" w:color="auto" w:fill="DAEEF3"/>
        <w:pBdr>
          <w:bottom w:val="double" w:sz="4" w:space="1" w:color="auto"/>
        </w:pBdr>
        <w:widowControl/>
      </w:pPr>
      <w:r>
        <w:rPr>
          <w:rFonts w:ascii="Arial" w:hAnsi="Arial" w:cs="Arial"/>
          <w:b/>
          <w:i w:val="0"/>
          <w:sz w:val="19"/>
        </w:rPr>
        <w:t>5. Systemy bezpieczeństwa i wspomagania kierowcy</w:t>
      </w:r>
    </w:p>
    <w:p>
      <w:pPr>
        <w:spacing w:before="0" w:after="44" w:line="240" w:lineRule="auto"/>
        <w:ind w:left="408" w:hanging="272"/>
        <w:jc w:val="both"/>
        <w:widowControl/>
      </w:pPr>
      <w:r>
        <w:rPr>
          <w:rFonts w:ascii="Arial" w:hAnsi="Arial" w:cs="Arial"/>
          <w:b w:val="0"/>
          <w:i w:val="0"/>
          <w:sz w:val="19"/>
        </w:rPr>
        <w:t>1) System automatycznego awaryjnego hamowania, wykrywający ryzyko kolizji i automatycznie uruchamiający hamowanie albo wspomagający kierowcę w hamowaniu.</w:t>
      </w:r>
    </w:p>
    <w:p>
      <w:pPr>
        <w:spacing w:before="0" w:after="44" w:line="240" w:lineRule="auto"/>
        <w:ind w:left="408" w:hanging="272"/>
        <w:jc w:val="both"/>
        <w:widowControl/>
      </w:pPr>
      <w:r>
        <w:rPr>
          <w:rFonts w:ascii="Arial" w:hAnsi="Arial" w:cs="Arial"/>
          <w:b w:val="0"/>
          <w:i w:val="0"/>
          <w:sz w:val="19"/>
        </w:rPr>
        <w:t>2) System monitorowania martwego pola po bokach pojazdu, ostrzegający kierowcę o obecności innych pojazdów, rowerzystów, pieszych lub innych przeszkód znajdujących się w obszarze niewidocznym bezpośrednio w lusterkach.</w:t>
      </w:r>
    </w:p>
    <w:p>
      <w:pPr>
        <w:spacing w:before="0" w:after="44" w:line="240" w:lineRule="auto"/>
        <w:ind w:left="408" w:hanging="272"/>
        <w:jc w:val="both"/>
        <w:widowControl/>
      </w:pPr>
      <w:r>
        <w:rPr>
          <w:rFonts w:ascii="Arial" w:hAnsi="Arial" w:cs="Arial"/>
          <w:b w:val="0"/>
          <w:i w:val="0"/>
          <w:sz w:val="19"/>
        </w:rPr>
        <w:t>3) Aktywny system wspomagania utrzymania pojazdu na pasie ruchu, ostrzegający o niezamierzonym opuszczeniu pasa ruchu i/lub podejmujący działanie korygujące tor jazdy.</w:t>
      </w:r>
    </w:p>
    <w:p>
      <w:pPr>
        <w:spacing w:before="0" w:after="44" w:line="240" w:lineRule="auto"/>
        <w:ind w:left="408" w:hanging="272"/>
        <w:jc w:val="both"/>
        <w:widowControl/>
      </w:pPr>
      <w:r>
        <w:rPr>
          <w:rFonts w:ascii="Arial" w:hAnsi="Arial" w:cs="Arial"/>
          <w:b w:val="0"/>
          <w:i w:val="0"/>
          <w:sz w:val="19"/>
        </w:rPr>
        <w:t>4) Pojazd wyposażony w kamerę monitorującą kierowcę albo równoważny system monitorowania uwagi kierowcy, wspomagający bezpieczeństwo prowadzenia pojazdu i ostrzegający kierowcę o obniżeniu koncentracji lub rozproszeniu; zastosowane rozwiązanie musi być zgodne z homologacją zaoferowanego pojazdu.</w:t>
      </w:r>
    </w:p>
    <w:p>
      <w:pPr>
        <w:spacing w:before="0" w:after="44" w:line="240" w:lineRule="auto"/>
        <w:ind w:left="408" w:hanging="272"/>
        <w:jc w:val="both"/>
        <w:widowControl/>
      </w:pPr>
      <w:r>
        <w:rPr>
          <w:rFonts w:ascii="Arial" w:hAnsi="Arial" w:cs="Arial"/>
          <w:b w:val="0"/>
          <w:i w:val="0"/>
          <w:sz w:val="19"/>
        </w:rPr>
        <w:t>5) Boczne światła obrysowe zgodne z wymaganiami homologacyjnymi.</w:t>
      </w:r>
    </w:p>
    <w:p>
      <w:pPr>
        <w:spacing w:before="0" w:after="44" w:line="240" w:lineRule="auto"/>
        <w:ind w:left="408" w:hanging="272"/>
        <w:jc w:val="both"/>
        <w:widowControl/>
      </w:pPr>
      <w:r>
        <w:rPr>
          <w:rFonts w:ascii="Arial" w:hAnsi="Arial" w:cs="Arial"/>
          <w:b w:val="0"/>
          <w:i w:val="0"/>
          <w:sz w:val="19"/>
        </w:rPr>
        <w:t>6) Przednie światła przeciwmgielne wyposażone w funkcję doświetlania zakrętów lub rozwiązanie o równoważnej funkcjonalności.</w:t>
      </w:r>
    </w:p>
    <w:p>
      <w:pPr>
        <w:spacing w:before="0" w:after="44" w:line="240" w:lineRule="auto"/>
        <w:ind w:left="408" w:hanging="272"/>
        <w:jc w:val="both"/>
        <w:widowControl/>
      </w:pPr>
      <w:r>
        <w:rPr>
          <w:rFonts w:ascii="Arial" w:hAnsi="Arial" w:cs="Arial"/>
          <w:b w:val="0"/>
          <w:i w:val="0"/>
          <w:sz w:val="19"/>
        </w:rPr>
        <w:t>7) Reflektory przednie wykonane w technologii LED, obejmujące co najmniej światła mijania oraz światła drogowe. Dopuszcza się reflektory ze stałą wiązką światła, jak również reflektory adaptacyjne, matrycowe lub inne rozwiązania o szerszej funkcjonalności, pod warunkiem spełnienia wymagań homologacyjnych.</w:t>
      </w:r>
    </w:p>
    <w:p>
      <w:pPr>
        <w:keepNext/>
        <w:spacing w:before="140" w:after="40" w:line="240" w:lineRule="auto"/>
        <w:shd w:val="clear" w:color="auto" w:fill="DAEEF3"/>
        <w:pBdr>
          <w:bottom w:val="double" w:sz="4" w:space="1" w:color="auto"/>
        </w:pBdr>
        <w:widowControl/>
      </w:pPr>
      <w:r>
        <w:rPr>
          <w:rFonts w:ascii="Arial" w:hAnsi="Arial" w:cs="Arial"/>
          <w:b/>
          <w:i w:val="0"/>
          <w:sz w:val="19"/>
        </w:rPr>
        <w:t>6. Wyposażenie elektryczne, audio i informacyjne</w:t>
      </w:r>
    </w:p>
    <w:p>
      <w:pPr>
        <w:spacing w:before="0" w:after="44" w:line="240" w:lineRule="auto"/>
        <w:ind w:left="408" w:hanging="272"/>
        <w:jc w:val="both"/>
        <w:widowControl/>
      </w:pPr>
      <w:r>
        <w:rPr>
          <w:rFonts w:ascii="Arial" w:hAnsi="Arial" w:cs="Arial"/>
          <w:b w:val="0"/>
          <w:i w:val="0"/>
          <w:sz w:val="19"/>
        </w:rPr>
        <w:t>1) Radioodbiornik z możliwością odbioru cyfrowego sygnału radiowego DAB/DAB+.</w:t>
      </w:r>
    </w:p>
    <w:p>
      <w:pPr>
        <w:spacing w:before="0" w:after="44" w:line="240" w:lineRule="auto"/>
        <w:ind w:left="408" w:hanging="272"/>
        <w:jc w:val="both"/>
        <w:widowControl/>
      </w:pPr>
      <w:r>
        <w:rPr>
          <w:rFonts w:ascii="Arial" w:hAnsi="Arial" w:cs="Arial"/>
          <w:b w:val="0"/>
          <w:i w:val="0"/>
          <w:sz w:val="19"/>
        </w:rPr>
        <w:t>2) Co najmniej jedno gniazdo USB umożliwiające zasilanie i ładowanie urządzeń mobilnych.</w:t>
      </w:r>
    </w:p>
    <w:p>
      <w:pPr>
        <w:spacing w:before="0" w:after="44" w:line="240" w:lineRule="auto"/>
        <w:ind w:left="408" w:hanging="272"/>
        <w:jc w:val="both"/>
        <w:widowControl/>
      </w:pPr>
      <w:r>
        <w:rPr>
          <w:rFonts w:ascii="Arial" w:hAnsi="Arial" w:cs="Arial"/>
          <w:b w:val="0"/>
          <w:i w:val="0"/>
          <w:sz w:val="19"/>
        </w:rPr>
        <w:t>3) Przestrzeń pasażerska wyposażona w co najmniej 4 głośniki.</w:t>
      </w:r>
    </w:p>
    <w:p>
      <w:pPr>
        <w:spacing w:before="0" w:after="44" w:line="240" w:lineRule="auto"/>
        <w:ind w:left="408" w:hanging="272"/>
        <w:jc w:val="both"/>
        <w:widowControl/>
      </w:pPr>
      <w:r>
        <w:rPr>
          <w:rFonts w:ascii="Arial" w:hAnsi="Arial" w:cs="Arial"/>
          <w:b w:val="0"/>
          <w:i w:val="0"/>
          <w:sz w:val="19"/>
        </w:rPr>
        <w:t>4) System nagłośnienia wyposażony we wzmacniacz oraz mikrofon przeznaczony dla kierowcy, umożliwiający przekazywanie komunikatów pasażerom przez głośniki znajdujące się w przestrzeni pasażerskiej.</w:t>
      </w:r>
    </w:p>
    <w:p>
      <w:pPr>
        <w:spacing w:before="0" w:after="44" w:line="240" w:lineRule="auto"/>
        <w:ind w:left="408" w:hanging="272"/>
        <w:jc w:val="both"/>
        <w:widowControl/>
      </w:pPr>
      <w:r>
        <w:rPr>
          <w:rFonts w:ascii="Arial" w:hAnsi="Arial" w:cs="Arial"/>
          <w:b w:val="0"/>
          <w:i w:val="0"/>
          <w:sz w:val="19"/>
        </w:rPr>
        <w:t>5) System nagłośnienia musi współpracować z fabrycznym lub zaoferowanym systemem audio pojazdu.</w:t>
      </w:r>
    </w:p>
    <w:p>
      <w:pPr>
        <w:spacing w:before="0" w:after="44" w:line="240" w:lineRule="auto"/>
        <w:ind w:left="408" w:hanging="272"/>
        <w:jc w:val="both"/>
        <w:widowControl/>
      </w:pPr>
      <w:r>
        <w:rPr>
          <w:rFonts w:ascii="Arial" w:hAnsi="Arial" w:cs="Arial"/>
          <w:b w:val="0"/>
          <w:i w:val="0"/>
          <w:sz w:val="19"/>
        </w:rPr>
        <w:t>6) Elektroniczny panel sterowania urządzeniami zabudowy autobusowej, umożliwiający obsługę funkcji przewidzianych w wykonanej zabudowie.</w:t>
      </w:r>
    </w:p>
    <w:p>
      <w:pPr>
        <w:keepNext/>
        <w:spacing w:before="140" w:after="40" w:line="240" w:lineRule="auto"/>
        <w:shd w:val="clear" w:color="auto" w:fill="DAEEF3"/>
        <w:pBdr>
          <w:bottom w:val="double" w:sz="4" w:space="1" w:color="auto"/>
        </w:pBdr>
        <w:widowControl/>
      </w:pPr>
      <w:r>
        <w:rPr>
          <w:rFonts w:ascii="Arial" w:hAnsi="Arial" w:cs="Arial"/>
          <w:b/>
          <w:i w:val="0"/>
          <w:sz w:val="19"/>
        </w:rPr>
        <w:t>7. Klimatyzacja i ogrzewanie</w:t>
      </w:r>
    </w:p>
    <w:p>
      <w:pPr>
        <w:spacing w:before="0" w:after="44" w:line="240" w:lineRule="auto"/>
        <w:ind w:left="408" w:hanging="272"/>
        <w:jc w:val="both"/>
        <w:widowControl/>
      </w:pPr>
      <w:r>
        <w:rPr>
          <w:rFonts w:ascii="Arial" w:hAnsi="Arial" w:cs="Arial"/>
          <w:b w:val="0"/>
          <w:i w:val="0"/>
          <w:sz w:val="19"/>
        </w:rPr>
        <w:t>1) Pojazd wyposażony w klimatyzację stanowiska kierowcy.</w:t>
      </w:r>
    </w:p>
    <w:p>
      <w:pPr>
        <w:spacing w:before="0" w:after="44" w:line="240" w:lineRule="auto"/>
        <w:ind w:left="408" w:hanging="272"/>
        <w:jc w:val="both"/>
        <w:widowControl/>
      </w:pPr>
      <w:r>
        <w:rPr>
          <w:rFonts w:ascii="Arial" w:hAnsi="Arial" w:cs="Arial"/>
          <w:b w:val="0"/>
          <w:i w:val="0"/>
          <w:sz w:val="19"/>
        </w:rPr>
        <w:t>2) Przestrzeń pasażerska wyposażona w niezależny układ klimatyzacji, przeznaczony do skutecznego chłodzenia całej przestrzeni pasażerskiej przy maksymalnej liczbie przewożonych osób, zamontowany na dachu pojazdu lub wykonany w innym rozwiązaniu zapewniającym co najmniej równoważną skuteczność chłodzenia.</w:t>
      </w:r>
    </w:p>
    <w:p>
      <w:pPr>
        <w:spacing w:before="0" w:after="44" w:line="240" w:lineRule="auto"/>
        <w:ind w:left="408" w:hanging="272"/>
        <w:jc w:val="both"/>
        <w:widowControl/>
      </w:pPr>
      <w:r>
        <w:rPr>
          <w:rFonts w:ascii="Arial" w:hAnsi="Arial" w:cs="Arial"/>
          <w:b w:val="0"/>
          <w:i w:val="0"/>
          <w:sz w:val="19"/>
        </w:rPr>
        <w:t>3) Pojazd wyposażony w dodatkowy układ dogrzewania wspomagający ogrzewanie pojazdu w warunkach niskiej temperatury zewnętrznej.</w:t>
      </w:r>
    </w:p>
    <w:p>
      <w:pPr>
        <w:spacing w:before="0" w:after="44" w:line="240" w:lineRule="auto"/>
        <w:ind w:left="408" w:hanging="272"/>
        <w:jc w:val="both"/>
        <w:widowControl/>
      </w:pPr>
      <w:r>
        <w:rPr>
          <w:rFonts w:ascii="Arial" w:hAnsi="Arial" w:cs="Arial"/>
          <w:b w:val="0"/>
          <w:i w:val="0"/>
          <w:sz w:val="19"/>
        </w:rPr>
        <w:t>4) Przestrzeń pasażerska wyposażona w niezależne ogrzewanie powietrzne, mogące pracować niezależnie od podstawowego układu ogrzewania pojazdu.</w:t>
      </w:r>
    </w:p>
    <w:p>
      <w:pPr>
        <w:keepNext/>
        <w:spacing w:before="140" w:after="40" w:line="240" w:lineRule="auto"/>
        <w:shd w:val="clear" w:color="auto" w:fill="DAEEF3"/>
        <w:pBdr>
          <w:bottom w:val="double" w:sz="4" w:space="1" w:color="auto"/>
        </w:pBdr>
        <w:widowControl/>
      </w:pPr>
      <w:r>
        <w:rPr>
          <w:rFonts w:ascii="Arial" w:hAnsi="Arial" w:cs="Arial"/>
          <w:b/>
          <w:i w:val="0"/>
          <w:sz w:val="19"/>
        </w:rPr>
        <w:t>8. Zabudowa przestrzeni pasażerskiej</w:t>
      </w:r>
    </w:p>
    <w:p>
      <w:pPr>
        <w:spacing w:before="0" w:after="60" w:line="240" w:lineRule="auto"/>
        <w:jc w:val="both"/>
        <w:widowControl/>
      </w:pPr>
      <w:r>
        <w:rPr>
          <w:rFonts w:ascii="Arial" w:hAnsi="Arial" w:cs="Arial"/>
          <w:b/>
          <w:i w:val="0"/>
          <w:sz w:val="19"/>
        </w:rPr>
        <w:t>Zabudowa autobusowa musi obejmować co najmniej:</w:t>
      </w:r>
    </w:p>
    <w:p>
      <w:pPr>
        <w:spacing w:before="0" w:after="44" w:line="240" w:lineRule="auto"/>
        <w:ind w:left="408" w:hanging="272"/>
        <w:jc w:val="both"/>
        <w:widowControl/>
      </w:pPr>
      <w:r>
        <w:rPr>
          <w:rFonts w:ascii="Arial" w:hAnsi="Arial" w:cs="Arial"/>
          <w:b w:val="0"/>
          <w:i w:val="0"/>
          <w:sz w:val="19"/>
        </w:rPr>
        <w:t>1) tapicerkę ścian i elementów wnętrza wraz z izolacją termiczną;</w:t>
      </w:r>
    </w:p>
    <w:p>
      <w:pPr>
        <w:spacing w:before="0" w:after="44" w:line="240" w:lineRule="auto"/>
        <w:ind w:left="408" w:hanging="272"/>
        <w:jc w:val="both"/>
        <w:widowControl/>
      </w:pPr>
      <w:r>
        <w:rPr>
          <w:rFonts w:ascii="Arial" w:hAnsi="Arial" w:cs="Arial"/>
          <w:b w:val="0"/>
          <w:i w:val="0"/>
          <w:sz w:val="19"/>
        </w:rPr>
        <w:t>2) wymagane przepisami oznakowanie wewnętrzne i zewnętrzne pojazdu;</w:t>
      </w:r>
    </w:p>
    <w:p>
      <w:pPr>
        <w:spacing w:before="0" w:after="44" w:line="240" w:lineRule="auto"/>
        <w:ind w:left="408" w:hanging="272"/>
        <w:jc w:val="both"/>
        <w:widowControl/>
      </w:pPr>
      <w:r>
        <w:rPr>
          <w:rFonts w:ascii="Arial" w:hAnsi="Arial" w:cs="Arial"/>
          <w:b w:val="0"/>
          <w:i w:val="0"/>
          <w:sz w:val="19"/>
        </w:rPr>
        <w:t>3) konstrukcję nośną przeznaczoną do montażu foteli, wykonaną ze stali lub materiału o co najmniej równoważnych parametrach wytrzymałościowych, zgodną z homologacją pojazdu;</w:t>
      </w:r>
    </w:p>
    <w:p>
      <w:pPr>
        <w:spacing w:before="0" w:after="44" w:line="240" w:lineRule="auto"/>
        <w:ind w:left="408" w:hanging="272"/>
        <w:jc w:val="both"/>
        <w:widowControl/>
      </w:pPr>
      <w:r>
        <w:rPr>
          <w:rFonts w:ascii="Arial" w:hAnsi="Arial" w:cs="Arial"/>
          <w:b w:val="0"/>
          <w:i w:val="0"/>
          <w:sz w:val="19"/>
        </w:rPr>
        <w:t>4) homologowany system montażu foteli, w tym szyny lub inne rozwiązanie umożliwiające ich bezpieczny montaż, demontaż i zmianę konfiguracji przestrzeni pasażerskiej;</w:t>
      </w:r>
    </w:p>
    <w:p>
      <w:pPr>
        <w:spacing w:before="0" w:after="44" w:line="240" w:lineRule="auto"/>
        <w:ind w:left="408" w:hanging="272"/>
        <w:jc w:val="both"/>
        <w:widowControl/>
      </w:pPr>
      <w:r>
        <w:rPr>
          <w:rFonts w:ascii="Arial" w:hAnsi="Arial" w:cs="Arial"/>
          <w:b w:val="0"/>
          <w:i w:val="0"/>
          <w:sz w:val="19"/>
        </w:rPr>
        <w:t>5) podłogę płaską w przestrzeni pasażerskiej;</w:t>
      </w:r>
    </w:p>
    <w:p>
      <w:pPr>
        <w:spacing w:before="0" w:after="44" w:line="240" w:lineRule="auto"/>
        <w:ind w:left="408" w:hanging="272"/>
        <w:jc w:val="both"/>
        <w:widowControl/>
      </w:pPr>
      <w:r>
        <w:rPr>
          <w:rFonts w:ascii="Arial" w:hAnsi="Arial" w:cs="Arial"/>
          <w:b w:val="0"/>
          <w:i w:val="0"/>
          <w:sz w:val="19"/>
        </w:rPr>
        <w:t>6) podłogę wykończoną materiałem trwałym, łatwo zmywalnym, odpornym na ścieranie i posiadającym właściwości antypoślizgowe;</w:t>
      </w:r>
    </w:p>
    <w:p>
      <w:pPr>
        <w:spacing w:before="0" w:after="44" w:line="240" w:lineRule="auto"/>
        <w:ind w:left="408" w:hanging="272"/>
        <w:jc w:val="both"/>
        <w:widowControl/>
      </w:pPr>
      <w:r>
        <w:rPr>
          <w:rFonts w:ascii="Arial" w:hAnsi="Arial" w:cs="Arial"/>
          <w:b w:val="0"/>
          <w:i w:val="0"/>
          <w:sz w:val="19"/>
        </w:rPr>
        <w:t>7) instalację elektryczną zabudowy autobusowej;</w:t>
      </w:r>
    </w:p>
    <w:p>
      <w:pPr>
        <w:spacing w:before="0" w:after="44" w:line="240" w:lineRule="auto"/>
        <w:ind w:left="408" w:hanging="272"/>
        <w:jc w:val="both"/>
        <w:widowControl/>
      </w:pPr>
      <w:r>
        <w:rPr>
          <w:rFonts w:ascii="Arial" w:hAnsi="Arial" w:cs="Arial"/>
          <w:b w:val="0"/>
          <w:i w:val="0"/>
          <w:sz w:val="19"/>
        </w:rPr>
        <w:t>8) oświetlenie sufitowe przestrzeni pasażerskiej;</w:t>
      </w:r>
    </w:p>
    <w:p>
      <w:pPr>
        <w:spacing w:before="0" w:after="44" w:line="240" w:lineRule="auto"/>
        <w:ind w:left="408" w:hanging="272"/>
        <w:jc w:val="both"/>
        <w:widowControl/>
      </w:pPr>
      <w:r>
        <w:rPr>
          <w:rFonts w:ascii="Arial" w:hAnsi="Arial" w:cs="Arial"/>
          <w:b w:val="0"/>
          <w:i w:val="0"/>
          <w:sz w:val="19"/>
        </w:rPr>
        <w:t>9) oświetlenie stopnia lub strefy wejściowej;</w:t>
      </w:r>
    </w:p>
    <w:p>
      <w:pPr>
        <w:spacing w:before="0" w:after="44" w:line="240" w:lineRule="auto"/>
        <w:ind w:left="408" w:hanging="272"/>
        <w:jc w:val="both"/>
        <w:widowControl/>
      </w:pPr>
      <w:r>
        <w:rPr>
          <w:rFonts w:ascii="Arial" w:hAnsi="Arial" w:cs="Arial"/>
          <w:b w:val="0"/>
          <w:i w:val="0"/>
          <w:sz w:val="19"/>
        </w:rPr>
        <w:t>10) przegrodę zabezpieczającą za pierwszym rzędem siedzeń znajdującym się bezpośrednio za kierowcą, jeżeli wymaga tego układ siedzeń;</w:t>
      </w:r>
    </w:p>
    <w:p>
      <w:pPr>
        <w:spacing w:before="0" w:after="44" w:line="240" w:lineRule="auto"/>
        <w:ind w:left="408" w:hanging="272"/>
        <w:jc w:val="both"/>
        <w:widowControl/>
      </w:pPr>
      <w:r>
        <w:rPr>
          <w:rFonts w:ascii="Arial" w:hAnsi="Arial" w:cs="Arial"/>
          <w:b w:val="0"/>
          <w:i w:val="0"/>
          <w:sz w:val="19"/>
        </w:rPr>
        <w:t>11) luk dachowy pełniący funkcję wyjścia awaryjnego, jeżeli jest wymagany dla zaoferowanej konstrukcji pojazdu zgodnie z przepisami homologacyjnymi;</w:t>
      </w:r>
    </w:p>
    <w:p>
      <w:pPr>
        <w:spacing w:before="0" w:after="44" w:line="240" w:lineRule="auto"/>
        <w:ind w:left="408" w:hanging="272"/>
        <w:jc w:val="both"/>
        <w:widowControl/>
      </w:pPr>
      <w:r>
        <w:rPr>
          <w:rFonts w:ascii="Arial" w:hAnsi="Arial" w:cs="Arial"/>
          <w:b w:val="0"/>
          <w:i w:val="0"/>
          <w:sz w:val="19"/>
        </w:rPr>
        <w:t>12) komplet zasłonek okiennych dla przestrzeni pasażerskiej;</w:t>
      </w:r>
    </w:p>
    <w:p>
      <w:pPr>
        <w:spacing w:before="0" w:after="44" w:line="240" w:lineRule="auto"/>
        <w:ind w:left="408" w:hanging="272"/>
        <w:jc w:val="both"/>
        <w:widowControl/>
      </w:pPr>
      <w:r>
        <w:rPr>
          <w:rFonts w:ascii="Arial" w:hAnsi="Arial" w:cs="Arial"/>
          <w:b w:val="0"/>
          <w:i w:val="0"/>
          <w:sz w:val="19"/>
        </w:rPr>
        <w:t>13) obniżony stopień wejściowy albo rozwiązanie równoważne ułatwiające bezpieczne wsiadanie i wysiadanie pasażerów;</w:t>
      </w:r>
    </w:p>
    <w:p>
      <w:pPr>
        <w:spacing w:before="0" w:after="44" w:line="240" w:lineRule="auto"/>
        <w:ind w:left="408" w:hanging="272"/>
        <w:jc w:val="both"/>
        <w:widowControl/>
      </w:pPr>
      <w:r>
        <w:rPr>
          <w:rFonts w:ascii="Arial" w:hAnsi="Arial" w:cs="Arial"/>
          <w:b w:val="0"/>
          <w:i w:val="0"/>
          <w:sz w:val="19"/>
        </w:rPr>
        <w:t>14) półki bagażowe po prawej i lewej stronie przestrzeni pasażerskiej;</w:t>
      </w:r>
    </w:p>
    <w:p>
      <w:pPr>
        <w:spacing w:before="0" w:after="44" w:line="240" w:lineRule="auto"/>
        <w:ind w:left="408" w:hanging="272"/>
        <w:jc w:val="both"/>
        <w:widowControl/>
      </w:pPr>
      <w:r>
        <w:rPr>
          <w:rFonts w:ascii="Arial" w:hAnsi="Arial" w:cs="Arial"/>
          <w:b w:val="0"/>
          <w:i w:val="0"/>
          <w:sz w:val="19"/>
        </w:rPr>
        <w:t>15) młotki bezpieczeństwa w liczbie i rozmieszczeniu zgodnym z wymaganiami dotyczącymi zaoferowanego autobusu;</w:t>
      </w:r>
    </w:p>
    <w:p>
      <w:pPr>
        <w:spacing w:before="0" w:after="44" w:line="240" w:lineRule="auto"/>
        <w:ind w:left="408" w:hanging="272"/>
        <w:jc w:val="both"/>
        <w:widowControl/>
      </w:pPr>
      <w:r>
        <w:rPr>
          <w:rFonts w:ascii="Arial" w:hAnsi="Arial" w:cs="Arial"/>
          <w:b w:val="0"/>
          <w:i w:val="0"/>
          <w:sz w:val="19"/>
        </w:rPr>
        <w:t>16) apteczkę autobusową;</w:t>
      </w:r>
    </w:p>
    <w:p>
      <w:pPr>
        <w:spacing w:before="0" w:after="44" w:line="240" w:lineRule="auto"/>
        <w:ind w:left="408" w:hanging="272"/>
        <w:jc w:val="both"/>
        <w:widowControl/>
      </w:pPr>
      <w:r>
        <w:rPr>
          <w:rFonts w:ascii="Arial" w:hAnsi="Arial" w:cs="Arial"/>
          <w:b w:val="0"/>
          <w:i w:val="0"/>
          <w:sz w:val="19"/>
        </w:rPr>
        <w:t>17) gaśnice w liczbie i rozmieszczeniu wymaganym obowiązującymi przepisami, przy czym co najmniej jedna z gaśnic powinna posiadać masę środka gaśniczego nie mniejszą niż 2 kg;</w:t>
      </w:r>
    </w:p>
    <w:p>
      <w:pPr>
        <w:spacing w:before="0" w:after="44" w:line="240" w:lineRule="auto"/>
        <w:ind w:left="408" w:hanging="272"/>
        <w:jc w:val="both"/>
        <w:widowControl/>
      </w:pPr>
      <w:r>
        <w:rPr>
          <w:rFonts w:ascii="Arial" w:hAnsi="Arial" w:cs="Arial"/>
          <w:b w:val="0"/>
          <w:i w:val="0"/>
          <w:sz w:val="19"/>
        </w:rPr>
        <w:t>18) wyposażenie i elementy konstrukcyjne niezbędne do uzyskania wymaganej homologacji oraz dopuszczenia kompletnego pojazdu do ruchu jako autobus.</w:t>
      </w:r>
    </w:p>
    <w:p>
      <w:pPr>
        <w:keepNext/>
        <w:spacing w:before="140" w:after="40" w:line="240" w:lineRule="auto"/>
        <w:shd w:val="clear" w:color="auto" w:fill="DAEEF3"/>
        <w:pBdr>
          <w:bottom w:val="double" w:sz="4" w:space="1" w:color="auto"/>
        </w:pBdr>
        <w:widowControl/>
      </w:pPr>
      <w:r>
        <w:rPr>
          <w:rFonts w:ascii="Arial" w:hAnsi="Arial" w:cs="Arial"/>
          <w:b/>
          <w:i w:val="0"/>
          <w:sz w:val="19"/>
        </w:rPr>
        <w:t>9. Fotele i konfiguracja przestrzeni pasażerskiej</w:t>
      </w:r>
    </w:p>
    <w:p>
      <w:pPr>
        <w:spacing w:before="0" w:after="44" w:line="240" w:lineRule="auto"/>
        <w:ind w:left="408" w:hanging="272"/>
        <w:jc w:val="both"/>
        <w:widowControl/>
      </w:pPr>
      <w:r>
        <w:rPr>
          <w:rFonts w:ascii="Arial" w:hAnsi="Arial" w:cs="Arial"/>
          <w:b w:val="0"/>
          <w:i w:val="0"/>
          <w:sz w:val="19"/>
        </w:rPr>
        <w:t>1) Pojazd w konfiguracji podstawowej musi posiadać 19 miejsc siedzących łącznie z miejscem kierowcy, tj. 18 miejsc siedzących dla pasażerów oraz 1 miejsce kierowcy.</w:t>
      </w:r>
    </w:p>
    <w:p>
      <w:pPr>
        <w:spacing w:before="0" w:after="44" w:line="240" w:lineRule="auto"/>
        <w:ind w:left="408" w:hanging="272"/>
        <w:jc w:val="both"/>
        <w:widowControl/>
      </w:pPr>
      <w:r>
        <w:rPr>
          <w:rFonts w:ascii="Arial" w:hAnsi="Arial" w:cs="Arial"/>
          <w:b w:val="0"/>
          <w:i w:val="0"/>
          <w:sz w:val="19"/>
        </w:rPr>
        <w:t>2) Fotele pasażerskie muszą być homologowane i wyposażone w wymagane przepisami pasy bezpieczeństwa.</w:t>
      </w:r>
    </w:p>
    <w:p>
      <w:pPr>
        <w:spacing w:before="0" w:after="44" w:line="240" w:lineRule="auto"/>
        <w:ind w:left="408" w:hanging="272"/>
        <w:jc w:val="both"/>
        <w:widowControl/>
      </w:pPr>
      <w:r>
        <w:rPr>
          <w:rFonts w:ascii="Arial" w:hAnsi="Arial" w:cs="Arial"/>
          <w:b w:val="0"/>
          <w:i w:val="0"/>
          <w:sz w:val="19"/>
        </w:rPr>
        <w:t>3) W części pojazdu przeznaczonej do tworzenia stanowisk dla osób poruszających się na wózkach należy zastosować fotele uchylne, składane lub szybko demontowalne albo inne rozwiązanie funkcjonalnie równoważne.</w:t>
      </w:r>
    </w:p>
    <w:p>
      <w:pPr>
        <w:spacing w:before="0" w:after="44" w:line="240" w:lineRule="auto"/>
        <w:ind w:left="408" w:hanging="272"/>
        <w:jc w:val="both"/>
        <w:widowControl/>
      </w:pPr>
      <w:r>
        <w:rPr>
          <w:rFonts w:ascii="Arial" w:hAnsi="Arial" w:cs="Arial"/>
          <w:b w:val="0"/>
          <w:i w:val="0"/>
          <w:sz w:val="19"/>
        </w:rPr>
        <w:t>4) Dopuszcza się zastosowanie stałej tylnej ławy siedzeniowej, jeżeli nie ogranicza ona możliwości utworzenia wymaganych dwóch stanowisk dla wózków.</w:t>
      </w:r>
    </w:p>
    <w:p>
      <w:pPr>
        <w:spacing w:before="0" w:after="44" w:line="240" w:lineRule="auto"/>
        <w:ind w:left="408" w:hanging="272"/>
        <w:jc w:val="both"/>
        <w:widowControl/>
      </w:pPr>
      <w:r>
        <w:rPr>
          <w:rFonts w:ascii="Arial" w:hAnsi="Arial" w:cs="Arial"/>
          <w:b w:val="0"/>
          <w:i w:val="0"/>
          <w:sz w:val="19"/>
        </w:rPr>
        <w:t>5) Utworzenie dwóch stanowisk dla osób na wózkach może powodować wyłączenie z użytkowania maksymalnie 4 miejsc siedzących dla pasażerów.</w:t>
      </w:r>
    </w:p>
    <w:p>
      <w:pPr>
        <w:keepNext/>
        <w:spacing w:before="140" w:after="40" w:line="240" w:lineRule="auto"/>
        <w:shd w:val="clear" w:color="auto" w:fill="DAEEF3"/>
        <w:pBdr>
          <w:bottom w:val="double" w:sz="4" w:space="1" w:color="auto"/>
        </w:pBdr>
        <w:widowControl/>
      </w:pPr>
      <w:r>
        <w:rPr>
          <w:rFonts w:ascii="Arial" w:hAnsi="Arial" w:cs="Arial"/>
          <w:b/>
          <w:i w:val="0"/>
          <w:sz w:val="19"/>
        </w:rPr>
        <w:t>10. Przystosowanie do przewozu osób poruszających się na wózkach</w:t>
      </w:r>
    </w:p>
    <w:p>
      <w:pPr>
        <w:spacing w:before="0" w:after="44" w:line="240" w:lineRule="auto"/>
        <w:ind w:left="408" w:hanging="272"/>
        <w:jc w:val="both"/>
        <w:widowControl/>
      </w:pPr>
      <w:r>
        <w:rPr>
          <w:rFonts w:ascii="Arial" w:hAnsi="Arial" w:cs="Arial"/>
          <w:b w:val="0"/>
          <w:i w:val="0"/>
          <w:sz w:val="19"/>
        </w:rPr>
        <w:t>1) Pojazd musi umożliwiać jednoczesny przewóz dwóch osób poruszających się na wózkach inwalidzkich.</w:t>
      </w:r>
    </w:p>
    <w:p>
      <w:pPr>
        <w:spacing w:before="0" w:after="44" w:line="240" w:lineRule="auto"/>
        <w:ind w:left="408" w:hanging="272"/>
        <w:jc w:val="both"/>
        <w:widowControl/>
      </w:pPr>
      <w:r>
        <w:rPr>
          <w:rFonts w:ascii="Arial" w:hAnsi="Arial" w:cs="Arial"/>
          <w:b w:val="0"/>
          <w:i w:val="0"/>
          <w:sz w:val="19"/>
        </w:rPr>
        <w:t>2) Każde z dwóch stanowisk musi być wyposażone w system mocowania wózka do konstrukcji pojazdu, posiadający co najmniej cztery punkty mocowania albo inne homologowane rozwiązanie zapewniające co najmniej równoważny poziom bezpieczeństwa.</w:t>
      </w:r>
    </w:p>
    <w:p>
      <w:pPr>
        <w:spacing w:before="0" w:after="44" w:line="240" w:lineRule="auto"/>
        <w:ind w:left="408" w:hanging="272"/>
        <w:jc w:val="both"/>
        <w:widowControl/>
      </w:pPr>
      <w:r>
        <w:rPr>
          <w:rFonts w:ascii="Arial" w:hAnsi="Arial" w:cs="Arial"/>
          <w:b w:val="0"/>
          <w:i w:val="0"/>
          <w:sz w:val="19"/>
        </w:rPr>
        <w:t>3) Każde stanowisko musi być wyposażone w homologowany system zabezpieczający osobę przewożoną na wózku, zgodny z wymaganiami homologacyjnymi właściwymi dla zaoferowanego pojazdu.</w:t>
      </w:r>
    </w:p>
    <w:p>
      <w:pPr>
        <w:spacing w:before="0" w:after="44" w:line="240" w:lineRule="auto"/>
        <w:ind w:left="408" w:hanging="272"/>
        <w:jc w:val="both"/>
        <w:widowControl/>
      </w:pPr>
      <w:r>
        <w:rPr>
          <w:rFonts w:ascii="Arial" w:hAnsi="Arial" w:cs="Arial"/>
          <w:b w:val="0"/>
          <w:i w:val="0"/>
          <w:sz w:val="19"/>
        </w:rPr>
        <w:t>4) Pojazd musi być wyposażony w najazdy, rampę lub inne homologowane rozwiązanie umożliwiające bezpieczne wprowadzanie i wyprowadzanie wózków.</w:t>
      </w:r>
    </w:p>
    <w:p>
      <w:pPr>
        <w:spacing w:before="0" w:after="44" w:line="240" w:lineRule="auto"/>
        <w:ind w:left="408" w:hanging="272"/>
        <w:jc w:val="both"/>
        <w:widowControl/>
      </w:pPr>
      <w:r>
        <w:rPr>
          <w:rFonts w:ascii="Arial" w:hAnsi="Arial" w:cs="Arial"/>
          <w:b w:val="0"/>
          <w:i w:val="0"/>
          <w:sz w:val="19"/>
        </w:rPr>
        <w:t>5) Elementy służące do mocowania wózków i zabezpieczenia osób przewożonych na wózkach muszą być przystosowane do wielokrotnego użytkowania i umożliwiać ich bezpieczne oraz sprawne zamocowanie.</w:t>
      </w:r>
    </w:p>
    <w:p>
      <w:pPr>
        <w:spacing w:before="0" w:after="44" w:line="240" w:lineRule="auto"/>
        <w:ind w:left="408" w:hanging="272"/>
        <w:jc w:val="both"/>
        <w:widowControl/>
      </w:pPr>
      <w:r>
        <w:rPr>
          <w:rFonts w:ascii="Arial" w:hAnsi="Arial" w:cs="Arial"/>
          <w:b w:val="0"/>
          <w:i w:val="0"/>
          <w:sz w:val="19"/>
        </w:rPr>
        <w:t>6) Zmiana konfiguracji z 18 miejsc pasażerskich na konfigurację umożliwiającą przewóz dwóch osób na wózkach musi być możliwa bez wykonywania zmian konstrukcyjnych pojazdu.</w:t>
      </w:r>
    </w:p>
    <w:p>
      <w:pPr>
        <w:keepNext/>
        <w:spacing w:before="140" w:after="40" w:line="240" w:lineRule="auto"/>
        <w:shd w:val="clear" w:color="auto" w:fill="DAEEF3"/>
        <w:pBdr>
          <w:bottom w:val="double" w:sz="4" w:space="1" w:color="auto"/>
        </w:pBdr>
        <w:widowControl/>
      </w:pPr>
      <w:r>
        <w:rPr>
          <w:rFonts w:ascii="Arial" w:hAnsi="Arial" w:cs="Arial"/>
          <w:b/>
          <w:i w:val="0"/>
          <w:sz w:val="19"/>
        </w:rPr>
        <w:t>11. Homologacja</w:t>
      </w:r>
    </w:p>
    <w:p>
      <w:pPr>
        <w:spacing w:before="0" w:after="44" w:line="240" w:lineRule="auto"/>
        <w:ind w:left="408" w:hanging="272"/>
        <w:jc w:val="both"/>
        <w:widowControl/>
      </w:pPr>
      <w:r>
        <w:rPr>
          <w:rFonts w:ascii="Arial" w:hAnsi="Arial" w:cs="Arial"/>
          <w:b w:val="0"/>
          <w:i w:val="0"/>
          <w:sz w:val="19"/>
        </w:rPr>
        <w:t>1) Dostarczony pojazd wraz z wykonaną zabudową autobusową musi stanowić pojazd kompletny, posiadający wszystkie dokumenty wymagane do jego rejestracji i eksploatacji jako autobus.</w:t>
      </w:r>
    </w:p>
    <w:p>
      <w:pPr>
        <w:spacing w:before="0" w:after="44" w:line="240" w:lineRule="auto"/>
        <w:ind w:left="408" w:hanging="272"/>
        <w:jc w:val="both"/>
        <w:widowControl/>
      </w:pPr>
      <w:r>
        <w:rPr>
          <w:rFonts w:ascii="Arial" w:hAnsi="Arial" w:cs="Arial"/>
          <w:b w:val="0"/>
          <w:i w:val="0"/>
          <w:sz w:val="19"/>
        </w:rPr>
        <w:t>2) Konstrukcja pojazdu, miejsca siedzące, systemy mocowania foteli, stanowiska dla wózków, pasy bezpieczeństwa oraz pozostałe elementy zabudowy muszą spełniać wymagania właściwych przepisów homologacyjnych obowiązujących na dzień dostawy pojazdu.</w:t>
      </w:r>
    </w:p>
    <w:p>
      <w:pPr>
        <w:spacing w:before="0" w:after="44" w:line="240" w:lineRule="auto"/>
        <w:ind w:left="408" w:hanging="272"/>
        <w:jc w:val="both"/>
        <w:widowControl/>
      </w:pPr>
      <w:r>
        <w:rPr>
          <w:rFonts w:ascii="Arial" w:hAnsi="Arial" w:cs="Arial"/>
          <w:b w:val="0"/>
          <w:i w:val="0"/>
          <w:sz w:val="19"/>
        </w:rPr>
        <w:t>3) Wykonawca wraz z pojazdem przekaże Zamawiającemu dokumenty niezbędne do jego pierwszej rejestracji.</w:t>
      </w:r>
    </w:p>
    <w:sectPr w:rsidR="000F0294" w:rsidSect="00034616">
      <w:headerReference w:type="default" r:id="rId8"/>
      <w:footerReference w:type="default" r:id="rId9"/>
      <w:pgSz w:w="12240" w:h="15840"/>
      <w:pgMar w:top="1020" w:right="1247" w:bottom="1020" w:left="124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EF796D" w14:textId="77777777" w:rsidR="00AA4645" w:rsidRDefault="00AA4645">
      <w:pPr>
        <w:spacing w:after="0" w:line="240" w:lineRule="auto"/>
      </w:pPr>
      <w:r>
        <w:separator/>
      </w:r>
    </w:p>
  </w:endnote>
  <w:endnote w:type="continuationSeparator" w:id="0">
    <w:p w14:paraId="30ADD2A1" w14:textId="77777777" w:rsidR="00AA4645" w:rsidRDefault="00AA46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1887988110"/>
      <w:docPartObj>
        <w:docPartGallery w:val="Page Numbers (Bottom of Page)"/>
        <w:docPartUnique/>
      </w:docPartObj>
    </w:sdtPr>
    <w:sdtContent>
      <w:sdt>
        <w:sdtPr>
          <w:rPr>
            <w:sz w:val="16"/>
            <w:szCs w:val="16"/>
          </w:rPr>
          <w:id w:val="-1769616900"/>
          <w:docPartObj>
            <w:docPartGallery w:val="Page Numbers (Top of Page)"/>
            <w:docPartUnique/>
          </w:docPartObj>
        </w:sdtPr>
        <w:sdtContent>
          <w:p w14:paraId="675797A0" w14:textId="261D0C31" w:rsidR="00DC63BB" w:rsidRPr="00DC63BB" w:rsidRDefault="00DC63BB">
            <w:pPr>
              <w:pStyle w:val="Stopka"/>
              <w:jc w:val="right"/>
              <w:rPr>
                <w:sz w:val="16"/>
                <w:szCs w:val="16"/>
              </w:rPr>
            </w:pPr>
            <w:r w:rsidRPr="00DC63BB">
              <w:rPr>
                <w:sz w:val="16"/>
                <w:szCs w:val="16"/>
                <w:lang w:val="pl-PL"/>
              </w:rPr>
              <w:t xml:space="preserve">Strona </w:t>
            </w:r>
            <w:r w:rsidRPr="00DC63BB">
              <w:rPr>
                <w:b/>
                <w:bCs/>
                <w:sz w:val="16"/>
                <w:szCs w:val="16"/>
              </w:rPr>
              <w:fldChar w:fldCharType="begin"/>
            </w:r>
            <w:r w:rsidRPr="00DC63BB">
              <w:rPr>
                <w:b/>
                <w:bCs/>
                <w:sz w:val="16"/>
                <w:szCs w:val="16"/>
              </w:rPr>
              <w:instrText>PAGE</w:instrText>
            </w:r>
            <w:r w:rsidRPr="00DC63BB">
              <w:rPr>
                <w:b/>
                <w:bCs/>
                <w:sz w:val="16"/>
                <w:szCs w:val="16"/>
              </w:rPr>
              <w:fldChar w:fldCharType="separate"/>
            </w:r>
            <w:r w:rsidRPr="00DC63BB">
              <w:rPr>
                <w:b/>
                <w:bCs/>
                <w:sz w:val="16"/>
                <w:szCs w:val="16"/>
                <w:lang w:val="pl-PL"/>
              </w:rPr>
              <w:t>2</w:t>
            </w:r>
            <w:r w:rsidRPr="00DC63BB">
              <w:rPr>
                <w:b/>
                <w:bCs/>
                <w:sz w:val="16"/>
                <w:szCs w:val="16"/>
              </w:rPr>
              <w:fldChar w:fldCharType="end"/>
            </w:r>
            <w:r w:rsidRPr="00DC63BB">
              <w:rPr>
                <w:sz w:val="16"/>
                <w:szCs w:val="16"/>
                <w:lang w:val="pl-PL"/>
              </w:rPr>
              <w:t xml:space="preserve"> z </w:t>
            </w:r>
            <w:r w:rsidRPr="00DC63BB">
              <w:rPr>
                <w:b/>
                <w:bCs/>
                <w:sz w:val="16"/>
                <w:szCs w:val="16"/>
              </w:rPr>
              <w:fldChar w:fldCharType="begin"/>
            </w:r>
            <w:r w:rsidRPr="00DC63BB">
              <w:rPr>
                <w:b/>
                <w:bCs/>
                <w:sz w:val="16"/>
                <w:szCs w:val="16"/>
              </w:rPr>
              <w:instrText>NUMPAGES</w:instrText>
            </w:r>
            <w:r w:rsidRPr="00DC63BB">
              <w:rPr>
                <w:b/>
                <w:bCs/>
                <w:sz w:val="16"/>
                <w:szCs w:val="16"/>
              </w:rPr>
              <w:fldChar w:fldCharType="separate"/>
            </w:r>
            <w:r w:rsidRPr="00DC63BB">
              <w:rPr>
                <w:b/>
                <w:bCs/>
                <w:sz w:val="16"/>
                <w:szCs w:val="16"/>
                <w:lang w:val="pl-PL"/>
              </w:rPr>
              <w:t>2</w:t>
            </w:r>
            <w:r w:rsidRPr="00DC63BB">
              <w:rPr>
                <w:b/>
                <w:bCs/>
                <w:sz w:val="16"/>
                <w:szCs w:val="16"/>
              </w:rPr>
              <w:fldChar w:fldCharType="end"/>
            </w:r>
          </w:p>
        </w:sdtContent>
      </w:sdt>
    </w:sdtContent>
  </w:sdt>
  <w:p w14:paraId="0CBD9B5D" w14:textId="65BB8E86" w:rsidR="000F0294" w:rsidRPr="00DC63BB" w:rsidRDefault="000F0294" w:rsidP="00DC63BB">
    <w:pPr>
      <w:pStyle w:val="Stopka"/>
      <w:jc w:val="center"/>
      <w:rPr>
        <w:lang w:val="pl-P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B303B5" w14:textId="77777777" w:rsidR="00AA4645" w:rsidRDefault="00AA4645">
      <w:pPr>
        <w:spacing w:after="0" w:line="240" w:lineRule="auto"/>
      </w:pPr>
      <w:r>
        <w:separator/>
      </w:r>
    </w:p>
  </w:footnote>
  <w:footnote w:type="continuationSeparator" w:id="0">
    <w:p w14:paraId="0A8F34FF" w14:textId="77777777" w:rsidR="00AA4645" w:rsidRDefault="00AA46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3A5CE" w14:textId="31FEA88C" w:rsidR="00DC63BB" w:rsidRPr="00DC63BB" w:rsidRDefault="00DC63BB" w:rsidP="00DC63BB">
    <w:pPr>
      <w:pStyle w:val="Nagwek"/>
    </w:pPr>
    <w:r>
      <w:rPr>
        <w:noProof/>
      </w:rPr>
      <w:drawing>
        <wp:inline distT="0" distB="0" distL="0" distR="0" wp14:anchorId="1194C613" wp14:editId="137F77C2">
          <wp:extent cx="1471930" cy="828040"/>
          <wp:effectExtent l="0" t="0" r="0" b="0"/>
          <wp:docPr id="2" name="Obraz 1" descr="Sygnet przedstawia kwiat, który jest „osłabiony”. Dzięki podporze rozkwita. Kwiat symbolizuje osobę niepełnosprawną, podpora zaś - wsparcie ze strony Państwowego Funduszu Rehabilitacji Osób Niepełnosprawnych."/>
          <wp:cNvGraphicFramePr/>
          <a:graphic xmlns:a="http://schemas.openxmlformats.org/drawingml/2006/main">
            <a:graphicData uri="http://schemas.openxmlformats.org/drawingml/2006/picture">
              <pic:pic xmlns:pic="http://schemas.openxmlformats.org/drawingml/2006/picture">
                <pic:nvPicPr>
                  <pic:cNvPr id="2" name="Obraz 2" descr="Sygnet przedstawia kwiat, który jest „osłabiony”. Dzięki podporze rozkwita. Kwiat symbolizuje osobę niepełnosprawną, podpora zaś - wsparcie ze strony Państwowego Funduszu Rehabilitacji Osób Niepełnosprawnych."/>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71930" cy="82804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numerowana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numerowana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punktowana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punktowana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anumerowan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apunktowana"/>
      <w:lvlText w:val=""/>
      <w:lvlJc w:val="left"/>
      <w:pPr>
        <w:tabs>
          <w:tab w:val="num" w:pos="360"/>
        </w:tabs>
        <w:ind w:left="360" w:hanging="360"/>
      </w:pPr>
      <w:rPr>
        <w:rFonts w:ascii="Symbol" w:hAnsi="Symbol" w:hint="default"/>
      </w:rPr>
    </w:lvl>
  </w:abstractNum>
  <w:num w:numId="1" w16cid:durableId="542255124">
    <w:abstractNumId w:val="8"/>
  </w:num>
  <w:num w:numId="2" w16cid:durableId="1224098281">
    <w:abstractNumId w:val="6"/>
  </w:num>
  <w:num w:numId="3" w16cid:durableId="955478995">
    <w:abstractNumId w:val="5"/>
  </w:num>
  <w:num w:numId="4" w16cid:durableId="74673177">
    <w:abstractNumId w:val="4"/>
  </w:num>
  <w:num w:numId="5" w16cid:durableId="1535381163">
    <w:abstractNumId w:val="7"/>
  </w:num>
  <w:num w:numId="6" w16cid:durableId="792528329">
    <w:abstractNumId w:val="3"/>
  </w:num>
  <w:num w:numId="7" w16cid:durableId="340861024">
    <w:abstractNumId w:val="2"/>
  </w:num>
  <w:num w:numId="8" w16cid:durableId="547498692">
    <w:abstractNumId w:val="1"/>
  </w:num>
  <w:num w:numId="9" w16cid:durableId="11455825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0F0294"/>
    <w:rsid w:val="0015074B"/>
    <w:rsid w:val="0029639D"/>
    <w:rsid w:val="00326F90"/>
    <w:rsid w:val="004953C1"/>
    <w:rsid w:val="004B1BC8"/>
    <w:rsid w:val="00AA1D8D"/>
    <w:rsid w:val="00AA4645"/>
    <w:rsid w:val="00B47730"/>
    <w:rsid w:val="00BB3BE2"/>
    <w:rsid w:val="00CB0664"/>
    <w:rsid w:val="00D95FEC"/>
    <w:rsid w:val="00DC63BB"/>
    <w:rsid w:val="00E96C19"/>
    <w:rsid w:val="00F92745"/>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95CBE7E"/>
  <w14:defaultImageDpi w14:val="300"/>
  <w15:docId w15:val="{06B4FB02-53A8-45C5-BF3A-9F3A4AF8D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C693F"/>
    <w:pPr>
      <w:spacing w:after="80" w:line="252" w:lineRule="auto"/>
    </w:pPr>
    <w:rPr>
      <w:rFonts w:ascii="Arial" w:eastAsia="Arial" w:hAnsi="Arial"/>
      <w:sz w:val="20"/>
    </w:rPr>
  </w:style>
  <w:style w:type="paragraph" w:styleId="Nagwek1">
    <w:name w:val="heading 1"/>
    <w:basedOn w:val="Normalny"/>
    <w:next w:val="Normalny"/>
    <w:link w:val="Nagwek1Znak"/>
    <w:uiPriority w:val="9"/>
    <w:qFormat/>
    <w:rsid w:val="00FC693F"/>
    <w:pPr>
      <w:keepNext/>
      <w:keepLines/>
      <w:spacing w:before="180"/>
      <w:outlineLvl w:val="0"/>
    </w:pPr>
    <w:rPr>
      <w:rFonts w:asciiTheme="majorHAnsi" w:eastAsiaTheme="majorEastAsia" w:hAnsiTheme="majorHAnsi" w:cstheme="majorBidi"/>
      <w:b/>
      <w:bCs/>
      <w:color w:val="365F91" w:themeColor="accent1" w:themeShade="BF"/>
      <w:sz w:val="23"/>
      <w:szCs w:val="28"/>
    </w:rPr>
  </w:style>
  <w:style w:type="paragraph" w:styleId="Nagwek2">
    <w:name w:val="heading 2"/>
    <w:basedOn w:val="Normalny"/>
    <w:next w:val="Normalny"/>
    <w:link w:val="Nagwek2Znak"/>
    <w:uiPriority w:val="9"/>
    <w:unhideWhenUsed/>
    <w:qFormat/>
    <w:rsid w:val="00FC693F"/>
    <w:pPr>
      <w:keepNext/>
      <w:keepLines/>
      <w:spacing w:before="100" w:after="60"/>
      <w:outlineLvl w:val="1"/>
    </w:pPr>
    <w:rPr>
      <w:rFonts w:asciiTheme="majorHAnsi" w:eastAsiaTheme="majorEastAsia" w:hAnsiTheme="majorHAnsi" w:cstheme="majorBidi"/>
      <w:b/>
      <w:bCs/>
      <w:color w:val="4F81BD" w:themeColor="accent1"/>
      <w:szCs w:val="26"/>
    </w:rPr>
  </w:style>
  <w:style w:type="paragraph" w:styleId="Nagwek3">
    <w:name w:val="heading 3"/>
    <w:basedOn w:val="Normalny"/>
    <w:next w:val="Normalny"/>
    <w:link w:val="Nagwek3Znak"/>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Nagwek6">
    <w:name w:val="heading 6"/>
    <w:basedOn w:val="Normalny"/>
    <w:next w:val="Normalny"/>
    <w:link w:val="Nagwek6Znak"/>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Nagwek9">
    <w:name w:val="heading 9"/>
    <w:basedOn w:val="Normalny"/>
    <w:next w:val="Normalny"/>
    <w:link w:val="Nagwek9Znak"/>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618BF"/>
    <w:pPr>
      <w:tabs>
        <w:tab w:val="center" w:pos="4680"/>
        <w:tab w:val="right" w:pos="9360"/>
      </w:tabs>
      <w:spacing w:after="0" w:line="240" w:lineRule="auto"/>
    </w:pPr>
  </w:style>
  <w:style w:type="character" w:customStyle="1" w:styleId="NagwekZnak">
    <w:name w:val="Nagłówek Znak"/>
    <w:basedOn w:val="Domylnaczcionkaakapitu"/>
    <w:link w:val="Nagwek"/>
    <w:uiPriority w:val="99"/>
    <w:rsid w:val="00E618BF"/>
  </w:style>
  <w:style w:type="paragraph" w:styleId="Stopka">
    <w:name w:val="footer"/>
    <w:basedOn w:val="Normalny"/>
    <w:link w:val="StopkaZnak"/>
    <w:uiPriority w:val="99"/>
    <w:unhideWhenUsed/>
    <w:rsid w:val="00E618BF"/>
    <w:pPr>
      <w:tabs>
        <w:tab w:val="center" w:pos="4680"/>
        <w:tab w:val="right" w:pos="9360"/>
      </w:tabs>
      <w:spacing w:after="0" w:line="240" w:lineRule="auto"/>
    </w:pPr>
  </w:style>
  <w:style w:type="character" w:customStyle="1" w:styleId="StopkaZnak">
    <w:name w:val="Stopka Znak"/>
    <w:basedOn w:val="Domylnaczcionkaakapitu"/>
    <w:link w:val="Stopka"/>
    <w:uiPriority w:val="99"/>
    <w:rsid w:val="00E618BF"/>
  </w:style>
  <w:style w:type="paragraph" w:styleId="Bezodstpw">
    <w:name w:val="No Spacing"/>
    <w:uiPriority w:val="1"/>
    <w:qFormat/>
    <w:rsid w:val="00FC693F"/>
    <w:pPr>
      <w:spacing w:after="0" w:line="240" w:lineRule="auto"/>
    </w:pPr>
  </w:style>
  <w:style w:type="character" w:customStyle="1" w:styleId="Nagwek1Znak">
    <w:name w:val="Nagłówek 1 Znak"/>
    <w:basedOn w:val="Domylnaczcionkaakapitu"/>
    <w:link w:val="Nagwek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FC693F"/>
    <w:rPr>
      <w:rFonts w:asciiTheme="majorHAnsi" w:eastAsiaTheme="majorEastAsia" w:hAnsiTheme="majorHAnsi" w:cstheme="majorBidi"/>
      <w:b/>
      <w:bCs/>
      <w:color w:val="4F81BD" w:themeColor="accent1"/>
      <w:sz w:val="26"/>
      <w:szCs w:val="26"/>
    </w:rPr>
  </w:style>
  <w:style w:type="character" w:customStyle="1" w:styleId="Nagwek3Znak">
    <w:name w:val="Nagłówek 3 Znak"/>
    <w:basedOn w:val="Domylnaczcionkaakapitu"/>
    <w:link w:val="Nagwek3"/>
    <w:uiPriority w:val="9"/>
    <w:rsid w:val="00FC693F"/>
    <w:rPr>
      <w:rFonts w:asciiTheme="majorHAnsi" w:eastAsiaTheme="majorEastAsia" w:hAnsiTheme="majorHAnsi" w:cstheme="majorBidi"/>
      <w:b/>
      <w:bCs/>
      <w:color w:val="4F81BD" w:themeColor="accent1"/>
    </w:rPr>
  </w:style>
  <w:style w:type="paragraph" w:styleId="Tytu">
    <w:name w:val="Title"/>
    <w:basedOn w:val="Normalny"/>
    <w:next w:val="Normalny"/>
    <w:link w:val="TytuZnak"/>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b/>
      <w:color w:val="17365D" w:themeColor="text2" w:themeShade="BF"/>
      <w:spacing w:val="5"/>
      <w:kern w:val="28"/>
      <w:sz w:val="28"/>
      <w:szCs w:val="52"/>
    </w:rPr>
  </w:style>
  <w:style w:type="character" w:customStyle="1" w:styleId="TytuZnak">
    <w:name w:val="Tytuł Znak"/>
    <w:basedOn w:val="Domylnaczcionkaakapitu"/>
    <w:link w:val="Tytu"/>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odtytu">
    <w:name w:val="Subtitle"/>
    <w:basedOn w:val="Normalny"/>
    <w:next w:val="Normalny"/>
    <w:link w:val="PodtytuZnak"/>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ytuZnak">
    <w:name w:val="Podtytuł Znak"/>
    <w:basedOn w:val="Domylnaczcionkaakapitu"/>
    <w:link w:val="Podtytu"/>
    <w:uiPriority w:val="11"/>
    <w:rsid w:val="00FC693F"/>
    <w:rPr>
      <w:rFonts w:asciiTheme="majorHAnsi" w:eastAsiaTheme="majorEastAsia" w:hAnsiTheme="majorHAnsi" w:cstheme="majorBidi"/>
      <w:i/>
      <w:iCs/>
      <w:color w:val="4F81BD" w:themeColor="accent1"/>
      <w:spacing w:val="15"/>
      <w:sz w:val="24"/>
      <w:szCs w:val="24"/>
    </w:rPr>
  </w:style>
  <w:style w:type="paragraph" w:styleId="Akapitzlist">
    <w:name w:val="List Paragraph"/>
    <w:basedOn w:val="Normalny"/>
    <w:uiPriority w:val="34"/>
    <w:qFormat/>
    <w:rsid w:val="00FC693F"/>
    <w:pPr>
      <w:ind w:left="720"/>
      <w:contextualSpacing/>
    </w:pPr>
  </w:style>
  <w:style w:type="paragraph" w:styleId="Tekstpodstawowy">
    <w:name w:val="Body Text"/>
    <w:basedOn w:val="Normalny"/>
    <w:link w:val="TekstpodstawowyZnak"/>
    <w:uiPriority w:val="99"/>
    <w:unhideWhenUsed/>
    <w:rsid w:val="00AA1D8D"/>
    <w:pPr>
      <w:spacing w:after="120"/>
    </w:pPr>
  </w:style>
  <w:style w:type="character" w:customStyle="1" w:styleId="TekstpodstawowyZnak">
    <w:name w:val="Tekst podstawowy Znak"/>
    <w:basedOn w:val="Domylnaczcionkaakapitu"/>
    <w:link w:val="Tekstpodstawowy"/>
    <w:uiPriority w:val="99"/>
    <w:rsid w:val="00AA1D8D"/>
  </w:style>
  <w:style w:type="paragraph" w:styleId="Tekstpodstawowy2">
    <w:name w:val="Body Text 2"/>
    <w:basedOn w:val="Normalny"/>
    <w:link w:val="Tekstpodstawowy2Znak"/>
    <w:uiPriority w:val="99"/>
    <w:unhideWhenUsed/>
    <w:rsid w:val="00AA1D8D"/>
    <w:pPr>
      <w:spacing w:after="120" w:line="480" w:lineRule="auto"/>
    </w:pPr>
  </w:style>
  <w:style w:type="character" w:customStyle="1" w:styleId="Tekstpodstawowy2Znak">
    <w:name w:val="Tekst podstawowy 2 Znak"/>
    <w:basedOn w:val="Domylnaczcionkaakapitu"/>
    <w:link w:val="Tekstpodstawowy2"/>
    <w:uiPriority w:val="99"/>
    <w:rsid w:val="00AA1D8D"/>
  </w:style>
  <w:style w:type="paragraph" w:styleId="Tekstpodstawowy3">
    <w:name w:val="Body Text 3"/>
    <w:basedOn w:val="Normalny"/>
    <w:link w:val="Tekstpodstawowy3Znak"/>
    <w:uiPriority w:val="99"/>
    <w:unhideWhenUsed/>
    <w:rsid w:val="00AA1D8D"/>
    <w:pPr>
      <w:spacing w:after="120"/>
    </w:pPr>
    <w:rPr>
      <w:sz w:val="16"/>
      <w:szCs w:val="16"/>
    </w:rPr>
  </w:style>
  <w:style w:type="character" w:customStyle="1" w:styleId="Tekstpodstawowy3Znak">
    <w:name w:val="Tekst podstawowy 3 Znak"/>
    <w:basedOn w:val="Domylnaczcionkaakapitu"/>
    <w:link w:val="Tekstpodstawowy3"/>
    <w:uiPriority w:val="99"/>
    <w:rsid w:val="00AA1D8D"/>
    <w:rPr>
      <w:sz w:val="16"/>
      <w:szCs w:val="16"/>
    </w:rPr>
  </w:style>
  <w:style w:type="paragraph" w:styleId="Lista">
    <w:name w:val="List"/>
    <w:basedOn w:val="Normalny"/>
    <w:uiPriority w:val="99"/>
    <w:unhideWhenUsed/>
    <w:rsid w:val="00AA1D8D"/>
    <w:pPr>
      <w:ind w:left="360" w:hanging="360"/>
      <w:contextualSpacing/>
    </w:pPr>
  </w:style>
  <w:style w:type="paragraph" w:styleId="Lista2">
    <w:name w:val="List 2"/>
    <w:basedOn w:val="Normalny"/>
    <w:uiPriority w:val="99"/>
    <w:unhideWhenUsed/>
    <w:rsid w:val="00326F90"/>
    <w:pPr>
      <w:ind w:left="720" w:hanging="360"/>
      <w:contextualSpacing/>
    </w:pPr>
  </w:style>
  <w:style w:type="paragraph" w:styleId="Lista3">
    <w:name w:val="List 3"/>
    <w:basedOn w:val="Normalny"/>
    <w:uiPriority w:val="99"/>
    <w:unhideWhenUsed/>
    <w:rsid w:val="00326F90"/>
    <w:pPr>
      <w:ind w:left="1080" w:hanging="360"/>
      <w:contextualSpacing/>
    </w:pPr>
  </w:style>
  <w:style w:type="paragraph" w:styleId="Listapunktowana">
    <w:name w:val="List Bullet"/>
    <w:basedOn w:val="Normalny"/>
    <w:uiPriority w:val="99"/>
    <w:unhideWhenUsed/>
    <w:rsid w:val="00326F90"/>
    <w:pPr>
      <w:numPr>
        <w:numId w:val="1"/>
      </w:numPr>
      <w:contextualSpacing/>
    </w:pPr>
  </w:style>
  <w:style w:type="paragraph" w:styleId="Listapunktowana2">
    <w:name w:val="List Bullet 2"/>
    <w:basedOn w:val="Normalny"/>
    <w:uiPriority w:val="99"/>
    <w:unhideWhenUsed/>
    <w:rsid w:val="00326F90"/>
    <w:pPr>
      <w:numPr>
        <w:numId w:val="2"/>
      </w:numPr>
      <w:contextualSpacing/>
    </w:pPr>
  </w:style>
  <w:style w:type="paragraph" w:styleId="Listapunktowana3">
    <w:name w:val="List Bullet 3"/>
    <w:basedOn w:val="Normalny"/>
    <w:uiPriority w:val="99"/>
    <w:unhideWhenUsed/>
    <w:rsid w:val="00326F90"/>
    <w:pPr>
      <w:numPr>
        <w:numId w:val="3"/>
      </w:numPr>
      <w:contextualSpacing/>
    </w:pPr>
  </w:style>
  <w:style w:type="paragraph" w:styleId="Listanumerowana">
    <w:name w:val="List Number"/>
    <w:basedOn w:val="Normalny"/>
    <w:uiPriority w:val="99"/>
    <w:unhideWhenUsed/>
    <w:rsid w:val="00326F90"/>
    <w:pPr>
      <w:numPr>
        <w:numId w:val="5"/>
      </w:numPr>
      <w:contextualSpacing/>
    </w:pPr>
  </w:style>
  <w:style w:type="paragraph" w:styleId="Listanumerowana2">
    <w:name w:val="List Number 2"/>
    <w:basedOn w:val="Normalny"/>
    <w:uiPriority w:val="99"/>
    <w:unhideWhenUsed/>
    <w:rsid w:val="0029639D"/>
    <w:pPr>
      <w:numPr>
        <w:numId w:val="6"/>
      </w:numPr>
      <w:contextualSpacing/>
    </w:pPr>
  </w:style>
  <w:style w:type="paragraph" w:styleId="Listanumerowana3">
    <w:name w:val="List Number 3"/>
    <w:basedOn w:val="Normalny"/>
    <w:uiPriority w:val="99"/>
    <w:unhideWhenUsed/>
    <w:rsid w:val="0029639D"/>
    <w:pPr>
      <w:numPr>
        <w:numId w:val="7"/>
      </w:numPr>
      <w:contextualSpacing/>
    </w:pPr>
  </w:style>
  <w:style w:type="paragraph" w:styleId="Lista-kontynuacja">
    <w:name w:val="List Continue"/>
    <w:basedOn w:val="Normalny"/>
    <w:uiPriority w:val="99"/>
    <w:unhideWhenUsed/>
    <w:rsid w:val="0029639D"/>
    <w:pPr>
      <w:spacing w:after="120"/>
      <w:ind w:left="360"/>
      <w:contextualSpacing/>
    </w:pPr>
  </w:style>
  <w:style w:type="paragraph" w:styleId="Lista-kontynuacja2">
    <w:name w:val="List Continue 2"/>
    <w:basedOn w:val="Normalny"/>
    <w:uiPriority w:val="99"/>
    <w:unhideWhenUsed/>
    <w:rsid w:val="0029639D"/>
    <w:pPr>
      <w:spacing w:after="120"/>
      <w:ind w:left="720"/>
      <w:contextualSpacing/>
    </w:pPr>
  </w:style>
  <w:style w:type="paragraph" w:styleId="Lista-kontynuacja3">
    <w:name w:val="List Continue 3"/>
    <w:basedOn w:val="Normalny"/>
    <w:uiPriority w:val="99"/>
    <w:unhideWhenUsed/>
    <w:rsid w:val="0029639D"/>
    <w:pPr>
      <w:spacing w:after="120"/>
      <w:ind w:left="1080"/>
      <w:contextualSpacing/>
    </w:pPr>
  </w:style>
  <w:style w:type="paragraph" w:styleId="Tekstmakra">
    <w:name w:val="macro"/>
    <w:link w:val="TekstmakraZnak"/>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kstmakraZnak">
    <w:name w:val="Tekst makra Znak"/>
    <w:basedOn w:val="Domylnaczcionkaakapitu"/>
    <w:link w:val="Tekstmakra"/>
    <w:uiPriority w:val="99"/>
    <w:rsid w:val="0029639D"/>
    <w:rPr>
      <w:rFonts w:ascii="Courier" w:hAnsi="Courier"/>
      <w:sz w:val="20"/>
      <w:szCs w:val="20"/>
    </w:rPr>
  </w:style>
  <w:style w:type="paragraph" w:styleId="Cytat">
    <w:name w:val="Quote"/>
    <w:basedOn w:val="Normalny"/>
    <w:next w:val="Normalny"/>
    <w:link w:val="CytatZnak"/>
    <w:uiPriority w:val="29"/>
    <w:qFormat/>
    <w:rsid w:val="00FC693F"/>
    <w:rPr>
      <w:i/>
      <w:iCs/>
      <w:color w:val="000000" w:themeColor="text1"/>
    </w:rPr>
  </w:style>
  <w:style w:type="character" w:customStyle="1" w:styleId="CytatZnak">
    <w:name w:val="Cytat Znak"/>
    <w:basedOn w:val="Domylnaczcionkaakapitu"/>
    <w:link w:val="Cytat"/>
    <w:uiPriority w:val="29"/>
    <w:rsid w:val="00FC693F"/>
    <w:rPr>
      <w:i/>
      <w:iCs/>
      <w:color w:val="000000" w:themeColor="text1"/>
    </w:rPr>
  </w:style>
  <w:style w:type="character" w:customStyle="1" w:styleId="Nagwek4Znak">
    <w:name w:val="Nagłówek 4 Znak"/>
    <w:basedOn w:val="Domylnaczcionkaakapitu"/>
    <w:link w:val="Nagwek4"/>
    <w:uiPriority w:val="9"/>
    <w:semiHidden/>
    <w:rsid w:val="00FC693F"/>
    <w:rPr>
      <w:rFonts w:asciiTheme="majorHAnsi" w:eastAsiaTheme="majorEastAsia" w:hAnsiTheme="majorHAnsi" w:cstheme="majorBidi"/>
      <w:b/>
      <w:bCs/>
      <w:i/>
      <w:iCs/>
      <w:color w:val="4F81BD" w:themeColor="accent1"/>
    </w:rPr>
  </w:style>
  <w:style w:type="character" w:customStyle="1" w:styleId="Nagwek5Znak">
    <w:name w:val="Nagłówek 5 Znak"/>
    <w:basedOn w:val="Domylnaczcionkaakapitu"/>
    <w:link w:val="Nagwek5"/>
    <w:uiPriority w:val="9"/>
    <w:semiHidden/>
    <w:rsid w:val="00FC693F"/>
    <w:rPr>
      <w:rFonts w:asciiTheme="majorHAnsi" w:eastAsiaTheme="majorEastAsia" w:hAnsiTheme="majorHAnsi" w:cstheme="majorBidi"/>
      <w:color w:val="243F60" w:themeColor="accent1" w:themeShade="7F"/>
    </w:rPr>
  </w:style>
  <w:style w:type="character" w:customStyle="1" w:styleId="Nagwek6Znak">
    <w:name w:val="Nagłówek 6 Znak"/>
    <w:basedOn w:val="Domylnaczcionkaakapitu"/>
    <w:link w:val="Nagwek6"/>
    <w:uiPriority w:val="9"/>
    <w:semiHidden/>
    <w:rsid w:val="00FC693F"/>
    <w:rPr>
      <w:rFonts w:asciiTheme="majorHAnsi" w:eastAsiaTheme="majorEastAsia" w:hAnsiTheme="majorHAnsi" w:cstheme="majorBidi"/>
      <w:i/>
      <w:iCs/>
      <w:color w:val="243F60" w:themeColor="accent1" w:themeShade="7F"/>
    </w:rPr>
  </w:style>
  <w:style w:type="character" w:customStyle="1" w:styleId="Nagwek7Znak">
    <w:name w:val="Nagłówek 7 Znak"/>
    <w:basedOn w:val="Domylnaczcionkaakapitu"/>
    <w:link w:val="Nagwek7"/>
    <w:uiPriority w:val="9"/>
    <w:semiHidden/>
    <w:rsid w:val="00FC693F"/>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FC693F"/>
    <w:rPr>
      <w:rFonts w:asciiTheme="majorHAnsi" w:eastAsiaTheme="majorEastAsia" w:hAnsiTheme="majorHAnsi" w:cstheme="majorBidi"/>
      <w:color w:val="4F81BD" w:themeColor="accent1"/>
      <w:sz w:val="20"/>
      <w:szCs w:val="20"/>
    </w:rPr>
  </w:style>
  <w:style w:type="character" w:customStyle="1" w:styleId="Nagwek9Znak">
    <w:name w:val="Nagłówek 9 Znak"/>
    <w:basedOn w:val="Domylnaczcionkaakapitu"/>
    <w:link w:val="Nagwek9"/>
    <w:uiPriority w:val="9"/>
    <w:semiHidden/>
    <w:rsid w:val="00FC693F"/>
    <w:rPr>
      <w:rFonts w:asciiTheme="majorHAnsi" w:eastAsiaTheme="majorEastAsia" w:hAnsiTheme="majorHAnsi" w:cstheme="majorBidi"/>
      <w:i/>
      <w:iCs/>
      <w:color w:val="404040" w:themeColor="text1" w:themeTint="BF"/>
      <w:sz w:val="20"/>
      <w:szCs w:val="20"/>
    </w:rPr>
  </w:style>
  <w:style w:type="paragraph" w:styleId="Legenda">
    <w:name w:val="caption"/>
    <w:basedOn w:val="Normalny"/>
    <w:next w:val="Normalny"/>
    <w:uiPriority w:val="35"/>
    <w:semiHidden/>
    <w:unhideWhenUsed/>
    <w:qFormat/>
    <w:rsid w:val="00FC693F"/>
    <w:pPr>
      <w:spacing w:line="240" w:lineRule="auto"/>
    </w:pPr>
    <w:rPr>
      <w:b/>
      <w:bCs/>
      <w:color w:val="4F81BD" w:themeColor="accent1"/>
      <w:sz w:val="18"/>
      <w:szCs w:val="18"/>
    </w:rPr>
  </w:style>
  <w:style w:type="character" w:styleId="Pogrubienie">
    <w:name w:val="Strong"/>
    <w:basedOn w:val="Domylnaczcionkaakapitu"/>
    <w:uiPriority w:val="22"/>
    <w:qFormat/>
    <w:rsid w:val="00FC693F"/>
    <w:rPr>
      <w:b/>
      <w:bCs/>
    </w:rPr>
  </w:style>
  <w:style w:type="character" w:styleId="Uwydatnienie">
    <w:name w:val="Emphasis"/>
    <w:basedOn w:val="Domylnaczcionkaakapitu"/>
    <w:uiPriority w:val="20"/>
    <w:qFormat/>
    <w:rsid w:val="00FC693F"/>
    <w:rPr>
      <w:i/>
      <w:iCs/>
    </w:rPr>
  </w:style>
  <w:style w:type="paragraph" w:styleId="Cytatintensywny">
    <w:name w:val="Intense Quote"/>
    <w:basedOn w:val="Normalny"/>
    <w:next w:val="Normalny"/>
    <w:link w:val="CytatintensywnyZnak"/>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ytatintensywnyZnak">
    <w:name w:val="Cytat intensywny Znak"/>
    <w:basedOn w:val="Domylnaczcionkaakapitu"/>
    <w:link w:val="Cytatintensywny"/>
    <w:uiPriority w:val="30"/>
    <w:rsid w:val="00FC693F"/>
    <w:rPr>
      <w:b/>
      <w:bCs/>
      <w:i/>
      <w:iCs/>
      <w:color w:val="4F81BD" w:themeColor="accent1"/>
    </w:rPr>
  </w:style>
  <w:style w:type="character" w:styleId="Wyrnieniedelikatne">
    <w:name w:val="Subtle Emphasis"/>
    <w:basedOn w:val="Domylnaczcionkaakapitu"/>
    <w:uiPriority w:val="19"/>
    <w:qFormat/>
    <w:rsid w:val="00FC693F"/>
    <w:rPr>
      <w:i/>
      <w:iCs/>
      <w:color w:val="808080" w:themeColor="text1" w:themeTint="7F"/>
    </w:rPr>
  </w:style>
  <w:style w:type="character" w:styleId="Wyrnienieintensywne">
    <w:name w:val="Intense Emphasis"/>
    <w:basedOn w:val="Domylnaczcionkaakapitu"/>
    <w:uiPriority w:val="21"/>
    <w:qFormat/>
    <w:rsid w:val="00FC693F"/>
    <w:rPr>
      <w:b/>
      <w:bCs/>
      <w:i/>
      <w:iCs/>
      <w:color w:val="4F81BD" w:themeColor="accent1"/>
    </w:rPr>
  </w:style>
  <w:style w:type="character" w:styleId="Odwoaniedelikatne">
    <w:name w:val="Subtle Reference"/>
    <w:basedOn w:val="Domylnaczcionkaakapitu"/>
    <w:uiPriority w:val="31"/>
    <w:qFormat/>
    <w:rsid w:val="00FC693F"/>
    <w:rPr>
      <w:smallCaps/>
      <w:color w:val="C0504D" w:themeColor="accent2"/>
      <w:u w:val="single"/>
    </w:rPr>
  </w:style>
  <w:style w:type="character" w:styleId="Odwoanieintensywne">
    <w:name w:val="Intense Reference"/>
    <w:basedOn w:val="Domylnaczcionkaakapitu"/>
    <w:uiPriority w:val="32"/>
    <w:qFormat/>
    <w:rsid w:val="00FC693F"/>
    <w:rPr>
      <w:b/>
      <w:bCs/>
      <w:smallCaps/>
      <w:color w:val="C0504D" w:themeColor="accent2"/>
      <w:spacing w:val="5"/>
      <w:u w:val="single"/>
    </w:rPr>
  </w:style>
  <w:style w:type="character" w:styleId="Tytuksiki">
    <w:name w:val="Book Title"/>
    <w:basedOn w:val="Domylnaczcionkaakapitu"/>
    <w:uiPriority w:val="33"/>
    <w:qFormat/>
    <w:rsid w:val="00FC693F"/>
    <w:rPr>
      <w:b/>
      <w:bCs/>
      <w:smallCaps/>
      <w:spacing w:val="5"/>
    </w:rPr>
  </w:style>
  <w:style w:type="paragraph" w:styleId="Nagwekspisutreci">
    <w:name w:val="TOC Heading"/>
    <w:basedOn w:val="Nagwek1"/>
    <w:next w:val="Normalny"/>
    <w:uiPriority w:val="39"/>
    <w:semiHidden/>
    <w:unhideWhenUsed/>
    <w:qFormat/>
    <w:rsid w:val="00FC693F"/>
    <w:pPr>
      <w:outlineLvl w:val="9"/>
    </w:pPr>
  </w:style>
  <w:style w:type="table" w:styleId="Tabela-Siatka">
    <w:name w:val="Table Grid"/>
    <w:basedOn w:val="Standardowy"/>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Jasnecieniowanie">
    <w:name w:val="Light Shading"/>
    <w:basedOn w:val="Standardowy"/>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Jasnecieniowanieakcent1">
    <w:name w:val="Light Shading Accent 1"/>
    <w:basedOn w:val="Standardowy"/>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Jasnecieniowanieakcent2">
    <w:name w:val="Light Shading Accent 2"/>
    <w:basedOn w:val="Standardowy"/>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Jasnecieniowanieakcent3">
    <w:name w:val="Light Shading Accent 3"/>
    <w:basedOn w:val="Standardowy"/>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Jasnecieniowanieakcent4">
    <w:name w:val="Light Shading Accent 4"/>
    <w:basedOn w:val="Standardowy"/>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Jasnecieniowanieakcent5">
    <w:name w:val="Light Shading Accent 5"/>
    <w:basedOn w:val="Standardowy"/>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Jasnecieniowanieakcent6">
    <w:name w:val="Light Shading Accent 6"/>
    <w:basedOn w:val="Standardowy"/>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Jasnalista">
    <w:name w:val="Light List"/>
    <w:basedOn w:val="Standardowy"/>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Jasnalistaakcent1">
    <w:name w:val="Light List Accent 1"/>
    <w:basedOn w:val="Standardowy"/>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Jasnalistaakcent2">
    <w:name w:val="Light List Accent 2"/>
    <w:basedOn w:val="Standardowy"/>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Jasnalistaakcent3">
    <w:name w:val="Light List Accent 3"/>
    <w:basedOn w:val="Standardowy"/>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Jasnalistaakcent4">
    <w:name w:val="Light List Accent 4"/>
    <w:basedOn w:val="Standardowy"/>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Jasnalistaakcent5">
    <w:name w:val="Light List Accent 5"/>
    <w:basedOn w:val="Standardowy"/>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Jasnalistaakcent6">
    <w:name w:val="Light List Accent 6"/>
    <w:basedOn w:val="Standardowy"/>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Jasnasiatka">
    <w:name w:val="Light Grid"/>
    <w:basedOn w:val="Standardowy"/>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Jasnasiatkaakcent1">
    <w:name w:val="Light Grid Accent 1"/>
    <w:basedOn w:val="Standardowy"/>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Jasnasiatkaakcent2">
    <w:name w:val="Light Grid Accent 2"/>
    <w:basedOn w:val="Standardowy"/>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Jasnasiatkaakcent3">
    <w:name w:val="Light Grid Accent 3"/>
    <w:basedOn w:val="Standardowy"/>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Jasnasiatkaakcent4">
    <w:name w:val="Light Grid Accent 4"/>
    <w:basedOn w:val="Standardowy"/>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Jasnasiatkaakcent5">
    <w:name w:val="Light Grid Accent 5"/>
    <w:basedOn w:val="Standardowy"/>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Jasnasiatkaakcent6">
    <w:name w:val="Light Grid Accent 6"/>
    <w:basedOn w:val="Standardowy"/>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redniecieniowanie1">
    <w:name w:val="Medium Shading 1"/>
    <w:basedOn w:val="Standardowy"/>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redniecieniowanie1akcent1">
    <w:name w:val="Medium Shading 1 Accent 1"/>
    <w:basedOn w:val="Standardowy"/>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redniecieniowanie1akcent2">
    <w:name w:val="Medium Shading 1 Accent 2"/>
    <w:basedOn w:val="Standardowy"/>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redniecieniowanie1akcent3">
    <w:name w:val="Medium Shading 1 Accent 3"/>
    <w:basedOn w:val="Standardowy"/>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redniecieniowanie1akcent4">
    <w:name w:val="Medium Shading 1 Accent 4"/>
    <w:basedOn w:val="Standardowy"/>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redniecieniowanie1akcent5">
    <w:name w:val="Medium Shading 1 Accent 5"/>
    <w:basedOn w:val="Standardowy"/>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redniecieniowanie1akcent6">
    <w:name w:val="Medium Shading 1 Accent 6"/>
    <w:basedOn w:val="Standardowy"/>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redniecieniowanie2">
    <w:name w:val="Medium Shading 2"/>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1">
    <w:name w:val="Medium Shading 2 Accent 1"/>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2">
    <w:name w:val="Medium Shading 2 Accent 2"/>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3">
    <w:name w:val="Medium Shading 2 Accent 3"/>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4">
    <w:name w:val="Medium Shading 2 Accent 4"/>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5">
    <w:name w:val="Medium Shading 2 Accent 5"/>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6">
    <w:name w:val="Medium Shading 2 Accent 6"/>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alista1">
    <w:name w:val="Medium List 1"/>
    <w:basedOn w:val="Standardowy"/>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rednialista1akcent1">
    <w:name w:val="Medium List 1 Accent 1"/>
    <w:basedOn w:val="Standardowy"/>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rednialista1akcent2">
    <w:name w:val="Medium List 1 Accent 2"/>
    <w:basedOn w:val="Standardowy"/>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rednialista1akcent3">
    <w:name w:val="Medium List 1 Accent 3"/>
    <w:basedOn w:val="Standardowy"/>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rednialista1akcent4">
    <w:name w:val="Medium List 1 Accent 4"/>
    <w:basedOn w:val="Standardowy"/>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rednialista1akcent5">
    <w:name w:val="Medium List 1 Accent 5"/>
    <w:basedOn w:val="Standardowy"/>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rednialista1akcent6">
    <w:name w:val="Medium List 1 Accent 6"/>
    <w:basedOn w:val="Standardowy"/>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rednialista2">
    <w:name w:val="Medium List 2"/>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1">
    <w:name w:val="Medium List 2 Accent 1"/>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2">
    <w:name w:val="Medium List 2 Accent 2"/>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3">
    <w:name w:val="Medium List 2 Accent 3"/>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4">
    <w:name w:val="Medium List 2 Accent 4"/>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5">
    <w:name w:val="Medium List 2 Accent 5"/>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6">
    <w:name w:val="Medium List 2 Accent 6"/>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siatka1">
    <w:name w:val="Medium Grid 1"/>
    <w:basedOn w:val="Standardowy"/>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redniasiatka1akcent1">
    <w:name w:val="Medium Grid 1 Accent 1"/>
    <w:basedOn w:val="Standardowy"/>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redniasiatka1akcent2">
    <w:name w:val="Medium Grid 1 Accent 2"/>
    <w:basedOn w:val="Standardowy"/>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redniasiatka1akcent3">
    <w:name w:val="Medium Grid 1 Accent 3"/>
    <w:basedOn w:val="Standardowy"/>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redniasiatka1akcent4">
    <w:name w:val="Medium Grid 1 Accent 4"/>
    <w:basedOn w:val="Standardowy"/>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redniasiatka1akcent5">
    <w:name w:val="Medium Grid 1 Accent 5"/>
    <w:basedOn w:val="Standardowy"/>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redniasiatka1akcent6">
    <w:name w:val="Medium Grid 1 Accent 6"/>
    <w:basedOn w:val="Standardowy"/>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redniasiatka2">
    <w:name w:val="Medium Grid 2"/>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redniasiatka2akcent1">
    <w:name w:val="Medium Grid 2 Accent 1"/>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redniasiatka2akcent2">
    <w:name w:val="Medium Grid 2 Accent 2"/>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redniasiatka2akcent3">
    <w:name w:val="Medium Grid 2 Accent 3"/>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redniasiatka2akcent4">
    <w:name w:val="Medium Grid 2 Accent 4"/>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redniasiatka2akcent5">
    <w:name w:val="Medium Grid 2 Accent 5"/>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redniasiatka2akcent6">
    <w:name w:val="Medium Grid 2 Accent 6"/>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redniasiatka3">
    <w:name w:val="Medium Grid 3"/>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redniasiatka3akcent1">
    <w:name w:val="Medium Grid 3 Accent 1"/>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redniasiatka3akcent2">
    <w:name w:val="Medium Grid 3 Accent 2"/>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redniasiatka3akcent3">
    <w:name w:val="Medium Grid 3 Accent 3"/>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redniasiatka3akcent4">
    <w:name w:val="Medium Grid 3 Accent 4"/>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redniasiatka3akcent5">
    <w:name w:val="Medium Grid 3 Accent 5"/>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redniasiatka3akcent6">
    <w:name w:val="Medium Grid 3 Accent 6"/>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Ciemnalista">
    <w:name w:val="Dark List"/>
    <w:basedOn w:val="Standardowy"/>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Ciemnalista2akcent1">
    <w:name w:val="Dark List Accent 1"/>
    <w:basedOn w:val="Standardowy"/>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Ciemnalistaakcent2">
    <w:name w:val="Dark List Accent 2"/>
    <w:basedOn w:val="Standardowy"/>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Ciemnalistaakcent3">
    <w:name w:val="Dark List Accent 3"/>
    <w:basedOn w:val="Standardowy"/>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Ciemnalistaakcent4">
    <w:name w:val="Dark List Accent 4"/>
    <w:basedOn w:val="Standardowy"/>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Ciemnalistaakcent5">
    <w:name w:val="Dark List Accent 5"/>
    <w:basedOn w:val="Standardowy"/>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Ciemnalistaakcent6">
    <w:name w:val="Dark List Accent 6"/>
    <w:basedOn w:val="Standardowy"/>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Kolorowecieniowanie">
    <w:name w:val="Colorful Shading"/>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olorowecieniowanieakcent1">
    <w:name w:val="Colorful Shading Accent 1"/>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olorowecieniowanieakcent2">
    <w:name w:val="Colorful Shading Accent 2"/>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olorowecieniowanieakcent3">
    <w:name w:val="Colorful Shading Accent 3"/>
    <w:basedOn w:val="Standardowy"/>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olorowecieniowanieakcent4">
    <w:name w:val="Colorful Shading Accent 4"/>
    <w:basedOn w:val="Standardowy"/>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olorowecieniowanieakcent5">
    <w:name w:val="Colorful Shading Accent 5"/>
    <w:basedOn w:val="Standardowy"/>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olorowecieniowanieakcent6">
    <w:name w:val="Colorful Shading Accent 6"/>
    <w:basedOn w:val="Standardowy"/>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Kolorowalista">
    <w:name w:val="Colorful List"/>
    <w:basedOn w:val="Standardowy"/>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olorowalistaakcent1">
    <w:name w:val="Colorful List Accent 1"/>
    <w:basedOn w:val="Standardowy"/>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olorowalistaakcent2">
    <w:name w:val="Colorful List Accent 2"/>
    <w:basedOn w:val="Standardowy"/>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olorowalistaakcent3">
    <w:name w:val="Colorful List Accent 3"/>
    <w:basedOn w:val="Standardowy"/>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olorowalistaakcent4">
    <w:name w:val="Colorful List Accent 4"/>
    <w:basedOn w:val="Standardowy"/>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olorowalistaakcent5">
    <w:name w:val="Colorful List Accent 5"/>
    <w:basedOn w:val="Standardowy"/>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olorowalistaakcent6">
    <w:name w:val="Colorful List Accent 6"/>
    <w:basedOn w:val="Standardowy"/>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olorowasiatka">
    <w:name w:val="Colorful Grid"/>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olorowasiatkaakcent1">
    <w:name w:val="Colorful Grid Accent 1"/>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olorowasiatkaakcent2">
    <w:name w:val="Colorful Grid Accent 2"/>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olorowasiatkaakcent3">
    <w:name w:val="Colorful Grid Accent 3"/>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olorowasiatkaakcent4">
    <w:name w:val="Colorful Grid Accent 4"/>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olorowasiatkaakcent5">
    <w:name w:val="Colorful Grid Accent 5"/>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olorowasiatkaakcent6">
    <w:name w:val="Colorful Grid Accent 6"/>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pkt">
    <w:name w:val="pkt"/>
    <w:basedOn w:val="Normalny"/>
    <w:link w:val="pktZnak"/>
    <w:rsid w:val="00DC63BB"/>
    <w:pPr>
      <w:spacing w:before="60" w:after="60" w:line="240" w:lineRule="auto"/>
      <w:ind w:left="851" w:hanging="295"/>
      <w:jc w:val="both"/>
    </w:pPr>
    <w:rPr>
      <w:rFonts w:ascii="Times New Roman" w:eastAsia="Times New Roman" w:hAnsi="Times New Roman" w:cs="Times New Roman"/>
      <w:sz w:val="24"/>
      <w:szCs w:val="20"/>
      <w:lang w:val="pl-PL" w:eastAsia="pl-PL"/>
    </w:rPr>
  </w:style>
  <w:style w:type="character" w:customStyle="1" w:styleId="pktZnak">
    <w:name w:val="pkt Znak"/>
    <w:link w:val="pkt"/>
    <w:locked/>
    <w:rsid w:val="00DC63BB"/>
    <w:rPr>
      <w:rFonts w:ascii="Times New Roman" w:eastAsia="Times New Roman" w:hAnsi="Times New Roman" w:cs="Times New Roman"/>
      <w:sz w:val="24"/>
      <w:szCs w:val="20"/>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3</Pages>
  <Words>990</Words>
  <Characters>5941</Characters>
  <Application>Microsoft Office Word</Application>
  <DocSecurity>0</DocSecurity>
  <Lines>49</Lines>
  <Paragraphs>13</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Oświadczenie wykonawcy – art. 125 ust. 1 Pzp</vt:lpstr>
      <vt:lpstr/>
    </vt:vector>
  </TitlesOfParts>
  <Manager/>
  <Company/>
  <LinksUpToDate>false</LinksUpToDate>
  <CharactersWithSpaces>6918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7 do SWZ - Opis przedmiotu zamówienia</dc:title>
  <dc:subject>Oświadczenie dotyczące podstaw wykluczenia, warunków udziału i certyfikacji wykonawcy</dc:subject>
  <dc:creator>UG Żurawica</dc:creator>
  <cp:keywords>Pzp, art. 125, art. 124, certyfikacja wykonawców</cp:keywords>
  <dc:description>generated by python-docx</dc:description>
  <cp:lastModifiedBy>UG Żurawica</cp:lastModifiedBy>
  <cp:revision>5</cp:revision>
  <dcterms:created xsi:type="dcterms:W3CDTF">2026-08-25T12:22:00Z</dcterms:created>
  <dcterms:modified xsi:type="dcterms:W3CDTF">2026-08-27T10:11:00Z</dcterms:modified>
  <cp:category/>
</cp:coreProperties>
</file>