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94CC9" w14:textId="06D0ACC9" w:rsidR="000503F7" w:rsidRDefault="000503F7" w:rsidP="000503F7">
      <w:pPr>
        <w:pStyle w:val="Tytu"/>
        <w:rPr>
          <w:rFonts w:ascii="Arial" w:hAnsi="Arial" w:cs="Arial"/>
          <w:b/>
          <w:bCs/>
          <w:color w:val="000000" w:themeColor="text1"/>
          <w:sz w:val="28"/>
          <w:szCs w:val="28"/>
          <w:lang w:bidi="pl-PL"/>
        </w:rPr>
      </w:pPr>
      <w:r w:rsidRPr="00C13F3E">
        <w:rPr>
          <w:rFonts w:ascii="Arial" w:hAnsi="Arial" w:cs="Arial"/>
          <w:b/>
          <w:bCs/>
          <w:color w:val="000000" w:themeColor="text1"/>
          <w:sz w:val="28"/>
          <w:szCs w:val="28"/>
          <w:lang w:bidi="pl-PL"/>
        </w:rPr>
        <w:t xml:space="preserve">Załącznik nr </w:t>
      </w:r>
      <w:r w:rsidR="00AB126D">
        <w:rPr>
          <w:rFonts w:ascii="Arial" w:hAnsi="Arial" w:cs="Arial"/>
          <w:b/>
          <w:bCs/>
          <w:color w:val="000000" w:themeColor="text1"/>
          <w:sz w:val="28"/>
          <w:szCs w:val="28"/>
          <w:lang w:bidi="pl-PL"/>
        </w:rPr>
        <w:t>4</w:t>
      </w:r>
      <w:r w:rsidRPr="00C13F3E">
        <w:rPr>
          <w:rFonts w:ascii="Arial" w:hAnsi="Arial" w:cs="Arial"/>
          <w:b/>
          <w:bCs/>
          <w:color w:val="000000" w:themeColor="text1"/>
          <w:sz w:val="28"/>
          <w:szCs w:val="28"/>
          <w:lang w:bidi="pl-PL"/>
        </w:rPr>
        <w:t xml:space="preserve"> </w:t>
      </w:r>
      <w:r w:rsidR="00AB126D">
        <w:rPr>
          <w:rFonts w:ascii="Arial" w:hAnsi="Arial" w:cs="Arial"/>
          <w:b/>
          <w:bCs/>
          <w:color w:val="000000" w:themeColor="text1"/>
          <w:sz w:val="28"/>
          <w:szCs w:val="28"/>
          <w:lang w:bidi="pl-PL"/>
        </w:rPr>
        <w:t>–</w:t>
      </w:r>
      <w:r w:rsidRPr="00C13F3E">
        <w:rPr>
          <w:rFonts w:ascii="Arial" w:hAnsi="Arial" w:cs="Arial"/>
          <w:b/>
          <w:bCs/>
          <w:color w:val="000000" w:themeColor="text1"/>
          <w:sz w:val="28"/>
          <w:szCs w:val="28"/>
          <w:lang w:bidi="pl-PL"/>
        </w:rPr>
        <w:t xml:space="preserve"> </w:t>
      </w:r>
      <w:r w:rsidR="00AB126D">
        <w:rPr>
          <w:rFonts w:ascii="Arial" w:hAnsi="Arial" w:cs="Arial"/>
          <w:b/>
          <w:bCs/>
          <w:color w:val="000000" w:themeColor="text1"/>
          <w:sz w:val="28"/>
          <w:szCs w:val="28"/>
          <w:lang w:bidi="pl-PL"/>
        </w:rPr>
        <w:t>Opis przedmiotu zamówienia</w:t>
      </w:r>
    </w:p>
    <w:p w14:paraId="3F37760C" w14:textId="4C5EE633" w:rsidR="008C5E38" w:rsidRPr="008C5E38" w:rsidRDefault="008C5E38" w:rsidP="008C5E38">
      <w:pPr>
        <w:pStyle w:val="Nagwek2"/>
        <w:shd w:val="clear" w:color="auto" w:fill="FFFFFF"/>
        <w:spacing w:before="360"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8C5E38">
        <w:rPr>
          <w:rFonts w:ascii="Arial" w:hAnsi="Arial" w:cs="Arial"/>
          <w:color w:val="auto"/>
          <w:sz w:val="24"/>
          <w:szCs w:val="24"/>
        </w:rPr>
        <w:t xml:space="preserve">Doposażenie pracowni szkolnych – dostawa laptopów i licencji na specjalistyczne oprogramowania edukacyjne w ramach Fundusze Europejskie dla Śląskiego </w:t>
      </w:r>
      <w:r w:rsidRPr="008C5E38">
        <w:rPr>
          <w:rFonts w:ascii="Arial" w:hAnsi="Arial" w:cs="Arial"/>
          <w:color w:val="auto"/>
          <w:sz w:val="24"/>
          <w:szCs w:val="24"/>
        </w:rPr>
        <w:br/>
      </w:r>
      <w:r w:rsidRPr="008C5E38">
        <w:rPr>
          <w:rFonts w:ascii="Arial" w:hAnsi="Arial" w:cs="Arial"/>
          <w:color w:val="auto"/>
          <w:sz w:val="24"/>
          <w:szCs w:val="24"/>
        </w:rPr>
        <w:t>2021-2027 (Fundusz na rzecz Sprawiedliwej Transformacji)</w:t>
      </w:r>
    </w:p>
    <w:p w14:paraId="4BE9EE2E" w14:textId="79A5E511" w:rsidR="008C5E38" w:rsidRPr="008C5E38" w:rsidRDefault="008C5E38" w:rsidP="008C5E38">
      <w:pPr>
        <w:pStyle w:val="Tytu"/>
        <w:spacing w:before="0" w:after="360"/>
        <w:jc w:val="center"/>
        <w:rPr>
          <w:rFonts w:ascii="Arial" w:hAnsi="Arial" w:cs="Arial"/>
          <w:color w:val="000000" w:themeColor="text1"/>
          <w:sz w:val="24"/>
          <w:szCs w:val="24"/>
          <w:lang w:bidi="pl-PL"/>
        </w:rPr>
      </w:pPr>
      <w:r w:rsidRPr="008C5E38">
        <w:rPr>
          <w:rFonts w:ascii="Arial" w:hAnsi="Arial" w:cs="Arial"/>
          <w:sz w:val="24"/>
          <w:szCs w:val="24"/>
        </w:rPr>
        <w:t>ZST.</w:t>
      </w:r>
      <w:r w:rsidRPr="008C5E38">
        <w:rPr>
          <w:rFonts w:ascii="Arial" w:hAnsi="Arial" w:cs="Arial"/>
          <w:color w:val="000000" w:themeColor="text1"/>
          <w:sz w:val="24"/>
          <w:szCs w:val="24"/>
        </w:rPr>
        <w:t>251.23.2026.FST</w:t>
      </w:r>
    </w:p>
    <w:tbl>
      <w:tblPr>
        <w:tblStyle w:val="Tabela-Siatka"/>
        <w:tblW w:w="5394" w:type="pct"/>
        <w:tblLook w:val="04A0" w:firstRow="1" w:lastRow="0" w:firstColumn="1" w:lastColumn="0" w:noHBand="0" w:noVBand="1"/>
      </w:tblPr>
      <w:tblGrid>
        <w:gridCol w:w="522"/>
        <w:gridCol w:w="1941"/>
        <w:gridCol w:w="6131"/>
        <w:gridCol w:w="1182"/>
      </w:tblGrid>
      <w:tr w:rsidR="00B42EDB" w:rsidRPr="00AB126D" w14:paraId="472D6962" w14:textId="77777777" w:rsidTr="00AB126D">
        <w:tc>
          <w:tcPr>
            <w:tcW w:w="267" w:type="pct"/>
            <w:vAlign w:val="center"/>
          </w:tcPr>
          <w:p w14:paraId="33DCFA36" w14:textId="77777777" w:rsidR="00EF3AFA" w:rsidRPr="00AB126D" w:rsidRDefault="00EF3AFA" w:rsidP="00AB126D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AB126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993" w:type="pct"/>
            <w:vAlign w:val="center"/>
          </w:tcPr>
          <w:p w14:paraId="3F77B67E" w14:textId="77777777" w:rsidR="00EF3AFA" w:rsidRPr="00AB126D" w:rsidRDefault="00EF3AFA" w:rsidP="00AB126D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AB126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Nazwa</w:t>
            </w:r>
          </w:p>
        </w:tc>
        <w:tc>
          <w:tcPr>
            <w:tcW w:w="3136" w:type="pct"/>
            <w:vAlign w:val="center"/>
          </w:tcPr>
          <w:p w14:paraId="6EA0E78C" w14:textId="149F7C30" w:rsidR="00EF3AFA" w:rsidRPr="00AB126D" w:rsidRDefault="00EF3AFA" w:rsidP="00AB126D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AB126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Charakterystyka</w:t>
            </w:r>
          </w:p>
          <w:p w14:paraId="2DDFD5A7" w14:textId="77777777" w:rsidR="00EF3AFA" w:rsidRPr="00AB126D" w:rsidRDefault="00EF3AFA" w:rsidP="00AB126D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AB126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(wymagania minimalne)</w:t>
            </w:r>
          </w:p>
        </w:tc>
        <w:tc>
          <w:tcPr>
            <w:tcW w:w="605" w:type="pct"/>
            <w:vAlign w:val="center"/>
          </w:tcPr>
          <w:p w14:paraId="7F1441CE" w14:textId="77777777" w:rsidR="00EF3AFA" w:rsidRPr="00AB126D" w:rsidRDefault="00EF3AFA" w:rsidP="00AB126D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AB126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Ilość</w:t>
            </w:r>
          </w:p>
        </w:tc>
      </w:tr>
      <w:tr w:rsidR="00B42EDB" w:rsidRPr="00AB126D" w14:paraId="13A2098D" w14:textId="77777777" w:rsidTr="009504EC">
        <w:trPr>
          <w:trHeight w:val="8210"/>
        </w:trPr>
        <w:tc>
          <w:tcPr>
            <w:tcW w:w="267" w:type="pct"/>
          </w:tcPr>
          <w:p w14:paraId="5F0A758B" w14:textId="77777777" w:rsidR="00EF3AFA" w:rsidRPr="00AB126D" w:rsidRDefault="00EF3AFA" w:rsidP="00AB126D">
            <w:pPr>
              <w:pStyle w:val="Akapitzlist"/>
              <w:numPr>
                <w:ilvl w:val="0"/>
                <w:numId w:val="2"/>
              </w:numPr>
              <w:spacing w:before="0" w:after="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pct"/>
          </w:tcPr>
          <w:p w14:paraId="2F4C4CA2" w14:textId="77777777" w:rsidR="00EF3AFA" w:rsidRPr="00AB126D" w:rsidRDefault="00EF3AFA" w:rsidP="00AB126D">
            <w:pPr>
              <w:spacing w:before="0"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Laptop</w:t>
            </w:r>
          </w:p>
        </w:tc>
        <w:tc>
          <w:tcPr>
            <w:tcW w:w="3136" w:type="pct"/>
          </w:tcPr>
          <w:p w14:paraId="1D24B55A" w14:textId="2AE55EB4" w:rsidR="00EF3AFA" w:rsidRPr="00AB126D" w:rsidRDefault="00EF3AFA" w:rsidP="00AB126D">
            <w:pPr>
              <w:spacing w:before="0"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Zastosowanie:</w:t>
            </w:r>
            <w:r w:rsidR="00B42EDB"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Laptop będzie wykorzystywany dla potrzeb </w:t>
            </w:r>
            <w:r w:rsidR="0075340F"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pracowni </w:t>
            </w:r>
            <w:r w:rsidR="00A8685B"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Zespołu Szkół Technicznych w Rybniku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, aplikacji biurowych, dostępu do Internetu, poczty elektronicznej, aplikacji obliczeniowych, czytnika plików pdf, programu antywirusowego, aplikacji przeglądarkowych oraz klient/serwer, oprogramowania do tworzenia prezentacji, obróbki filmów i obrazów.</w:t>
            </w:r>
          </w:p>
          <w:p w14:paraId="2EFDA5D1" w14:textId="6518BC81" w:rsidR="00DA4728" w:rsidRPr="00AB126D" w:rsidRDefault="00EF3AFA" w:rsidP="00AB126D">
            <w:pPr>
              <w:spacing w:before="0"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Podstawowe parametry: </w:t>
            </w:r>
          </w:p>
          <w:p w14:paraId="1ABBA4F3" w14:textId="29843C46" w:rsidR="00DA4728" w:rsidRPr="00AB126D" w:rsidRDefault="00F41343" w:rsidP="00AB126D">
            <w:pPr>
              <w:pStyle w:val="Nagwek3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bookmarkStart w:id="0" w:name="procesor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 w:rsidR="00DA4728"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. PROCESOR</w:t>
            </w:r>
          </w:p>
          <w:p w14:paraId="5A017F5D" w14:textId="1785ABC0" w:rsidR="00F41343" w:rsidRPr="00AB126D" w:rsidRDefault="00F41343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Procesor pozwalający uzyskać wydajność: nie mniej niż </w:t>
            </w:r>
            <w:r w:rsidRPr="00AB126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pl-PL"/>
              </w:rPr>
              <w:t>232</w:t>
            </w:r>
            <w:r w:rsidR="009504E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pl-PL"/>
              </w:rPr>
              <w:t>37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 punktów uzyskanych w teście </w:t>
            </w:r>
            <w:proofErr w:type="spellStart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Passmark</w:t>
            </w:r>
            <w:proofErr w:type="spellEnd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 CPU Mark opublikowany na stronie: https://www.cpubenchmark.net/cpu_list.php#single-cpu – kolumna „CPU Mark”. Wyniki testu dołączono, jako załącznik do SWZ. Nie dopuszcza się stosowania tzw. ”</w:t>
            </w:r>
            <w:proofErr w:type="spellStart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overlockingu</w:t>
            </w:r>
            <w:proofErr w:type="spellEnd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” celem uzyskania wymaganej liczby punktów.</w:t>
            </w:r>
          </w:p>
          <w:p w14:paraId="20385B37" w14:textId="10E27079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Liczba rdzeni / architektura: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10 rdzeni (6 wydajnościowych + 4 efektywne), 16 wątków</w:t>
            </w:r>
          </w:p>
          <w:p w14:paraId="2D10195F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Pamięć podręczna: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24 MB</w:t>
            </w:r>
          </w:p>
          <w:p w14:paraId="5DAA1F2C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Taktowanie bazowe rdzeni wydajnościowych: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2,4 GHz</w:t>
            </w:r>
          </w:p>
          <w:p w14:paraId="627AD261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Taktowanie maksymalne (Turbo):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do 4,9 GHz</w:t>
            </w:r>
          </w:p>
          <w:p w14:paraId="379A0B79" w14:textId="645D43B4" w:rsidR="00DA4728" w:rsidRPr="00AB126D" w:rsidRDefault="00F41343" w:rsidP="00AB126D">
            <w:pPr>
              <w:pStyle w:val="Nagwek3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bookmarkStart w:id="1" w:name="pamięć-ram-1"/>
            <w:bookmarkEnd w:id="0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  <w:r w:rsidR="00DA4728"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. PAMIĘĆ RAM</w:t>
            </w:r>
          </w:p>
          <w:p w14:paraId="2BB6FEC5" w14:textId="77777777" w:rsidR="00DA4728" w:rsidRPr="00AB126D" w:rsidRDefault="00DA4728" w:rsidP="00AB126D">
            <w:pPr>
              <w:pStyle w:val="FirstParagraph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Pojemność pamięci RAM: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32 GB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>(wymagane: minimum 32 GB)</w:t>
            </w:r>
          </w:p>
          <w:p w14:paraId="26588EEE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Typ pamięci: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DDR4 SDRAM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>(wymagany: DDR4)</w:t>
            </w:r>
          </w:p>
          <w:p w14:paraId="2E6FFF41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Konfiguracja: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dual-channel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>(wymagana: dual-channel)</w:t>
            </w:r>
          </w:p>
          <w:p w14:paraId="19A01C55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Pamięć zainstalowana: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32 GB w konfiguracji dwukanałowej</w:t>
            </w:r>
          </w:p>
          <w:p w14:paraId="75C3CDE7" w14:textId="58B90F94" w:rsidR="00DA4728" w:rsidRPr="00AB126D" w:rsidRDefault="00D5737C" w:rsidP="00AB126D">
            <w:pPr>
              <w:pStyle w:val="Nagwek3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bookmarkStart w:id="2" w:name="karta-graficzna-1"/>
            <w:bookmarkEnd w:id="1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3</w:t>
            </w:r>
            <w:r w:rsidR="00DA4728"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. KARTA GRAFICZNA</w:t>
            </w:r>
          </w:p>
          <w:p w14:paraId="2C3F103B" w14:textId="2F91D67E" w:rsidR="00D5737C" w:rsidRPr="00AB126D" w:rsidRDefault="00D5737C" w:rsidP="00AB126D">
            <w:pPr>
              <w:tabs>
                <w:tab w:val="left" w:pos="31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eastAsia="zh-CN"/>
              </w:rPr>
              <w:t xml:space="preserve">Karta graficzna osiągająca wynik co najmniej </w:t>
            </w:r>
            <w:r w:rsidRPr="00AB126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  <w:t>142</w:t>
            </w:r>
            <w:r w:rsidR="009504E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  <w:t>15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eastAsia="zh-CN"/>
              </w:rPr>
              <w:t xml:space="preserve"> pkt. w teście </w:t>
            </w:r>
            <w:proofErr w:type="spellStart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eastAsia="zh-CN"/>
              </w:rPr>
              <w:t>PassMark</w:t>
            </w:r>
            <w:proofErr w:type="spellEnd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eastAsia="zh-CN"/>
              </w:rPr>
              <w:t xml:space="preserve"> G3D Mark opublikowany na stronie </w:t>
            </w:r>
            <w:hyperlink r:id="rId7" w:history="1">
              <w:r w:rsidRPr="00AB126D">
                <w:rPr>
                  <w:rFonts w:ascii="Arial" w:hAnsi="Arial" w:cs="Arial"/>
                  <w:color w:val="000000" w:themeColor="text1"/>
                  <w:sz w:val="22"/>
                  <w:szCs w:val="22"/>
                  <w:lang w:eastAsia="zh-CN"/>
                </w:rPr>
                <w:t>https://www.videocardbenchmark.net/gpu_list.php</w:t>
              </w:r>
            </w:hyperlink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eastAsia="zh-CN"/>
              </w:rPr>
              <w:t xml:space="preserve"> - kolumna „</w:t>
            </w:r>
            <w:proofErr w:type="spellStart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eastAsia="zh-CN"/>
              </w:rPr>
              <w:t>Passmark</w:t>
            </w:r>
            <w:proofErr w:type="spellEnd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eastAsia="zh-CN"/>
              </w:rPr>
              <w:t xml:space="preserve"> G3D Mark”.</w:t>
            </w:r>
            <w:r w:rsidR="00D1144D" w:rsidRPr="00AB126D">
              <w:rPr>
                <w:rFonts w:ascii="Arial" w:hAnsi="Arial" w:cs="Arial"/>
                <w:color w:val="000000" w:themeColor="text1"/>
                <w:sz w:val="22"/>
                <w:szCs w:val="22"/>
                <w:lang w:eastAsia="zh-CN"/>
              </w:rPr>
              <w:t xml:space="preserve"> Wyniki testu dołączono, jako załącznik do SWZ.</w:t>
            </w:r>
          </w:p>
          <w:p w14:paraId="73BF0E5A" w14:textId="77777777" w:rsidR="00DA4728" w:rsidRPr="00AB126D" w:rsidRDefault="00DA4728" w:rsidP="00AB126D">
            <w:pPr>
              <w:pStyle w:val="FirstParagraph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Typ układu graficznego: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dedykowany, niezintegrowany</w:t>
            </w:r>
          </w:p>
          <w:p w14:paraId="3FE7F1D3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Pamięć VRAM: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6 GB GDDR6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>(wymagane: minimum 6 GB GDDR6)</w:t>
            </w:r>
          </w:p>
          <w:p w14:paraId="4034F322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Dostęp do pamięci graficznej: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pamięć dedykowana dla układu graficznego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>(wymagana: pamięć dedykowana)</w:t>
            </w:r>
          </w:p>
          <w:p w14:paraId="6A228B97" w14:textId="28DC2938" w:rsidR="00DA4728" w:rsidRPr="00AB126D" w:rsidRDefault="00D5737C" w:rsidP="00AB126D">
            <w:pPr>
              <w:pStyle w:val="Nagwek3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bookmarkStart w:id="3" w:name="dysk-twardy-1"/>
            <w:bookmarkEnd w:id="2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4</w:t>
            </w:r>
            <w:r w:rsidR="00DA4728"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. DYSK TWARDY</w:t>
            </w:r>
          </w:p>
          <w:p w14:paraId="4A520562" w14:textId="77777777" w:rsidR="00DA4728" w:rsidRPr="00AB126D" w:rsidRDefault="00DA4728" w:rsidP="00AB126D">
            <w:pPr>
              <w:pStyle w:val="FirstParagraph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Pojemność dysku: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1 TB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>(wymagane: minimum 1 TB)</w:t>
            </w:r>
          </w:p>
          <w:p w14:paraId="47A55F29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Typ dysku: </w:t>
            </w:r>
            <w:proofErr w:type="spellStart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NVMe</w:t>
            </w:r>
            <w:proofErr w:type="spellEnd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 SSD, </w:t>
            </w:r>
            <w:proofErr w:type="spellStart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PCIe</w:t>
            </w:r>
            <w:proofErr w:type="spellEnd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 Gen4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 xml:space="preserve">(wymagany: SSD </w:t>
            </w:r>
            <w:proofErr w:type="spellStart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NVMe</w:t>
            </w:r>
            <w:proofErr w:type="spellEnd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PCIe</w:t>
            </w:r>
            <w:proofErr w:type="spellEnd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 Gen4)</w:t>
            </w:r>
          </w:p>
          <w:p w14:paraId="2E408A94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Technologia nośnika: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półprzewodnikowy SSD</w:t>
            </w:r>
          </w:p>
          <w:p w14:paraId="7D110BB4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Przepustowość wskazana w specyfikacji technicznej urządzenia: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16 GB/s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>(wymagane: parametr nie gorszy niż wskazany dla oferowanej konfiguracji)</w:t>
            </w:r>
          </w:p>
          <w:p w14:paraId="65EB9C45" w14:textId="758B02CA" w:rsidR="00DA4728" w:rsidRPr="00AB126D" w:rsidRDefault="00D5737C" w:rsidP="00AB126D">
            <w:pPr>
              <w:pStyle w:val="Nagwek3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bookmarkStart w:id="4" w:name="ekran-1"/>
            <w:bookmarkEnd w:id="3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5</w:t>
            </w:r>
            <w:r w:rsidR="00DA4728"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. EKRAN</w:t>
            </w:r>
          </w:p>
          <w:p w14:paraId="1AD70299" w14:textId="77777777" w:rsidR="00DA4728" w:rsidRPr="00AB126D" w:rsidRDefault="00DA4728" w:rsidP="00AB126D">
            <w:pPr>
              <w:pStyle w:val="FirstParagraph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Przekątna ekranu: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15,6 cala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>(wymagana: 15,6 cala)</w:t>
            </w:r>
          </w:p>
          <w:p w14:paraId="458B60E7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Rozdzielczość w trybie 2D: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Ultra HD 3840 x 2160 pikseli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>(wymagana: minimum 3840 x 2160 pikseli - Ultra HD/4K)</w:t>
            </w:r>
          </w:p>
          <w:p w14:paraId="0F115609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Rozdzielczość w trybie stereoskopowym 3D: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1920 x 2160 pikseli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>(wymagana: minimum 1920 x 2160 pikseli w trybie 3D)</w:t>
            </w:r>
          </w:p>
          <w:p w14:paraId="271E6220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Technologia panelu: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IPS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>(wymagana: IPS)</w:t>
            </w:r>
          </w:p>
          <w:p w14:paraId="53A72AB5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Pokrycie palety barw: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100% Adobe RGB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>(wymagane: minimum 100% Adobe RGB)</w:t>
            </w:r>
          </w:p>
          <w:p w14:paraId="4F1E4DBA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Walidacja i dokładność kolorów: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fabryczna walidacja kolorystyczna, Delta E &lt; 2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>(wymagana: Delta E &lt; 2)</w:t>
            </w:r>
          </w:p>
          <w:p w14:paraId="5898A898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Tryby pracy wyświetlacza: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przełączanie pomiędzy klasycznym obrazem 2D i stereoskopowym obrazem 3D</w:t>
            </w:r>
          </w:p>
          <w:p w14:paraId="7388A8C1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Technologia widzenia stereoskopowego 3D: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sprzętowo zintegrowany, </w:t>
            </w:r>
            <w:proofErr w:type="spellStart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autostereoskopowy</w:t>
            </w:r>
            <w:proofErr w:type="spellEnd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 system wyświetlania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lastRenderedPageBreak/>
              <w:t>obrazu 3D bez okularów, gogli VR/AR ani innego urządzenia zakładanego na głowę.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>(wymagane: stereoskopia realizowana bez okularów/gogli, z wykorzystaniem elementów optycznych zintegrowanych z ekranem)</w:t>
            </w:r>
          </w:p>
          <w:p w14:paraId="5CBEF6A3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Konstrukcja optyczna ekranu 3D: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panel UHD z optycznie zespoloną warstwą soczewkową o działaniu </w:t>
            </w:r>
            <w:proofErr w:type="spellStart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lentikularnym</w:t>
            </w:r>
            <w:proofErr w:type="spellEnd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, kierującą niezależne składowe obrazu do lewego i prawego oka użytkownika.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>(wymagane: optyka stereoskopowa stanowiąca integralną część ekranu, bez zewnętrznych nakładek i bez okularów)</w:t>
            </w:r>
          </w:p>
          <w:p w14:paraId="2508B53E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Sposób generowania głębi: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system generuje w czasie rzeczywistym dwa odpowiednio przesunięte obrazy - osobny dla każdego oka - dzięki czemu użytkownik postrzega rzeczywistą głębię stereoskopową oraz obiekty 3D znajdujące się wizualnie zarówno w głębi ekranu, jak i przed jego płaszczyzną.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>(wymagane: dynamiczny stereoskopowy obraz binokularny, a nie programowa wizualizacja 3D na zwykłym ekranie 2D)</w:t>
            </w:r>
          </w:p>
          <w:p w14:paraId="5A1DBFD2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Dynamiczna korekcja perspektywy 3D: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obraz stereoskopowy jest na bieżąco dopasowywany do aktualnej pozycji głowy i oczu użytkownika, co umożliwia zmianę perspektywy modelu podczas ruchu obserwatora i utrzymanie prawidłowej geometrii widzenia 3D.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>(wymagane: sprzętowa współpraca wyświetlacza z systemem śledzenia użytkownika w czasie rzeczywistym)</w:t>
            </w:r>
          </w:p>
          <w:p w14:paraId="4B3910AC" w14:textId="4CB46990" w:rsidR="00DA4728" w:rsidRPr="00AB126D" w:rsidRDefault="00D5737C" w:rsidP="00AB126D">
            <w:pPr>
              <w:pStyle w:val="Nagwek3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bookmarkStart w:id="5" w:name="kamera-i-śledzenie-oczu-1"/>
            <w:bookmarkEnd w:id="4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6</w:t>
            </w:r>
            <w:r w:rsidR="00DA4728"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. KAMERA, ŚLEDZENIE OCZU I SYSTEM WSKAŹNIKA PRZESTRZENNEGO</w:t>
            </w:r>
          </w:p>
          <w:p w14:paraId="674168D4" w14:textId="77777777" w:rsidR="00DA4728" w:rsidRPr="00AB126D" w:rsidRDefault="00DA4728" w:rsidP="00AB126D">
            <w:pPr>
              <w:pStyle w:val="FirstParagraph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Kamera internetowa - rozdzielczość: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1280 x 720 pikseli, 720p HD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>(wymagana: minimum 720p HD)</w:t>
            </w:r>
          </w:p>
          <w:p w14:paraId="535F7EC2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Funkcje kamery internetowej: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rejestracja audio/wideo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 xml:space="preserve">(wymagane: audio/video </w:t>
            </w:r>
            <w:proofErr w:type="spellStart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recording</w:t>
            </w:r>
            <w:proofErr w:type="spellEnd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)</w:t>
            </w:r>
          </w:p>
          <w:p w14:paraId="118EA7FB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Dedykowany system śledzenia oczu - rozdzielczość: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1280 x 480 pikseli (2 x VGA)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>(wymagane: minimum 1280 x 480 pikseli - stereopara 2 x VGA)</w:t>
            </w:r>
          </w:p>
          <w:p w14:paraId="28CEF0F2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Układ kamer śledzących: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dwie dedykowane kamery/sensory umieszczone przy wyświetlaczu, tworzące stereoparę i śledzące w czasie rzeczywistym położenie oraz ruch głowy i oczu użytkownika.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>(wymagane: śledzenie głowy i obu oczu bez markerów, okularów ani elementów noszonych przez użytkownika)</w:t>
            </w:r>
          </w:p>
          <w:p w14:paraId="25FE4690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Integracja śledzenia z wyświetlaniem 3D: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wynik pomiaru pozycji oczu jest przekazywany bezpośrednio do systemu </w:t>
            </w:r>
            <w:proofErr w:type="spellStart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renderowania</w:t>
            </w:r>
            <w:proofErr w:type="spellEnd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 stereoskopowego, który na bieżąco koryguje kierunek i perspektywę obrazu dla lewego i prawego oka.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lastRenderedPageBreak/>
              <w:t>(wymagane: automatyczne dopasowanie stereoskopii do pozycji użytkownika w czasie rzeczywistym)</w:t>
            </w:r>
          </w:p>
          <w:p w14:paraId="26E5C334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System śledzenia wskaźnika: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dedykowany moduł czujników współpracujący z wyświetlaczem, który śledzi przestrzenne położenie komputera oraz dołączonego wskaźnika i przekazuje jego pozycję oraz orientację do aplikacji 3D.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 xml:space="preserve">(wymagane: sprzętowe śledzenie wskaźnika względem ekranu, niezależne od standardowego </w:t>
            </w:r>
            <w:proofErr w:type="spellStart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touchpada</w:t>
            </w:r>
            <w:proofErr w:type="spellEnd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 i kursora myszy)</w:t>
            </w:r>
          </w:p>
          <w:p w14:paraId="577E60E7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Wskaźnik przestrzenny: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dedykowany, przewodowy wskaźnik podłączany przez USB, stanowiący nierozłączną część kompletnego zestawu komputerowego.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>(wymagane: 1 szt. wskaźnika USB na każdy komputer wraz z modułem jego śledzenia)</w:t>
            </w:r>
          </w:p>
          <w:p w14:paraId="265874E8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Funkcje wskaźnika w środowisku 3D: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wskazywanie, zaznaczanie, chwytanie, przesuwanie i obracanie obiektów trójwymiarowych oraz manipulowanie nimi w wirtualnej przestrzeni przed ekranem, zgodnie z aktualnie śledzoną pozycją i orientacją wskaźnika.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>(wymagane: bezpośrednia interakcja przestrzenna z obiektami stereoskopowymi, a nie wyłącznie emulacja myszy 2D)</w:t>
            </w:r>
          </w:p>
          <w:p w14:paraId="2A89ACD8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Współdziałanie systemów śledzenia: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układ śledzenia użytkownika oraz układ śledzenia wskaźnika pracują równocześnie, umożliwiając stabilne widzenie stereoskopowe i manipulację obiektem 3D przy zmianie pozycji obserwatora oraz ruchu wskaźnika.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>(wymagane: równoczesna praca obu systemów śledzenia w aplikacjach 3D)</w:t>
            </w:r>
          </w:p>
          <w:p w14:paraId="0A526145" w14:textId="55F7269F" w:rsidR="00DA4728" w:rsidRPr="00AB126D" w:rsidRDefault="00D5737C" w:rsidP="00AB126D">
            <w:pPr>
              <w:pStyle w:val="Nagwek3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bookmarkStart w:id="6" w:name="łączność-bezprzewodowa-1"/>
            <w:bookmarkEnd w:id="5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  <w:r w:rsidR="00DA4728"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. ŁĄCZNOŚĆ BEZPRZEWODOWA</w:t>
            </w:r>
          </w:p>
          <w:p w14:paraId="156A44B3" w14:textId="77777777" w:rsidR="00DA4728" w:rsidRPr="00AB126D" w:rsidRDefault="00DA4728" w:rsidP="00AB126D">
            <w:pPr>
              <w:pStyle w:val="FirstParagraph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Wi-Fi - standard: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Wi-Fi 6 (802.11ax)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>(wymagany: minimum Wi-Fi 6 - 802.11ax)</w:t>
            </w:r>
          </w:p>
          <w:p w14:paraId="28DA3616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Karta bezprzewodowa - klasa/model: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AX201 lub równoważna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>(wymagana: karta Wi-Fi 6 o funkcjonalności nie gorszej niż AX201)</w:t>
            </w:r>
          </w:p>
          <w:p w14:paraId="5659A02A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 xml:space="preserve">Zgodność wsteczna Wi-Fi: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802.11a/b/g/n/</w:t>
            </w:r>
            <w:proofErr w:type="spellStart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ac</w:t>
            </w:r>
            <w:proofErr w:type="spellEnd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>(wymagana: 802.11 a/b/g/n/</w:t>
            </w:r>
            <w:proofErr w:type="spellStart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ac</w:t>
            </w:r>
            <w:proofErr w:type="spellEnd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)</w:t>
            </w:r>
          </w:p>
          <w:p w14:paraId="4762519C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pl-PL"/>
              </w:rPr>
              <w:t>Bluetooth - wersja: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 Bluetooth 5.1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>(wymagana: minimum 5.1)</w:t>
            </w:r>
          </w:p>
          <w:p w14:paraId="6996563E" w14:textId="0C8D6342" w:rsidR="00DA4728" w:rsidRPr="00AB126D" w:rsidRDefault="00D5737C" w:rsidP="00AB126D">
            <w:pPr>
              <w:pStyle w:val="Nagwek3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bookmarkStart w:id="7" w:name="łączność-przewodowa-1"/>
            <w:bookmarkEnd w:id="6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8</w:t>
            </w:r>
            <w:r w:rsidR="00DA4728"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. ŁĄCZNOŚĆ PRZEWODOWA</w:t>
            </w:r>
          </w:p>
          <w:p w14:paraId="47776EF3" w14:textId="77777777" w:rsidR="00DA4728" w:rsidRPr="00AB126D" w:rsidRDefault="00DA4728" w:rsidP="00AB126D">
            <w:pPr>
              <w:pStyle w:val="FirstParagraph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B126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Ethernet - standard: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Gigabit Ethernet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br/>
              <w:t>(</w:t>
            </w:r>
            <w:proofErr w:type="spellStart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wymagany</w:t>
            </w:r>
            <w:proofErr w:type="spellEnd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: Gigabit Ethernet)</w:t>
            </w:r>
          </w:p>
          <w:p w14:paraId="4BE845BB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de-DE"/>
              </w:rPr>
            </w:pPr>
            <w:proofErr w:type="spellStart"/>
            <w:r w:rsidRPr="00AB126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de-DE"/>
              </w:rPr>
              <w:t>Złącze</w:t>
            </w:r>
            <w:proofErr w:type="spellEnd"/>
            <w:r w:rsidRPr="00AB126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de-DE"/>
              </w:rPr>
              <w:t xml:space="preserve"> Ethernet: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de-DE"/>
              </w:rPr>
              <w:t xml:space="preserve"> Ethernet (RJ-45) </w:t>
            </w:r>
            <w:proofErr w:type="spellStart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de-DE"/>
              </w:rPr>
              <w:t>port</w:t>
            </w:r>
            <w:proofErr w:type="spellEnd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de-DE"/>
              </w:rPr>
              <w:br/>
              <w:t>(</w:t>
            </w:r>
            <w:proofErr w:type="spellStart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de-DE"/>
              </w:rPr>
              <w:t>wymagane</w:t>
            </w:r>
            <w:proofErr w:type="spellEnd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de-DE"/>
              </w:rPr>
              <w:t>: RJ-45)</w:t>
            </w:r>
          </w:p>
          <w:p w14:paraId="28C7EE87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pl-PL"/>
              </w:rPr>
              <w:lastRenderedPageBreak/>
              <w:t>Funkcja Wake-on-LAN: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 Wake-on-LAN </w:t>
            </w:r>
            <w:proofErr w:type="spellStart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ready</w:t>
            </w:r>
            <w:proofErr w:type="spellEnd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>(wymagana: tak)</w:t>
            </w:r>
          </w:p>
          <w:p w14:paraId="0D0C5D9E" w14:textId="09328C9A" w:rsidR="00DA4728" w:rsidRPr="00AB126D" w:rsidRDefault="00D5737C" w:rsidP="00AB126D">
            <w:pPr>
              <w:pStyle w:val="Nagwek3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bookmarkStart w:id="8" w:name="porty-i-złącza-1"/>
            <w:bookmarkEnd w:id="7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9</w:t>
            </w:r>
            <w:r w:rsidR="00DA4728"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. PORTY I ZŁĄCZA</w:t>
            </w:r>
          </w:p>
          <w:p w14:paraId="2E703963" w14:textId="77777777" w:rsidR="00DA4728" w:rsidRPr="00AB126D" w:rsidRDefault="00DA4728" w:rsidP="00AB126D">
            <w:pPr>
              <w:pStyle w:val="FirstParagraph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USB Type-C / Thunderbolt 4: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1 port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br/>
              <w:t>(</w:t>
            </w:r>
            <w:proofErr w:type="spellStart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wymagane</w:t>
            </w:r>
            <w:proofErr w:type="spellEnd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: minimum 1 port USB Type-C z Thunderbolt 4)</w:t>
            </w:r>
          </w:p>
          <w:p w14:paraId="22564D47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pl-PL"/>
              </w:rPr>
              <w:t xml:space="preserve">USB </w:t>
            </w:r>
            <w:proofErr w:type="spellStart"/>
            <w:r w:rsidRPr="00AB126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pl-PL"/>
              </w:rPr>
              <w:t>Type</w:t>
            </w:r>
            <w:proofErr w:type="spellEnd"/>
            <w:r w:rsidRPr="00AB126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pl-PL"/>
              </w:rPr>
              <w:t>-A 3.2: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 3 porty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>(wymagane: minimum 3 porty)</w:t>
            </w:r>
          </w:p>
          <w:p w14:paraId="63DF6D1D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pl-PL"/>
              </w:rPr>
              <w:t>HDMI: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 1 port z obsługą HDCP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>(wymagane: 1 port z obsługą HDCP)</w:t>
            </w:r>
          </w:p>
          <w:p w14:paraId="0D69E6F4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pl-PL"/>
              </w:rPr>
              <w:t>RJ-45 (Ethernet):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 1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>(wymagane: 1 port)</w:t>
            </w:r>
          </w:p>
          <w:p w14:paraId="32CDC3F5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Złącza USB łącznie: 4 porty (1 x </w:t>
            </w:r>
            <w:proofErr w:type="spellStart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Type</w:t>
            </w:r>
            <w:proofErr w:type="spellEnd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-C + 3 x </w:t>
            </w:r>
            <w:proofErr w:type="spellStart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Type</w:t>
            </w:r>
            <w:proofErr w:type="spellEnd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>-A)</w:t>
            </w:r>
          </w:p>
          <w:p w14:paraId="1AE35304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</w:pPr>
            <w:proofErr w:type="spellStart"/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Złącze</w:t>
            </w:r>
            <w:proofErr w:type="spellEnd"/>
            <w:r w:rsidRPr="00AB126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audio: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1 x Jack 3,5 mm</w:t>
            </w:r>
          </w:p>
          <w:bookmarkEnd w:id="8"/>
          <w:p w14:paraId="47BC8FDD" w14:textId="1244B67E" w:rsidR="00DA4728" w:rsidRPr="00AB126D" w:rsidRDefault="009C71A8" w:rsidP="00AB126D">
            <w:pPr>
              <w:pStyle w:val="Nagwek3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10</w:t>
            </w:r>
            <w:r w:rsidR="00DA4728"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. AUDIO</w:t>
            </w:r>
          </w:p>
          <w:p w14:paraId="27E7EA74" w14:textId="77777777" w:rsidR="00DA4728" w:rsidRPr="00AB126D" w:rsidRDefault="00DA4728" w:rsidP="00AB126D">
            <w:pPr>
              <w:pStyle w:val="FirstParagraph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pl-PL"/>
              </w:rPr>
              <w:t>Głośniki: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 wbudowane, stereo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>(wymagane: wbudowane stereo)</w:t>
            </w:r>
          </w:p>
          <w:p w14:paraId="071A1D77" w14:textId="77777777" w:rsidR="00DA4728" w:rsidRPr="00AB126D" w:rsidRDefault="00DA4728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pl-PL"/>
              </w:rPr>
              <w:t>Mikrofon: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 wbudowany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>(wymagany: wbudowany)</w:t>
            </w:r>
          </w:p>
          <w:p w14:paraId="09841D67" w14:textId="4B790490" w:rsidR="004376CD" w:rsidRPr="00AB126D" w:rsidRDefault="004376CD" w:rsidP="00AB126D">
            <w:pPr>
              <w:pStyle w:val="Nagwek3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11. SYSTEM OPERACYJNY</w:t>
            </w:r>
          </w:p>
          <w:p w14:paraId="0D2FA435" w14:textId="77777777" w:rsidR="004376CD" w:rsidRPr="00AB126D" w:rsidRDefault="004376CD" w:rsidP="00AB126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eastAsia="zh-CN"/>
              </w:rPr>
              <w:t>System operacyjny: zamawiający z uwagi na posiadane oprogramowanie dziedzinowe, pakiety biurowe Microsoft Office oraz wymagania Centralnej Komisji Egzaminacyjnej określające wyposażenie stanowiska egzaminacyjnego dla zdającego w kwalifikacjach realizowanych w placówce wymaga systemu operacyjnego Windows 11 Professional 64bit. Preinstalowany fabrycznie na dysku twardym system w polskiej wersji językowej. Dostarczony nośnik OEM w lub partycja „</w:t>
            </w:r>
            <w:proofErr w:type="spellStart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eastAsia="zh-CN"/>
              </w:rPr>
              <w:t>recovery</w:t>
            </w:r>
            <w:proofErr w:type="spellEnd"/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eastAsia="zh-CN"/>
              </w:rPr>
              <w:t>” - przygotowane przez producenta komputera do automatycznej instalacji na danej jednostce (system wraz ze sterownikami), pozwalające na ponowną instalację systemu. Klucz licencyjny powinien być zapisany na trwale w BIOS i umożliwiać instalację systemu operacyjnego bez konieczności ręcznego wpisywania klucza licencyjnego. Licencja dożywotnia (bezterminowa) – nie abonamentowa.</w:t>
            </w:r>
          </w:p>
          <w:p w14:paraId="4782F742" w14:textId="77777777" w:rsidR="004376CD" w:rsidRPr="00AB126D" w:rsidRDefault="004376CD" w:rsidP="00AB126D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pl-PL"/>
              </w:rPr>
              <w:t>Język systemu: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 polski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>(wymagany: polski)</w:t>
            </w:r>
          </w:p>
          <w:p w14:paraId="11F70CA9" w14:textId="0D148C4B" w:rsidR="00B966FC" w:rsidRPr="009504EC" w:rsidRDefault="004376CD" w:rsidP="009504EC">
            <w:pPr>
              <w:pStyle w:val="Tekstpodstawowy"/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AB126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pl-PL"/>
              </w:rPr>
              <w:t>Typ licencji: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t xml:space="preserve"> OEM, preinstalowana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br/>
              <w:t>(wymagana: OEM, preinstalowana)</w:t>
            </w:r>
          </w:p>
        </w:tc>
        <w:tc>
          <w:tcPr>
            <w:tcW w:w="605" w:type="pct"/>
            <w:vAlign w:val="center"/>
          </w:tcPr>
          <w:p w14:paraId="4DAD7D05" w14:textId="27AFD985" w:rsidR="00EF3AFA" w:rsidRPr="00AB126D" w:rsidRDefault="00EF3AFA" w:rsidP="00AB126D">
            <w:pPr>
              <w:spacing w:before="0" w:after="0"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1</w:t>
            </w:r>
            <w:r w:rsidR="00576D0B"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szt.</w:t>
            </w:r>
          </w:p>
        </w:tc>
      </w:tr>
      <w:tr w:rsidR="0082041B" w:rsidRPr="00AB126D" w14:paraId="14A48C7D" w14:textId="77777777" w:rsidTr="00AB126D">
        <w:tc>
          <w:tcPr>
            <w:tcW w:w="267" w:type="pct"/>
          </w:tcPr>
          <w:p w14:paraId="58CBCFB1" w14:textId="77777777" w:rsidR="0082041B" w:rsidRPr="00AB126D" w:rsidRDefault="0082041B" w:rsidP="00AB126D">
            <w:pPr>
              <w:pStyle w:val="Akapitzlist"/>
              <w:numPr>
                <w:ilvl w:val="0"/>
                <w:numId w:val="2"/>
              </w:numPr>
              <w:spacing w:before="0" w:after="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pct"/>
          </w:tcPr>
          <w:p w14:paraId="1DEBB11D" w14:textId="2E07253F" w:rsidR="0082041B" w:rsidRPr="00AB126D" w:rsidRDefault="0082041B" w:rsidP="00AB126D">
            <w:pPr>
              <w:spacing w:before="0"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Mysz bezprzewodowa</w:t>
            </w:r>
          </w:p>
        </w:tc>
        <w:tc>
          <w:tcPr>
            <w:tcW w:w="3136" w:type="pct"/>
          </w:tcPr>
          <w:p w14:paraId="534A1DBB" w14:textId="2BBE8BE0" w:rsidR="006371DF" w:rsidRPr="00AB126D" w:rsidRDefault="0082041B" w:rsidP="00AB126D">
            <w:pPr>
              <w:pStyle w:val="Akapitzlist"/>
              <w:numPr>
                <w:ilvl w:val="0"/>
                <w:numId w:val="3"/>
              </w:numPr>
              <w:tabs>
                <w:tab w:val="left" w:pos="1276"/>
              </w:tabs>
              <w:spacing w:before="0"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Komunikacja z komputerem: Bezprzewodowa</w:t>
            </w:r>
          </w:p>
          <w:p w14:paraId="06020538" w14:textId="0451DAF8" w:rsidR="0082041B" w:rsidRPr="00AB126D" w:rsidRDefault="0082041B" w:rsidP="00AB126D">
            <w:pPr>
              <w:pStyle w:val="Akapitzlist"/>
              <w:numPr>
                <w:ilvl w:val="0"/>
                <w:numId w:val="3"/>
              </w:numPr>
              <w:tabs>
                <w:tab w:val="left" w:pos="1276"/>
              </w:tabs>
              <w:spacing w:before="0"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Mysz pionowa: Nie</w:t>
            </w:r>
          </w:p>
          <w:p w14:paraId="75F66A04" w14:textId="1838AB87" w:rsidR="0082041B" w:rsidRPr="00AB126D" w:rsidRDefault="0082041B" w:rsidP="00AB126D">
            <w:pPr>
              <w:pStyle w:val="Akapitzlist"/>
              <w:numPr>
                <w:ilvl w:val="0"/>
                <w:numId w:val="3"/>
              </w:numPr>
              <w:tabs>
                <w:tab w:val="left" w:pos="1276"/>
              </w:tabs>
              <w:spacing w:before="0"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Liczba przycisków: 3</w:t>
            </w:r>
          </w:p>
        </w:tc>
        <w:tc>
          <w:tcPr>
            <w:tcW w:w="605" w:type="pct"/>
            <w:vAlign w:val="center"/>
          </w:tcPr>
          <w:p w14:paraId="094E1C69" w14:textId="3D748954" w:rsidR="0082041B" w:rsidRPr="00AB126D" w:rsidRDefault="008301FF" w:rsidP="00AB126D">
            <w:pPr>
              <w:spacing w:before="0" w:after="0"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 w:rsidR="00576D0B"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szt.</w:t>
            </w:r>
          </w:p>
        </w:tc>
      </w:tr>
      <w:tr w:rsidR="004376CD" w:rsidRPr="00AB126D" w14:paraId="6614D8A7" w14:textId="77777777" w:rsidTr="00AB126D">
        <w:tc>
          <w:tcPr>
            <w:tcW w:w="267" w:type="pct"/>
          </w:tcPr>
          <w:p w14:paraId="3A9292C1" w14:textId="77777777" w:rsidR="004376CD" w:rsidRPr="00AB126D" w:rsidRDefault="004376CD" w:rsidP="00AB126D">
            <w:pPr>
              <w:pStyle w:val="Akapitzlist"/>
              <w:numPr>
                <w:ilvl w:val="0"/>
                <w:numId w:val="2"/>
              </w:numPr>
              <w:spacing w:before="0" w:after="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pct"/>
          </w:tcPr>
          <w:p w14:paraId="2414B74E" w14:textId="7B9A65D9" w:rsidR="004376CD" w:rsidRPr="00AB126D" w:rsidRDefault="004376CD" w:rsidP="00C049AA">
            <w:pPr>
              <w:spacing w:before="0"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Aplikacje edukacyjne</w:t>
            </w:r>
            <w:r w:rsidR="00C049A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z funkcją widzenia stereoskopowego</w:t>
            </w:r>
          </w:p>
        </w:tc>
        <w:tc>
          <w:tcPr>
            <w:tcW w:w="3136" w:type="pct"/>
          </w:tcPr>
          <w:p w14:paraId="53C50618" w14:textId="4093360A" w:rsidR="004376CD" w:rsidRPr="00AB126D" w:rsidRDefault="00B13E37" w:rsidP="00AB126D">
            <w:pPr>
              <w:tabs>
                <w:tab w:val="left" w:pos="1276"/>
              </w:tabs>
              <w:spacing w:before="0"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eastAsia="zh-CN"/>
              </w:rPr>
              <w:t>Przedmiotem zamówienia jest dostawa</w:t>
            </w:r>
            <w:r w:rsidR="00576D0B"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576D0B" w:rsidRPr="00AB126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  <w:t>24-miesięcznych</w:t>
            </w: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  <w:lang w:eastAsia="zh-CN"/>
              </w:rPr>
              <w:t xml:space="preserve"> licencji na specjalistyczne oprogramowanie edukacyjne przeznaczone do pracy na komputerach 3D wyposażonych w ekran z funkcją widzenia stereoskopowego oraz w śledzony wskaźnik USB stanowiący nieodłączny element stanowiska. Licencje mają obejmować okres 24 miesięcy, o ile dokumentacja postępowania nie stanowi inaczej.</w:t>
            </w:r>
          </w:p>
          <w:p w14:paraId="49867832" w14:textId="77777777" w:rsidR="00B13E37" w:rsidRPr="00AB126D" w:rsidRDefault="00B13E37" w:rsidP="00AB126D">
            <w:pPr>
              <w:pStyle w:val="Nagwek1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Wymagania wspólne dla wszystkich aplikacji</w:t>
            </w:r>
          </w:p>
          <w:p w14:paraId="46BDF386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Oprogramowanie musi być przeznaczone do pracy na komputerze 3D z funkcją natywnego wyświetlania obrazu stereoskopowego, bez konieczności zakładania gogli VR ani dodatkowych okularów przez użytkownika.</w:t>
            </w:r>
          </w:p>
          <w:p w14:paraId="003441F6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Oprogramowanie musi wykorzystywać stereoskopowy sposób prezentacji treści, tak aby obiekty, zespoły, elementy maszyn lub modele naukowe były postrzegane przestrzennie przed płaszczyzną ekranu i/lub w głębi ekranu.</w:t>
            </w:r>
          </w:p>
          <w:p w14:paraId="6FD32B84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Oprogramowanie musi współpracować ze wskaźnikiem USB będącym nieodłącznym elementem zestawu komputerowego 3D. Wskaźnik ma umożliwiać co najmniej wskazywanie, wybieranie, chwytanie, przesuwanie, obracanie i manipulowanie obiektami 3D oraz obsługę elementów interfejsu aplikacji.</w:t>
            </w:r>
          </w:p>
          <w:p w14:paraId="13396D27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Interakcja za pomocą wskaźnika USB ma odbywać się bez konieczności korzystania z myszy jako podstawowego narzędzia manipulacji modelem 3D; mysz i klawiatura mogą pełnić funkcję pomocniczą.</w:t>
            </w:r>
          </w:p>
          <w:p w14:paraId="1D1D3F52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Aplikacje muszą umożliwiać wielokrotne wykonywanie ćwiczeń i symulacji bez zużywania materiałów eksploatacyjnych oraz bez ryzyka uszkodzenia rzeczywistych urządzeń lub podzespołów.</w:t>
            </w:r>
          </w:p>
          <w:p w14:paraId="0612F194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Interfejs i treści muszą być dostępne lokalnie na stanowisku lub poprzez środowisko uruchomieniowe dostarczone wraz z komputerem 3D; aplikacja musi zachować pełną funkcjonalność stereoskopową na oferowanym stanowisku.</w:t>
            </w:r>
          </w:p>
          <w:p w14:paraId="1FCA6481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Wykonawca zapewni aktywację licencji, instalację lub udostępnienie aplikacji oraz sprawdzenie poprawności działania obrazu stereoskopowego i wskaźnika USB na każdym stanowisku objętym zamówieniem.</w:t>
            </w:r>
          </w:p>
          <w:p w14:paraId="327E6302" w14:textId="77777777" w:rsidR="00B13E37" w:rsidRPr="00AB126D" w:rsidRDefault="00B13E37" w:rsidP="009504EC">
            <w:pPr>
              <w:pStyle w:val="Nagwek1"/>
              <w:spacing w:before="120"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2. Aplikacja nr 1 – wirtualne stanowisko obsługi i naprawy pojazdów</w:t>
            </w:r>
          </w:p>
          <w:p w14:paraId="35A91BC5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Aplikacja ma służyć do praktycznej nauki regularnej obsługi, diagnostyki, konserwacji i napraw pojazdów samochodowych w wirtualnym środowisku warsztatowym.</w:t>
            </w:r>
          </w:p>
          <w:p w14:paraId="339B1874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Musi zawierać uporządkowaną listę zadań szkoleniowych związanych z czynnościami serwisowymi oraz umożliwiać realizację ćwiczeń krok po kroku.</w:t>
            </w:r>
          </w:p>
          <w:p w14:paraId="6005E358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 xml:space="preserve">Musi udostępniać tryb samodzielnej eksploracji / swobodnego treningu bez instrukcji oraz tryb ćwiczeń </w:t>
            </w: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lastRenderedPageBreak/>
              <w:t>praktycznych z możliwością pracy na czas i bez wyświetlania podpowiedzi.</w:t>
            </w:r>
          </w:p>
          <w:p w14:paraId="5CEF9290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Musi umożliwiać wykonywanie typowych procedur obsługowych i naprawczych na przestrzennych modelach pojazdu i jego podzespołów, z możliwością wyboru oraz manipulowania elementami za pomocą wskaźnika USB.</w:t>
            </w:r>
          </w:p>
          <w:p w14:paraId="6DD69838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Wymagana jest możliwość powtarzania procedur w bezpiecznym środowisku wirtualnym bez użycia rzeczywistych pojazdów, części zamiennych i materiałów eksploatacyjnych.</w:t>
            </w:r>
          </w:p>
          <w:p w14:paraId="5C9A8A7D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Obraz wszystkich kluczowych elementów roboczych ma być prezentowany stereoskopowo na komputerze 3D, a wskaźnik USB ma umożliwiać sprawne przechodzenie pomiędzy etapami ćwiczenia oraz bezpośrednią manipulację obiektami.</w:t>
            </w:r>
          </w:p>
          <w:p w14:paraId="2FBFB7DA" w14:textId="77777777" w:rsidR="00B13E37" w:rsidRPr="00AB126D" w:rsidRDefault="00B13E37" w:rsidP="009504EC">
            <w:pPr>
              <w:pStyle w:val="Nagwek1"/>
              <w:spacing w:before="240"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3. Aplikacja nr 2 – kompleksowe środowisko szkoleniowe dla technika pojazdów samochodowych</w:t>
            </w:r>
          </w:p>
          <w:p w14:paraId="68FCE2E3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Aplikacja ma stanowić kompleksowe środowisko szkoleniowe przeznaczone do kształcenia przyszłych techników i mechaników pojazdów samochodowych.</w:t>
            </w:r>
          </w:p>
          <w:p w14:paraId="4898FD40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Musi umożliwiać naukę budowy, zasady działania, diagnostyki oraz czynności serwisowych dotyczących głównych układów pojazdu, w szczególności zespołu napędowego, układu przeniesienia napędu, układu hamulcowego, kierowniczego, zawieszenia oraz wybranych układów elektrycznych/elektronicznych.</w:t>
            </w:r>
          </w:p>
          <w:p w14:paraId="30385179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Musi prezentować podzespoły w postaci interaktywnych modeli 3D, umożliwiających oglądanie ich z dowolnej strony, rozpoznawanie elementów i wykonywanie procedur szkoleniowych.</w:t>
            </w:r>
          </w:p>
          <w:p w14:paraId="7B9A64E5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Musi umożliwiać ćwiczenie sekwencji czynności typowych dla pracy technika samochodowego, w tym identyfikacji części, doboru kolejności działań i weryfikacji poprawności wykonania zadania.</w:t>
            </w:r>
          </w:p>
          <w:p w14:paraId="6D1DB281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Musi działać w trybie stereoskopowym na komputerze 3D i obsługiwać wskaźnik USB jako podstawowe narzędzie do wyboru, chwytania, przemieszczania i obracania wirtualnych części oraz obsługi procedur.</w:t>
            </w:r>
          </w:p>
          <w:p w14:paraId="2755EEE2" w14:textId="77777777" w:rsidR="00B13E37" w:rsidRPr="00AB126D" w:rsidRDefault="00B13E37" w:rsidP="009504EC">
            <w:pPr>
              <w:pStyle w:val="Nagwek1"/>
              <w:spacing w:before="240"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4. Aplikacja nr 3 – mechanika stosowana i elementy maszyn</w:t>
            </w:r>
          </w:p>
          <w:p w14:paraId="26BA1CDC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Aplikacja ma wspierać naukę mechaniki stosowanej, budowy i działania elementów maszyn oraz podstawowych układów mechanicznych.</w:t>
            </w:r>
          </w:p>
          <w:p w14:paraId="4CF1E5B5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Musi obejmować przestrzenne modele elementów i zespołów takich jak przekładnie, koła zębate, wały, łożyska, połączenia mechaniczne, elementy przenoszenia ruchu i napędu oraz inne typowe komponenty maszyn.</w:t>
            </w:r>
          </w:p>
          <w:p w14:paraId="77063D06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Musi umożliwiać analizę wzajemnego położenia elementów, kierunku i sposobu przenoszenia ruchu oraz zależności pomiędzy współpracującymi częściami.</w:t>
            </w:r>
          </w:p>
          <w:p w14:paraId="455FFB14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lastRenderedPageBreak/>
              <w:t>Użytkownik musi mieć możliwość wskazywania, obracania, przesuwania, chwytania i oglądania elementów z różnych perspektyw przy użyciu wskaźnika USB, z zachowaniem pełnego efektu stereoskopowego.</w:t>
            </w:r>
          </w:p>
          <w:p w14:paraId="0E2FF753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Aplikacja ma umożliwiać prowadzenie ćwiczeń praktycznych i demonstracji bez konieczności posiadania fizycznych przekrojów, modeli maszyn i zestawów mechanicznych.</w:t>
            </w:r>
          </w:p>
          <w:p w14:paraId="612FE273" w14:textId="77777777" w:rsidR="00B13E37" w:rsidRPr="00AB126D" w:rsidRDefault="00B13E37" w:rsidP="009504EC">
            <w:pPr>
              <w:pStyle w:val="Nagwek1"/>
              <w:spacing w:before="240"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5. Aplikacja nr 4 – hydraulika stosowana</w:t>
            </w:r>
          </w:p>
          <w:p w14:paraId="050F3192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Aplikacja ma służyć do nauki budowy, zasady działania, analizy i diagnostyki układów hydraulicznych stosowanych w technice i przemyśle.</w:t>
            </w:r>
          </w:p>
          <w:p w14:paraId="32ED4EB5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Musi obejmować co najmniej typowe komponenty układów hydraulicznych: źródło ciśnienia/pompę, przewody, zbiornik, zawory, siłowniki, elementy regulacyjne i pomiarowe oraz odbiorniki energii hydraulicznej.</w:t>
            </w:r>
          </w:p>
          <w:p w14:paraId="54F15716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Musi umożliwiać analizę przepływu cieczy, zmian ciśnienia, działania zaworów i elementów wykonawczych oraz zależności między parametrami układu.</w:t>
            </w:r>
          </w:p>
          <w:p w14:paraId="49A6BEF5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Powinna umożliwiać prezentację i analizę praktycznego zastosowania prawa Pascala, w tym przykładu podnośnika hydraulicznego z cylindrami/tłokami, dźwignią i pomiarem ciśnienia.</w:t>
            </w:r>
          </w:p>
          <w:p w14:paraId="1CF8A049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Musi umożliwiać składanie, obserwację lub diagnostykę wirtualnych układów z wykorzystaniem stereoskopowych modeli 3D oraz wskaźnika USB do wyboru i manipulacji elementami.</w:t>
            </w:r>
          </w:p>
          <w:p w14:paraId="0929DDD9" w14:textId="77777777" w:rsidR="00B13E37" w:rsidRPr="00AB126D" w:rsidRDefault="00B13E37" w:rsidP="009504EC">
            <w:pPr>
              <w:pStyle w:val="Nagwek1"/>
              <w:spacing w:before="240"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6. Aplikacja nr 5 – pneumatyka stosowana</w:t>
            </w:r>
          </w:p>
          <w:p w14:paraId="263092B1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Aplikacja ma służyć do nauki budowy, działania, konfiguracji i diagnostyki układów pneumatycznych oraz ich zastosowania w automatyce i technice przemysłowej.</w:t>
            </w:r>
          </w:p>
          <w:p w14:paraId="3078675E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Musi obejmować typowe elementy pneumatyki, m.in. źródło sprężonego powietrza, przewody, zawory rozdzielające i sterujące, regulatory, manometry, siłowniki oraz elementy wykonawcze.</w:t>
            </w:r>
          </w:p>
          <w:p w14:paraId="16225D8A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Musi umożliwiać analizę kierunku przepływu powietrza, sterowania elementami wykonawczymi i zależności pomiędzy elementami obwodu.</w:t>
            </w:r>
          </w:p>
          <w:p w14:paraId="3F6B292F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Musi umożliwiać prowadzenie interaktywnych ćwiczeń dotyczących konfiguracji lub diagnostyki obwodów pneumatycznych oraz obserwowania skutków zmian ustawień lub połączeń.</w:t>
            </w:r>
          </w:p>
          <w:p w14:paraId="0D17D6CE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Wszystkie istotne komponenty muszą być prezentowane jako obiekty 3D w widzeniu stereoskopowym, a wskaźnik USB ma umożliwiać wybór, manipulację, obsługę elementów i sprawne przemieszczanie się po aplikacji.</w:t>
            </w:r>
          </w:p>
          <w:p w14:paraId="6698516F" w14:textId="77777777" w:rsidR="00B13E37" w:rsidRPr="00AB126D" w:rsidRDefault="00B13E37" w:rsidP="009504EC">
            <w:pPr>
              <w:pStyle w:val="Nagwek1"/>
              <w:spacing w:before="240"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7. Aplikacja nr 6 – pakiet modeli 3D i aktywności do przedmiotów STEM</w:t>
            </w:r>
          </w:p>
          <w:p w14:paraId="7C78FCCB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 xml:space="preserve">Aplikacja ma zawierać bibliotekę interaktywnych modeli 3D oraz aktywności edukacyjnych z zakresu nauk </w:t>
            </w: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lastRenderedPageBreak/>
              <w:t>przyrodniczych i ścisłych, obejmujących co najmniej biologię, chemię, fizykę, nauki o Ziemi/geografię oraz matematykę.</w:t>
            </w:r>
          </w:p>
          <w:p w14:paraId="4886E00C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Musi umożliwiać rozkładanie modelu na części i jego ponowne składanie, uruchamianie/zatrzymywanie dostępnych animacji oraz wykonywanie przekroju modelu za pomocą płaszczyzny tnącej.</w:t>
            </w:r>
          </w:p>
          <w:p w14:paraId="794E0033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Musi umożliwiać wyświetlanie etykiet elementów modelu, w tym funkcję wyświetlenia etykiet najbliższych elementów oraz pokazania/ukrycia wszystkich etykiet.</w:t>
            </w:r>
          </w:p>
          <w:p w14:paraId="406AAE8C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Musi posiadać narzędzie pomiarowe w postaci wirtualnej linijki oraz możliwość blokowania modelu/obiektu w ustalonej pozycji.</w:t>
            </w:r>
          </w:p>
          <w:p w14:paraId="57B6FAD0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Musi umożliwiać tworzenie własnych materiałów lub prezentacji/aktywności z wykorzystaniem modeli 3D, tekstu, notatek, rysunków, linii, odnośników internetowych oraz importowanych materiałów multimedialnych; aplikacja powinna obsługiwać import co najmniej obrazów, dźwięku, filmów i modeli 3D.</w:t>
            </w:r>
          </w:p>
          <w:p w14:paraId="21C0E21E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Modele muszą być prezentowane stereoskopowo na komputerze 3D. Wskaźnik USB ma stanowić podstawowe</w:t>
            </w:r>
            <w:r w:rsidRPr="00AB126D">
              <w:rPr>
                <w:rFonts w:ascii="Arial" w:hAnsi="Arial" w:cs="Arial"/>
                <w:color w:val="000000" w:themeColor="text1"/>
                <w:sz w:val="22"/>
                <w:lang w:val="pl-PL"/>
              </w:rPr>
              <w:t xml:space="preserve"> </w:t>
            </w: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narzędzie do chwytania, przesuwania, obracania, rozkładania i składania modeli, wykonywania przekrojów oraz wyboru narzędzi aplikacji.</w:t>
            </w:r>
          </w:p>
          <w:p w14:paraId="7FAF6998" w14:textId="77777777" w:rsidR="00B13E37" w:rsidRPr="00AB126D" w:rsidRDefault="00B13E37" w:rsidP="009504EC">
            <w:pPr>
              <w:pStyle w:val="Nagwek1"/>
              <w:spacing w:before="240"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t>8. Wymagania dotyczące równoważności i weryfikacji</w:t>
            </w:r>
          </w:p>
          <w:p w14:paraId="0772DE1D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W przypadku zaoferowania rozwiązania równoważnego wykonawca musi wykazać spełnienie wszystkich wymagań funkcjonalnych wskazanych dla danej pozycji, w szczególności zakresu treści, sposobu pracy z modelem 3D, obsługi widzenia stereoskopowego oraz pełnej współpracy ze wskaźnikiem USB stanowiącym element stanowiska komputerowego.</w:t>
            </w:r>
          </w:p>
          <w:p w14:paraId="5CBFB59B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Za rozwiązanie równoważne nie będzie uznane oprogramowanie prezentujące wyłącznie obraz 2D lub model 3D na standardowym ekranie bez natywnego efektu stereoskopowego na wymaganym komputerze 3D.</w:t>
            </w:r>
          </w:p>
          <w:p w14:paraId="41A6E88E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Za rozwiązanie równoważne nie będzie uznane oprogramowanie, w którym wskaźnik USB działa wyłącznie jako zamiennik kursora myszy bez możliwości bezpośredniej manipulacji obiektami 3D w przestrzeni.</w:t>
            </w:r>
          </w:p>
          <w:p w14:paraId="3B3462FB" w14:textId="77777777" w:rsidR="00B13E37" w:rsidRPr="00AB126D" w:rsidRDefault="00B13E37" w:rsidP="00AB126D">
            <w:pPr>
              <w:pStyle w:val="Listapunktowana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lang w:val="pl-PL" w:eastAsia="zh-CN"/>
              </w:rPr>
              <w:t>Zamawiający może wymagać demonstracji zaoferowanego oprogramowania na docelowym komputerze 3D przed podpisaniem protokołu odbioru, w celu potwierdzenia działania stereoskopii, interakcji wskaźnikiem USB oraz wszystkich funkcji wymaganych w OPZ.</w:t>
            </w:r>
          </w:p>
          <w:p w14:paraId="49C8DFDC" w14:textId="6C33C8C0" w:rsidR="00B13E37" w:rsidRPr="00AB126D" w:rsidRDefault="00B13E37" w:rsidP="00AB126D">
            <w:pPr>
              <w:tabs>
                <w:tab w:val="left" w:pos="1276"/>
              </w:tabs>
              <w:spacing w:before="0"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605" w:type="pct"/>
            <w:vAlign w:val="center"/>
          </w:tcPr>
          <w:p w14:paraId="3A40E16D" w14:textId="4EB399C4" w:rsidR="004376CD" w:rsidRPr="00AB126D" w:rsidRDefault="00576D0B" w:rsidP="00AB126D">
            <w:pPr>
              <w:spacing w:before="0" w:after="0"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B126D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Licencje na 11 stanowisk</w:t>
            </w:r>
          </w:p>
        </w:tc>
      </w:tr>
    </w:tbl>
    <w:p w14:paraId="69B1FA33" w14:textId="77777777" w:rsidR="000503F7" w:rsidRDefault="000503F7" w:rsidP="000503F7">
      <w:pPr>
        <w:spacing w:after="0" w:line="360" w:lineRule="auto"/>
        <w:ind w:right="282"/>
        <w:jc w:val="both"/>
        <w:rPr>
          <w:rFonts w:ascii="Arial" w:hAnsi="Arial" w:cs="Arial"/>
          <w:sz w:val="24"/>
          <w:szCs w:val="24"/>
        </w:rPr>
      </w:pPr>
    </w:p>
    <w:p w14:paraId="786AA83A" w14:textId="77777777" w:rsidR="00AB126D" w:rsidRDefault="00AB126D" w:rsidP="000503F7">
      <w:pPr>
        <w:spacing w:after="0" w:line="360" w:lineRule="auto"/>
        <w:ind w:right="282"/>
        <w:jc w:val="both"/>
        <w:rPr>
          <w:rFonts w:ascii="Arial" w:hAnsi="Arial" w:cs="Arial"/>
          <w:sz w:val="24"/>
          <w:szCs w:val="24"/>
        </w:rPr>
      </w:pPr>
    </w:p>
    <w:p w14:paraId="76AA22DF" w14:textId="426A05BB" w:rsidR="000503F7" w:rsidRPr="00652289" w:rsidRDefault="000503F7" w:rsidP="000503F7">
      <w:pPr>
        <w:spacing w:after="0" w:line="360" w:lineRule="auto"/>
        <w:ind w:right="282"/>
        <w:jc w:val="both"/>
        <w:rPr>
          <w:rFonts w:ascii="Arial" w:hAnsi="Arial" w:cs="Arial"/>
          <w:sz w:val="24"/>
          <w:szCs w:val="24"/>
        </w:rPr>
      </w:pPr>
      <w:r w:rsidRPr="00652289">
        <w:rPr>
          <w:rFonts w:ascii="Arial" w:hAnsi="Arial" w:cs="Arial"/>
          <w:sz w:val="24"/>
          <w:szCs w:val="24"/>
        </w:rPr>
        <w:lastRenderedPageBreak/>
        <w:t>Ogólne wymagania:</w:t>
      </w:r>
    </w:p>
    <w:p w14:paraId="6BD4FC3C" w14:textId="77777777" w:rsidR="004376CD" w:rsidRPr="004376CD" w:rsidRDefault="004376CD" w:rsidP="00AB126D">
      <w:pPr>
        <w:pStyle w:val="Tekstpodstawowy"/>
        <w:numPr>
          <w:ilvl w:val="0"/>
          <w:numId w:val="4"/>
        </w:numPr>
        <w:spacing w:before="0" w:after="0" w:line="360" w:lineRule="auto"/>
        <w:ind w:left="426" w:hanging="426"/>
        <w:rPr>
          <w:rFonts w:ascii="Arial" w:hAnsi="Arial" w:cs="Arial"/>
          <w:lang w:val="pl-PL" w:eastAsia="en-US"/>
        </w:rPr>
      </w:pPr>
      <w:r w:rsidRPr="004376CD">
        <w:rPr>
          <w:rFonts w:ascii="Arial" w:hAnsi="Arial" w:cs="Arial"/>
          <w:lang w:val="pl-PL" w:eastAsia="en-US"/>
        </w:rPr>
        <w:t>Zasada równoważności: wszystkie wskazane klasy komponentów i parametry referencyjne należy rozumieć jako wymagany poziom funkcjonalny i jakościowy; dopuszcza się rozwiązania równoważne spełniające łącznie wszystkie wymagania techniczne, w tym wymagania dotyczące stereoskopii, śledzenia użytkownika i śledzenia wskaźnika przestrzennego.</w:t>
      </w:r>
    </w:p>
    <w:p w14:paraId="004F65AA" w14:textId="77777777" w:rsidR="000503F7" w:rsidRPr="00652289" w:rsidRDefault="000503F7" w:rsidP="00AB126D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before="0" w:after="0" w:line="360" w:lineRule="auto"/>
        <w:ind w:left="426" w:hanging="426"/>
        <w:rPr>
          <w:rFonts w:ascii="Arial" w:eastAsia="DejaVuSans" w:hAnsi="Arial" w:cs="Arial"/>
          <w:sz w:val="24"/>
          <w:szCs w:val="24"/>
        </w:rPr>
      </w:pPr>
      <w:r w:rsidRPr="00652289">
        <w:rPr>
          <w:rFonts w:ascii="Arial" w:hAnsi="Arial" w:cs="Arial"/>
          <w:sz w:val="24"/>
          <w:szCs w:val="24"/>
        </w:rPr>
        <w:t xml:space="preserve">Wykonawca zobowiązany jest do dostarczenia fabrycznie nowego systemu operacyjnego nieużywanego oraz nie aktywowanego nigdy wcześniej na innym urządzeniu oraz pochodzącego z legalnego źródła sprzedaży. </w:t>
      </w:r>
    </w:p>
    <w:p w14:paraId="00FBDD0A" w14:textId="77777777" w:rsidR="000503F7" w:rsidRPr="00652289" w:rsidRDefault="000503F7" w:rsidP="00AB126D">
      <w:pPr>
        <w:pStyle w:val="Akapitzlist"/>
        <w:numPr>
          <w:ilvl w:val="0"/>
          <w:numId w:val="4"/>
        </w:numPr>
        <w:tabs>
          <w:tab w:val="left" w:pos="426"/>
        </w:tabs>
        <w:spacing w:before="12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52289">
        <w:rPr>
          <w:rFonts w:ascii="Arial" w:hAnsi="Arial" w:cs="Arial"/>
          <w:sz w:val="24"/>
          <w:szCs w:val="24"/>
        </w:rPr>
        <w:t xml:space="preserve">Dostarczony sprzęt musi pochodzić z oficjalnego kanału sprzedaży producenta na rynek polski. </w:t>
      </w:r>
    </w:p>
    <w:p w14:paraId="595B778A" w14:textId="77777777" w:rsidR="000503F7" w:rsidRPr="00652289" w:rsidRDefault="000503F7" w:rsidP="00AB126D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52289">
        <w:rPr>
          <w:rFonts w:ascii="Arial" w:hAnsi="Arial" w:cs="Arial"/>
          <w:sz w:val="24"/>
          <w:szCs w:val="24"/>
        </w:rPr>
        <w:t>Dostarczony sprzęt musi mieć pełne wsparcie techniczne producenta, strona www producenta sprzętu zawierająca sterowniki oraz oprogramowanie narzędziowe dla dostarczonego sprzętu.</w:t>
      </w:r>
    </w:p>
    <w:p w14:paraId="2505C61C" w14:textId="77777777" w:rsidR="000503F7" w:rsidRPr="00652289" w:rsidRDefault="000503F7" w:rsidP="00AB126D">
      <w:pPr>
        <w:pStyle w:val="Akapitzlist"/>
        <w:numPr>
          <w:ilvl w:val="0"/>
          <w:numId w:val="4"/>
        </w:numPr>
        <w:tabs>
          <w:tab w:val="left" w:pos="426"/>
        </w:tabs>
        <w:spacing w:before="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52289">
        <w:rPr>
          <w:rFonts w:ascii="Arial" w:hAnsi="Arial" w:cs="Arial"/>
          <w:sz w:val="24"/>
          <w:szCs w:val="24"/>
        </w:rPr>
        <w:t>Zainstalowane oprogramowanie na zestaw</w:t>
      </w:r>
      <w:r>
        <w:rPr>
          <w:rFonts w:ascii="Arial" w:hAnsi="Arial" w:cs="Arial"/>
          <w:sz w:val="24"/>
          <w:szCs w:val="24"/>
        </w:rPr>
        <w:t>ie</w:t>
      </w:r>
      <w:r w:rsidRPr="00652289">
        <w:rPr>
          <w:rFonts w:ascii="Arial" w:hAnsi="Arial" w:cs="Arial"/>
          <w:sz w:val="24"/>
          <w:szCs w:val="24"/>
        </w:rPr>
        <w:t xml:space="preserve"> komputerow</w:t>
      </w:r>
      <w:r>
        <w:rPr>
          <w:rFonts w:ascii="Arial" w:hAnsi="Arial" w:cs="Arial"/>
          <w:sz w:val="24"/>
          <w:szCs w:val="24"/>
        </w:rPr>
        <w:t>ym</w:t>
      </w:r>
      <w:r w:rsidRPr="00652289">
        <w:rPr>
          <w:rFonts w:ascii="Arial" w:hAnsi="Arial" w:cs="Arial"/>
          <w:sz w:val="24"/>
          <w:szCs w:val="24"/>
        </w:rPr>
        <w:t xml:space="preserve"> musi spełniać standardy Centralnej Komisji Egzaminacyjnej w zakresie wyposażenia ośrodków egzaminacyjnych podczas realizacji egzaminów zawodowych.</w:t>
      </w:r>
    </w:p>
    <w:p w14:paraId="698DD837" w14:textId="77777777" w:rsidR="000503F7" w:rsidRPr="00652289" w:rsidRDefault="000503F7" w:rsidP="00AB126D">
      <w:pPr>
        <w:tabs>
          <w:tab w:val="left" w:pos="284"/>
        </w:tabs>
        <w:spacing w:after="240" w:line="360" w:lineRule="auto"/>
        <w:rPr>
          <w:rFonts w:ascii="Arial" w:hAnsi="Arial" w:cs="Arial"/>
          <w:sz w:val="24"/>
          <w:szCs w:val="24"/>
        </w:rPr>
      </w:pPr>
      <w:r w:rsidRPr="00652289">
        <w:rPr>
          <w:rFonts w:ascii="Arial" w:hAnsi="Arial" w:cs="Arial"/>
          <w:sz w:val="24"/>
          <w:szCs w:val="24"/>
        </w:rPr>
        <w:t xml:space="preserve">W komunikacie CKE określa wyposażenie stanowiska egzaminacyjnego dla zdającego w kwalifikacjach INF.03, MEC.09, ELM.01, ELM.03, ELM.06, ELM.07, ELM.08: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3"/>
        <w:gridCol w:w="1417"/>
        <w:gridCol w:w="6650"/>
      </w:tblGrid>
      <w:tr w:rsidR="000503F7" w:rsidRPr="00AB126D" w14:paraId="49594BBC" w14:textId="77777777" w:rsidTr="00131E5B">
        <w:tc>
          <w:tcPr>
            <w:tcW w:w="563" w:type="dxa"/>
            <w:vAlign w:val="center"/>
          </w:tcPr>
          <w:p w14:paraId="01ACB117" w14:textId="77777777" w:rsidR="000503F7" w:rsidRPr="00AB126D" w:rsidRDefault="000503F7" w:rsidP="00AB126D">
            <w:pPr>
              <w:pStyle w:val="Akapitzlist"/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126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1417" w:type="dxa"/>
            <w:vAlign w:val="center"/>
          </w:tcPr>
          <w:p w14:paraId="5912838A" w14:textId="77777777" w:rsidR="000503F7" w:rsidRPr="00AB126D" w:rsidRDefault="000503F7" w:rsidP="00AB126D">
            <w:pPr>
              <w:pStyle w:val="Akapitzlist"/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126D">
              <w:rPr>
                <w:rFonts w:ascii="Arial" w:hAnsi="Arial" w:cs="Arial"/>
                <w:sz w:val="22"/>
                <w:szCs w:val="22"/>
              </w:rPr>
              <w:t>Symbol kwalifikacji</w:t>
            </w:r>
          </w:p>
        </w:tc>
        <w:tc>
          <w:tcPr>
            <w:tcW w:w="6650" w:type="dxa"/>
            <w:vAlign w:val="center"/>
          </w:tcPr>
          <w:p w14:paraId="364D2A37" w14:textId="77777777" w:rsidR="000503F7" w:rsidRPr="00AB126D" w:rsidRDefault="000503F7" w:rsidP="00AB126D">
            <w:pPr>
              <w:pStyle w:val="Akapitzlist"/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126D">
              <w:rPr>
                <w:rFonts w:ascii="Arial" w:hAnsi="Arial" w:cs="Arial"/>
                <w:sz w:val="22"/>
                <w:szCs w:val="22"/>
              </w:rPr>
              <w:t>Istotne funkcje- parametry techniczno-eksploatacyjne/ uwagi</w:t>
            </w:r>
          </w:p>
        </w:tc>
      </w:tr>
      <w:tr w:rsidR="000503F7" w:rsidRPr="00AB126D" w14:paraId="6A8C0EC3" w14:textId="77777777" w:rsidTr="00131E5B">
        <w:tc>
          <w:tcPr>
            <w:tcW w:w="563" w:type="dxa"/>
          </w:tcPr>
          <w:p w14:paraId="01BB3747" w14:textId="77777777" w:rsidR="000503F7" w:rsidRPr="00AB126D" w:rsidRDefault="000503F7" w:rsidP="00AB126D">
            <w:pPr>
              <w:pStyle w:val="Akapitzlist"/>
              <w:numPr>
                <w:ilvl w:val="0"/>
                <w:numId w:val="1"/>
              </w:numPr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6445951" w14:textId="77777777" w:rsidR="000503F7" w:rsidRPr="00AB126D" w:rsidRDefault="000503F7" w:rsidP="00AB126D">
            <w:pPr>
              <w:pStyle w:val="Akapitzlist"/>
              <w:spacing w:before="0" w:after="0"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126D">
              <w:rPr>
                <w:rFonts w:ascii="Arial" w:hAnsi="Arial" w:cs="Arial"/>
                <w:sz w:val="22"/>
                <w:szCs w:val="22"/>
              </w:rPr>
              <w:t>INF.03</w:t>
            </w:r>
          </w:p>
        </w:tc>
        <w:tc>
          <w:tcPr>
            <w:tcW w:w="6650" w:type="dxa"/>
          </w:tcPr>
          <w:p w14:paraId="07232696" w14:textId="77777777" w:rsidR="000503F7" w:rsidRPr="00AB126D" w:rsidRDefault="000503F7" w:rsidP="00AB126D">
            <w:pPr>
              <w:pStyle w:val="Akapitzlist"/>
              <w:spacing w:before="0" w:after="0"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126D">
              <w:rPr>
                <w:rFonts w:ascii="Arial" w:hAnsi="Arial" w:cs="Arial"/>
                <w:sz w:val="22"/>
                <w:szCs w:val="22"/>
              </w:rPr>
              <w:t>System operacyjny z rodziny Windows dla oferowanych laptopów.</w:t>
            </w:r>
          </w:p>
        </w:tc>
      </w:tr>
      <w:tr w:rsidR="000503F7" w:rsidRPr="00AB126D" w14:paraId="2C2EB4C8" w14:textId="77777777" w:rsidTr="00131E5B">
        <w:tc>
          <w:tcPr>
            <w:tcW w:w="563" w:type="dxa"/>
          </w:tcPr>
          <w:p w14:paraId="1A1F4E53" w14:textId="77777777" w:rsidR="000503F7" w:rsidRPr="00AB126D" w:rsidRDefault="000503F7" w:rsidP="00AB126D">
            <w:pPr>
              <w:pStyle w:val="Akapitzlist"/>
              <w:numPr>
                <w:ilvl w:val="0"/>
                <w:numId w:val="1"/>
              </w:numPr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E0C7FEC" w14:textId="77777777" w:rsidR="000503F7" w:rsidRPr="00AB126D" w:rsidRDefault="000503F7" w:rsidP="00AB126D">
            <w:pPr>
              <w:pStyle w:val="Akapitzlist"/>
              <w:spacing w:before="0" w:after="0"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126D">
              <w:rPr>
                <w:rFonts w:ascii="Arial" w:hAnsi="Arial" w:cs="Arial"/>
                <w:sz w:val="22"/>
                <w:szCs w:val="22"/>
              </w:rPr>
              <w:t>MEC.09</w:t>
            </w:r>
          </w:p>
        </w:tc>
        <w:tc>
          <w:tcPr>
            <w:tcW w:w="6650" w:type="dxa"/>
          </w:tcPr>
          <w:p w14:paraId="00945C4D" w14:textId="77777777" w:rsidR="000503F7" w:rsidRPr="00AB126D" w:rsidRDefault="000503F7" w:rsidP="00AB126D">
            <w:pPr>
              <w:pStyle w:val="Akapitzlist"/>
              <w:spacing w:before="0" w:after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AB126D">
              <w:rPr>
                <w:rFonts w:ascii="Arial" w:hAnsi="Arial" w:cs="Arial"/>
                <w:sz w:val="22"/>
                <w:szCs w:val="22"/>
              </w:rPr>
              <w:t>System operacyjny umożliwiający działanie programów CAD.</w:t>
            </w:r>
          </w:p>
          <w:p w14:paraId="56A5A819" w14:textId="77777777" w:rsidR="000503F7" w:rsidRPr="00AB126D" w:rsidRDefault="000503F7" w:rsidP="00AB126D">
            <w:pPr>
              <w:pStyle w:val="Akapitzlist"/>
              <w:spacing w:before="0" w:after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AB126D">
              <w:rPr>
                <w:rFonts w:ascii="Arial" w:hAnsi="Arial" w:cs="Arial"/>
                <w:sz w:val="22"/>
                <w:szCs w:val="22"/>
              </w:rPr>
              <w:t xml:space="preserve">W szkole posiadamy oprogramowanie Solid Edge 2019 oraz 2024 do nauczania przedmiotu „Komputerowe wspomaganie projektowania”. Na tym oprogramowaniu przeprowadzamy egzamin zawodowy w wymienionej kwalifikacji. Solid Edge </w:t>
            </w:r>
            <w:r w:rsidRPr="00AB126D">
              <w:rPr>
                <w:rFonts w:ascii="Arial" w:hAnsi="Arial" w:cs="Arial"/>
                <w:sz w:val="22"/>
                <w:szCs w:val="22"/>
              </w:rPr>
              <w:br/>
              <w:t>w wersji 2019, jak i nowszy dedykowany jest do współpracy z systemem operacyjnym Windows.</w:t>
            </w:r>
          </w:p>
        </w:tc>
      </w:tr>
      <w:tr w:rsidR="000503F7" w:rsidRPr="00AB126D" w14:paraId="37183927" w14:textId="77777777" w:rsidTr="00131E5B">
        <w:tc>
          <w:tcPr>
            <w:tcW w:w="563" w:type="dxa"/>
          </w:tcPr>
          <w:p w14:paraId="16DA189A" w14:textId="77777777" w:rsidR="000503F7" w:rsidRPr="00AB126D" w:rsidRDefault="000503F7" w:rsidP="00AB126D">
            <w:pPr>
              <w:pStyle w:val="Akapitzlist"/>
              <w:numPr>
                <w:ilvl w:val="0"/>
                <w:numId w:val="1"/>
              </w:numPr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7EE8B69" w14:textId="77777777" w:rsidR="000503F7" w:rsidRPr="00AB126D" w:rsidRDefault="000503F7" w:rsidP="00AB126D">
            <w:pPr>
              <w:pStyle w:val="Akapitzlist"/>
              <w:spacing w:before="0" w:after="0"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126D">
              <w:rPr>
                <w:rFonts w:ascii="Arial" w:hAnsi="Arial" w:cs="Arial"/>
                <w:sz w:val="22"/>
                <w:szCs w:val="22"/>
              </w:rPr>
              <w:t>ELM.01</w:t>
            </w:r>
          </w:p>
        </w:tc>
        <w:tc>
          <w:tcPr>
            <w:tcW w:w="6650" w:type="dxa"/>
            <w:vMerge w:val="restart"/>
          </w:tcPr>
          <w:p w14:paraId="25670F37" w14:textId="77777777" w:rsidR="000503F7" w:rsidRPr="00AB126D" w:rsidRDefault="000503F7" w:rsidP="00AB126D">
            <w:pPr>
              <w:pStyle w:val="Akapitzlist"/>
              <w:spacing w:before="0" w:after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AB126D">
              <w:rPr>
                <w:rFonts w:ascii="Arial" w:hAnsi="Arial" w:cs="Arial"/>
                <w:sz w:val="22"/>
                <w:szCs w:val="22"/>
              </w:rPr>
              <w:t xml:space="preserve">Laptop z zainstalowanym systemem operacyjnym </w:t>
            </w:r>
            <w:r w:rsidRPr="00AB126D">
              <w:rPr>
                <w:rFonts w:ascii="Arial" w:hAnsi="Arial" w:cs="Arial"/>
                <w:sz w:val="22"/>
                <w:szCs w:val="22"/>
              </w:rPr>
              <w:br/>
              <w:t xml:space="preserve">i oprogramowaniem do programowania sterowników PLC. </w:t>
            </w:r>
          </w:p>
          <w:p w14:paraId="7DBF832C" w14:textId="77777777" w:rsidR="000503F7" w:rsidRPr="00AB126D" w:rsidRDefault="000503F7" w:rsidP="00AB126D">
            <w:pPr>
              <w:pStyle w:val="Akapitzlist"/>
              <w:spacing w:before="0" w:after="0"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126D">
              <w:rPr>
                <w:rFonts w:ascii="Arial" w:hAnsi="Arial" w:cs="Arial"/>
                <w:sz w:val="22"/>
                <w:szCs w:val="22"/>
              </w:rPr>
              <w:t>W szkole pracujemy na sterownikach PLC Siemens, które programowane są za pomocą oprogramowania TIA Portal dedykowanego pod System operacyjny Windows Professional.</w:t>
            </w:r>
          </w:p>
        </w:tc>
      </w:tr>
      <w:tr w:rsidR="000503F7" w:rsidRPr="00AB126D" w14:paraId="459F08F6" w14:textId="77777777" w:rsidTr="00131E5B">
        <w:tc>
          <w:tcPr>
            <w:tcW w:w="563" w:type="dxa"/>
          </w:tcPr>
          <w:p w14:paraId="375564E9" w14:textId="77777777" w:rsidR="000503F7" w:rsidRPr="00AB126D" w:rsidRDefault="000503F7" w:rsidP="00AB126D">
            <w:pPr>
              <w:pStyle w:val="Akapitzlist"/>
              <w:numPr>
                <w:ilvl w:val="0"/>
                <w:numId w:val="1"/>
              </w:numPr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20D0D05" w14:textId="77777777" w:rsidR="000503F7" w:rsidRPr="00AB126D" w:rsidRDefault="000503F7" w:rsidP="00AB126D">
            <w:pPr>
              <w:pStyle w:val="Akapitzlist"/>
              <w:spacing w:before="0" w:after="0"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126D">
              <w:rPr>
                <w:rFonts w:ascii="Arial" w:hAnsi="Arial" w:cs="Arial"/>
                <w:sz w:val="22"/>
                <w:szCs w:val="22"/>
              </w:rPr>
              <w:t>ELM.03</w:t>
            </w:r>
          </w:p>
        </w:tc>
        <w:tc>
          <w:tcPr>
            <w:tcW w:w="6650" w:type="dxa"/>
            <w:vMerge/>
          </w:tcPr>
          <w:p w14:paraId="29B95282" w14:textId="77777777" w:rsidR="000503F7" w:rsidRPr="00AB126D" w:rsidRDefault="000503F7" w:rsidP="00AB126D">
            <w:pPr>
              <w:pStyle w:val="Akapitzlist"/>
              <w:spacing w:before="0" w:after="0"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03F7" w:rsidRPr="00AB126D" w14:paraId="5C046030" w14:textId="77777777" w:rsidTr="00131E5B">
        <w:tc>
          <w:tcPr>
            <w:tcW w:w="563" w:type="dxa"/>
          </w:tcPr>
          <w:p w14:paraId="0127A701" w14:textId="77777777" w:rsidR="000503F7" w:rsidRPr="00AB126D" w:rsidRDefault="000503F7" w:rsidP="00AB126D">
            <w:pPr>
              <w:pStyle w:val="Akapitzlist"/>
              <w:numPr>
                <w:ilvl w:val="0"/>
                <w:numId w:val="1"/>
              </w:numPr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93E7879" w14:textId="77777777" w:rsidR="000503F7" w:rsidRPr="00AB126D" w:rsidRDefault="000503F7" w:rsidP="00AB126D">
            <w:pPr>
              <w:pStyle w:val="Akapitzlist"/>
              <w:spacing w:before="0" w:after="0"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126D">
              <w:rPr>
                <w:rFonts w:ascii="Arial" w:hAnsi="Arial" w:cs="Arial"/>
                <w:sz w:val="22"/>
                <w:szCs w:val="22"/>
              </w:rPr>
              <w:t>ELM.06</w:t>
            </w:r>
          </w:p>
        </w:tc>
        <w:tc>
          <w:tcPr>
            <w:tcW w:w="6650" w:type="dxa"/>
            <w:vMerge/>
          </w:tcPr>
          <w:p w14:paraId="1CA0B31F" w14:textId="77777777" w:rsidR="000503F7" w:rsidRPr="00AB126D" w:rsidRDefault="000503F7" w:rsidP="00AB126D">
            <w:pPr>
              <w:pStyle w:val="Akapitzlist"/>
              <w:spacing w:before="0" w:after="0"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03F7" w:rsidRPr="00AB126D" w14:paraId="38508F37" w14:textId="77777777" w:rsidTr="00131E5B">
        <w:tc>
          <w:tcPr>
            <w:tcW w:w="563" w:type="dxa"/>
          </w:tcPr>
          <w:p w14:paraId="2EEAE68F" w14:textId="77777777" w:rsidR="000503F7" w:rsidRPr="00AB126D" w:rsidRDefault="000503F7" w:rsidP="00AB126D">
            <w:pPr>
              <w:pStyle w:val="Akapitzlist"/>
              <w:numPr>
                <w:ilvl w:val="0"/>
                <w:numId w:val="1"/>
              </w:numPr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49BBC9E" w14:textId="77777777" w:rsidR="000503F7" w:rsidRPr="00AB126D" w:rsidRDefault="000503F7" w:rsidP="00AB126D">
            <w:pPr>
              <w:pStyle w:val="Akapitzlist"/>
              <w:spacing w:before="0" w:after="0"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126D">
              <w:rPr>
                <w:rFonts w:ascii="Arial" w:hAnsi="Arial" w:cs="Arial"/>
                <w:sz w:val="22"/>
                <w:szCs w:val="22"/>
              </w:rPr>
              <w:t>ELM.07</w:t>
            </w:r>
          </w:p>
        </w:tc>
        <w:tc>
          <w:tcPr>
            <w:tcW w:w="6650" w:type="dxa"/>
            <w:vMerge/>
          </w:tcPr>
          <w:p w14:paraId="659FA382" w14:textId="77777777" w:rsidR="000503F7" w:rsidRPr="00AB126D" w:rsidRDefault="000503F7" w:rsidP="00AB126D">
            <w:pPr>
              <w:pStyle w:val="Akapitzlist"/>
              <w:spacing w:before="0" w:after="0"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03F7" w:rsidRPr="00AB126D" w14:paraId="3B74D53A" w14:textId="77777777" w:rsidTr="00131E5B">
        <w:tc>
          <w:tcPr>
            <w:tcW w:w="563" w:type="dxa"/>
          </w:tcPr>
          <w:p w14:paraId="0592F46B" w14:textId="77777777" w:rsidR="000503F7" w:rsidRPr="00AB126D" w:rsidRDefault="000503F7" w:rsidP="00AB126D">
            <w:pPr>
              <w:pStyle w:val="Akapitzlist"/>
              <w:numPr>
                <w:ilvl w:val="0"/>
                <w:numId w:val="1"/>
              </w:numPr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1B772A0" w14:textId="77777777" w:rsidR="000503F7" w:rsidRPr="00AB126D" w:rsidRDefault="000503F7" w:rsidP="00AB126D">
            <w:pPr>
              <w:pStyle w:val="Akapitzlist"/>
              <w:spacing w:before="0" w:after="0"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126D">
              <w:rPr>
                <w:rFonts w:ascii="Arial" w:hAnsi="Arial" w:cs="Arial"/>
                <w:sz w:val="22"/>
                <w:szCs w:val="22"/>
              </w:rPr>
              <w:t>ELM.08</w:t>
            </w:r>
          </w:p>
        </w:tc>
        <w:tc>
          <w:tcPr>
            <w:tcW w:w="6650" w:type="dxa"/>
            <w:vMerge/>
          </w:tcPr>
          <w:p w14:paraId="25B56873" w14:textId="77777777" w:rsidR="000503F7" w:rsidRPr="00AB126D" w:rsidRDefault="000503F7" w:rsidP="00AB126D">
            <w:pPr>
              <w:pStyle w:val="Akapitzlist"/>
              <w:spacing w:before="0" w:after="0"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24D68F" w14:textId="77777777" w:rsidR="000503F7" w:rsidRPr="003134BB" w:rsidRDefault="000503F7" w:rsidP="000503F7">
      <w:pPr>
        <w:rPr>
          <w:rFonts w:ascii="Calibri" w:hAnsi="Calibri" w:cs="Calibri"/>
        </w:rPr>
      </w:pPr>
    </w:p>
    <w:p w14:paraId="70525A70" w14:textId="64A70650" w:rsidR="00EF3AFA" w:rsidRPr="00AE1E27" w:rsidRDefault="00EF3AFA" w:rsidP="000503F7">
      <w:pPr>
        <w:spacing w:before="360" w:after="0" w:line="360" w:lineRule="auto"/>
        <w:rPr>
          <w:rFonts w:ascii="Arial" w:hAnsi="Arial" w:cs="Arial"/>
          <w:sz w:val="24"/>
          <w:szCs w:val="24"/>
        </w:rPr>
      </w:pPr>
    </w:p>
    <w:sectPr w:rsidR="00EF3AFA" w:rsidRPr="00AE1E27" w:rsidSect="00FE3019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80FF6" w14:textId="77777777" w:rsidR="007E3FFF" w:rsidRDefault="007E3FFF" w:rsidP="00D051F5">
      <w:pPr>
        <w:spacing w:before="0" w:after="0" w:line="240" w:lineRule="auto"/>
      </w:pPr>
      <w:r>
        <w:separator/>
      </w:r>
    </w:p>
  </w:endnote>
  <w:endnote w:type="continuationSeparator" w:id="0">
    <w:p w14:paraId="41ED53AB" w14:textId="77777777" w:rsidR="007E3FFF" w:rsidRDefault="007E3FFF" w:rsidP="00D051F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6387A" w14:textId="5194E111" w:rsidR="00D051F5" w:rsidRDefault="00EF3AFA" w:rsidP="00D051F5">
    <w:pPr>
      <w:pStyle w:val="Stopka"/>
      <w:jc w:val="center"/>
    </w:pPr>
    <w:r w:rsidRPr="00AA7BA5">
      <w:rPr>
        <w:noProof/>
      </w:rPr>
      <w:drawing>
        <wp:inline distT="0" distB="0" distL="0" distR="0" wp14:anchorId="578B3286" wp14:editId="121E275C">
          <wp:extent cx="5760085" cy="733344"/>
          <wp:effectExtent l="0" t="0" r="0" b="0"/>
          <wp:docPr id="1370246639" name="Obraz 1" descr="Obraz zawierający tekst, zrzut ekranu, Czcion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0246639" name="Obraz 1" descr="Obraz zawierający tekst, zrzut ekranu, Czcionk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33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AA4EC" w14:textId="77777777" w:rsidR="007E3FFF" w:rsidRDefault="007E3FFF" w:rsidP="00D051F5">
      <w:pPr>
        <w:spacing w:before="0" w:after="0" w:line="240" w:lineRule="auto"/>
      </w:pPr>
      <w:r>
        <w:separator/>
      </w:r>
    </w:p>
  </w:footnote>
  <w:footnote w:type="continuationSeparator" w:id="0">
    <w:p w14:paraId="0C7B57E0" w14:textId="77777777" w:rsidR="007E3FFF" w:rsidRDefault="007E3FFF" w:rsidP="00D051F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6F8636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ECE0D21"/>
    <w:multiLevelType w:val="hybridMultilevel"/>
    <w:tmpl w:val="C31A2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32C61"/>
    <w:multiLevelType w:val="hybridMultilevel"/>
    <w:tmpl w:val="51A81C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3B61F4"/>
    <w:multiLevelType w:val="hybridMultilevel"/>
    <w:tmpl w:val="521E9910"/>
    <w:lvl w:ilvl="0" w:tplc="D9CADA92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291512"/>
    <w:multiLevelType w:val="hybridMultilevel"/>
    <w:tmpl w:val="184A401E"/>
    <w:lvl w:ilvl="0" w:tplc="FFFFFFFF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641953">
    <w:abstractNumId w:val="3"/>
  </w:num>
  <w:num w:numId="2" w16cid:durableId="1070930694">
    <w:abstractNumId w:val="4"/>
  </w:num>
  <w:num w:numId="3" w16cid:durableId="554048060">
    <w:abstractNumId w:val="1"/>
  </w:num>
  <w:num w:numId="4" w16cid:durableId="1050231720">
    <w:abstractNumId w:val="2"/>
  </w:num>
  <w:num w:numId="5" w16cid:durableId="182671531">
    <w:abstractNumId w:val="0"/>
  </w:num>
  <w:num w:numId="6" w16cid:durableId="1281643808">
    <w:abstractNumId w:val="0"/>
  </w:num>
  <w:num w:numId="7" w16cid:durableId="1128889157">
    <w:abstractNumId w:val="0"/>
  </w:num>
  <w:num w:numId="8" w16cid:durableId="542668426">
    <w:abstractNumId w:val="0"/>
  </w:num>
  <w:num w:numId="9" w16cid:durableId="1284269174">
    <w:abstractNumId w:val="0"/>
  </w:num>
  <w:num w:numId="10" w16cid:durableId="82841054">
    <w:abstractNumId w:val="0"/>
  </w:num>
  <w:num w:numId="11" w16cid:durableId="525599341">
    <w:abstractNumId w:val="0"/>
  </w:num>
  <w:num w:numId="12" w16cid:durableId="661006783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1F5"/>
    <w:rsid w:val="00025701"/>
    <w:rsid w:val="00035F22"/>
    <w:rsid w:val="000503F7"/>
    <w:rsid w:val="000F2EF9"/>
    <w:rsid w:val="00114435"/>
    <w:rsid w:val="001365E6"/>
    <w:rsid w:val="00176BE5"/>
    <w:rsid w:val="00190A6A"/>
    <w:rsid w:val="00195D54"/>
    <w:rsid w:val="00220EF7"/>
    <w:rsid w:val="00250E2D"/>
    <w:rsid w:val="00266B0C"/>
    <w:rsid w:val="00276222"/>
    <w:rsid w:val="002955DA"/>
    <w:rsid w:val="002C77BE"/>
    <w:rsid w:val="002E0233"/>
    <w:rsid w:val="002F7577"/>
    <w:rsid w:val="00316525"/>
    <w:rsid w:val="003379AF"/>
    <w:rsid w:val="003470A2"/>
    <w:rsid w:val="00373587"/>
    <w:rsid w:val="00376865"/>
    <w:rsid w:val="003953FB"/>
    <w:rsid w:val="003C23A5"/>
    <w:rsid w:val="003E0F1C"/>
    <w:rsid w:val="003E131C"/>
    <w:rsid w:val="003E704A"/>
    <w:rsid w:val="003F417B"/>
    <w:rsid w:val="004376CD"/>
    <w:rsid w:val="00451E1C"/>
    <w:rsid w:val="00464701"/>
    <w:rsid w:val="00472A0F"/>
    <w:rsid w:val="00480858"/>
    <w:rsid w:val="00507E89"/>
    <w:rsid w:val="0053537C"/>
    <w:rsid w:val="005440B1"/>
    <w:rsid w:val="00561219"/>
    <w:rsid w:val="00576D0B"/>
    <w:rsid w:val="005A5529"/>
    <w:rsid w:val="005A59CC"/>
    <w:rsid w:val="005E1FE6"/>
    <w:rsid w:val="00626A28"/>
    <w:rsid w:val="006371DF"/>
    <w:rsid w:val="0064153C"/>
    <w:rsid w:val="0067258E"/>
    <w:rsid w:val="006B47D9"/>
    <w:rsid w:val="006D35C7"/>
    <w:rsid w:val="006E5996"/>
    <w:rsid w:val="00704563"/>
    <w:rsid w:val="00747CD2"/>
    <w:rsid w:val="0075340F"/>
    <w:rsid w:val="00766B9C"/>
    <w:rsid w:val="007A3F11"/>
    <w:rsid w:val="007C36DB"/>
    <w:rsid w:val="007C617E"/>
    <w:rsid w:val="007E3FFF"/>
    <w:rsid w:val="0082041B"/>
    <w:rsid w:val="00824BF4"/>
    <w:rsid w:val="008301FF"/>
    <w:rsid w:val="008338E1"/>
    <w:rsid w:val="008A2AB5"/>
    <w:rsid w:val="008B1809"/>
    <w:rsid w:val="008C5E38"/>
    <w:rsid w:val="008C7B52"/>
    <w:rsid w:val="008D66E9"/>
    <w:rsid w:val="00914DD0"/>
    <w:rsid w:val="00937431"/>
    <w:rsid w:val="009504EC"/>
    <w:rsid w:val="00951ECA"/>
    <w:rsid w:val="00972396"/>
    <w:rsid w:val="00974AAC"/>
    <w:rsid w:val="00997BE0"/>
    <w:rsid w:val="009B5F11"/>
    <w:rsid w:val="009C71A8"/>
    <w:rsid w:val="009D4B5E"/>
    <w:rsid w:val="009E5648"/>
    <w:rsid w:val="009E77CD"/>
    <w:rsid w:val="009F1CA7"/>
    <w:rsid w:val="00A03B19"/>
    <w:rsid w:val="00A14614"/>
    <w:rsid w:val="00A54A20"/>
    <w:rsid w:val="00A67219"/>
    <w:rsid w:val="00A8685B"/>
    <w:rsid w:val="00AA4850"/>
    <w:rsid w:val="00AB126D"/>
    <w:rsid w:val="00AB5FAB"/>
    <w:rsid w:val="00AC3D8F"/>
    <w:rsid w:val="00AD444A"/>
    <w:rsid w:val="00AD6F66"/>
    <w:rsid w:val="00AE1E27"/>
    <w:rsid w:val="00AE3237"/>
    <w:rsid w:val="00AE4C14"/>
    <w:rsid w:val="00AE4EA7"/>
    <w:rsid w:val="00B0756D"/>
    <w:rsid w:val="00B13E37"/>
    <w:rsid w:val="00B14D94"/>
    <w:rsid w:val="00B2542D"/>
    <w:rsid w:val="00B40826"/>
    <w:rsid w:val="00B4202F"/>
    <w:rsid w:val="00B42EDB"/>
    <w:rsid w:val="00B60272"/>
    <w:rsid w:val="00B76D19"/>
    <w:rsid w:val="00B81E1F"/>
    <w:rsid w:val="00B82A0B"/>
    <w:rsid w:val="00B90641"/>
    <w:rsid w:val="00B966FC"/>
    <w:rsid w:val="00BA35C9"/>
    <w:rsid w:val="00BA40E9"/>
    <w:rsid w:val="00C049AA"/>
    <w:rsid w:val="00C04F2C"/>
    <w:rsid w:val="00C07997"/>
    <w:rsid w:val="00C25A96"/>
    <w:rsid w:val="00C3024C"/>
    <w:rsid w:val="00C613E0"/>
    <w:rsid w:val="00C64C14"/>
    <w:rsid w:val="00C70968"/>
    <w:rsid w:val="00C841E0"/>
    <w:rsid w:val="00D051F5"/>
    <w:rsid w:val="00D1144D"/>
    <w:rsid w:val="00D36D98"/>
    <w:rsid w:val="00D41136"/>
    <w:rsid w:val="00D56AC7"/>
    <w:rsid w:val="00D5737C"/>
    <w:rsid w:val="00D60405"/>
    <w:rsid w:val="00D73191"/>
    <w:rsid w:val="00D734D8"/>
    <w:rsid w:val="00DA4728"/>
    <w:rsid w:val="00DB32AF"/>
    <w:rsid w:val="00DC459C"/>
    <w:rsid w:val="00E06F75"/>
    <w:rsid w:val="00E11BEB"/>
    <w:rsid w:val="00E37D5F"/>
    <w:rsid w:val="00E42646"/>
    <w:rsid w:val="00E47DD4"/>
    <w:rsid w:val="00E60D6D"/>
    <w:rsid w:val="00E61200"/>
    <w:rsid w:val="00EA0B1E"/>
    <w:rsid w:val="00EB012B"/>
    <w:rsid w:val="00EF3AFA"/>
    <w:rsid w:val="00EF7D60"/>
    <w:rsid w:val="00F3636C"/>
    <w:rsid w:val="00F41343"/>
    <w:rsid w:val="00F45BED"/>
    <w:rsid w:val="00F65853"/>
    <w:rsid w:val="00F83C29"/>
    <w:rsid w:val="00FC01E2"/>
    <w:rsid w:val="00FE3019"/>
    <w:rsid w:val="00FE6A13"/>
    <w:rsid w:val="00FE7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B65F1"/>
  <w15:docId w15:val="{F87DAAE6-4DCE-4E6F-8791-1EFDD17DF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51F5"/>
    <w:pPr>
      <w:spacing w:before="100" w:after="200" w:line="276" w:lineRule="auto"/>
    </w:pPr>
    <w:rPr>
      <w:rFonts w:eastAsiaTheme="minorEastAsia"/>
      <w:kern w:val="0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051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51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51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51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51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51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51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51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51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51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D051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51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51F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51F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51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51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51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51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51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51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51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51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51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51F5"/>
    <w:rPr>
      <w:i/>
      <w:iCs/>
      <w:color w:val="404040" w:themeColor="text1" w:themeTint="BF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,Akapit z listą 1,List bullet,lp1,l"/>
    <w:basedOn w:val="Normalny"/>
    <w:link w:val="AkapitzlistZnak"/>
    <w:qFormat/>
    <w:rsid w:val="00D051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51F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51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51F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51F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051F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51F5"/>
    <w:rPr>
      <w:rFonts w:eastAsiaTheme="minorEastAsia"/>
      <w:kern w:val="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D051F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51F5"/>
    <w:rPr>
      <w:rFonts w:eastAsiaTheme="minorEastAsia"/>
      <w:kern w:val="0"/>
      <w:sz w:val="20"/>
      <w:szCs w:val="20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uiPriority w:val="34"/>
    <w:qFormat/>
    <w:locked/>
    <w:rsid w:val="002E0233"/>
    <w:rPr>
      <w:rFonts w:eastAsiaTheme="minorEastAsia"/>
      <w:kern w:val="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485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850"/>
    <w:rPr>
      <w:rFonts w:ascii="Tahoma" w:eastAsiaTheme="minorEastAsia" w:hAnsi="Tahoma" w:cs="Tahoma"/>
      <w:kern w:val="0"/>
      <w:sz w:val="16"/>
      <w:szCs w:val="16"/>
    </w:rPr>
  </w:style>
  <w:style w:type="character" w:customStyle="1" w:styleId="Teksttreci2">
    <w:name w:val="Tekst treści (2)"/>
    <w:basedOn w:val="Domylnaczcionkaakapitu"/>
    <w:qFormat/>
    <w:rsid w:val="00FE301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table" w:styleId="Tabela-Siatka">
    <w:name w:val="Table Grid"/>
    <w:basedOn w:val="Standardowy"/>
    <w:uiPriority w:val="39"/>
    <w:rsid w:val="00EF3AFA"/>
    <w:pPr>
      <w:spacing w:before="100" w:after="0" w:line="240" w:lineRule="auto"/>
    </w:pPr>
    <w:rPr>
      <w:rFonts w:eastAsiaTheme="minorEastAsia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C459C"/>
    <w:rPr>
      <w:color w:val="467886" w:themeColor="hyperlink"/>
      <w:u w:val="single"/>
    </w:rPr>
  </w:style>
  <w:style w:type="paragraph" w:styleId="Tekstpodstawowy">
    <w:name w:val="Body Text"/>
    <w:basedOn w:val="Normalny"/>
    <w:link w:val="TekstpodstawowyZnak"/>
    <w:qFormat/>
    <w:rsid w:val="00DA4728"/>
    <w:pPr>
      <w:spacing w:before="180" w:after="180" w:line="240" w:lineRule="auto"/>
    </w:pPr>
    <w:rPr>
      <w:sz w:val="24"/>
      <w:szCs w:val="24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DA4728"/>
    <w:rPr>
      <w:rFonts w:eastAsiaTheme="minorEastAsia"/>
      <w:kern w:val="0"/>
      <w:lang w:val="en-US" w:eastAsia="zh-CN"/>
    </w:rPr>
  </w:style>
  <w:style w:type="paragraph" w:customStyle="1" w:styleId="FirstParagraph">
    <w:name w:val="First Paragraph"/>
    <w:basedOn w:val="Tekstpodstawowy"/>
    <w:next w:val="Tekstpodstawowy"/>
    <w:qFormat/>
    <w:rsid w:val="00DA4728"/>
  </w:style>
  <w:style w:type="paragraph" w:styleId="Listapunktowana">
    <w:name w:val="List Bullet"/>
    <w:basedOn w:val="Normalny"/>
    <w:uiPriority w:val="99"/>
    <w:unhideWhenUsed/>
    <w:rsid w:val="00B13E37"/>
    <w:pPr>
      <w:numPr>
        <w:numId w:val="5"/>
      </w:numPr>
      <w:spacing w:before="0" w:after="120"/>
      <w:contextualSpacing/>
    </w:pPr>
    <w:rPr>
      <w:rFonts w:ascii="Aptos" w:hAnsi="Aptos"/>
      <w:sz w:val="21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videocardbenchmark.net/gpu_list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10</Pages>
  <Words>2817</Words>
  <Characters>16906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 ZST</dc:creator>
  <cp:keywords/>
  <dc:description/>
  <cp:lastModifiedBy>Łukasz Kobeszko</cp:lastModifiedBy>
  <cp:revision>9</cp:revision>
  <dcterms:created xsi:type="dcterms:W3CDTF">2026-08-31T15:46:00Z</dcterms:created>
  <dcterms:modified xsi:type="dcterms:W3CDTF">2026-09-01T14:20:00Z</dcterms:modified>
</cp:coreProperties>
</file>