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FC438">
      <w:pPr>
        <w:spacing w:before="160" w:after="480"/>
        <w:rPr>
          <w:lang w:val="pl-PL"/>
        </w:rPr>
      </w:pPr>
      <w:r>
        <w:rPr>
          <w:b/>
          <w:color w:val="167C80"/>
          <w:sz w:val="18"/>
          <w:lang w:val="pl-PL"/>
        </w:rPr>
        <w:t>AGENCJA ROZWOJU NYSY SP. Z O.O.</w:t>
      </w:r>
    </w:p>
    <w:p w14:paraId="18E48FEC">
      <w:pPr>
        <w:spacing w:after="120"/>
        <w:rPr>
          <w:lang w:val="pl-PL"/>
        </w:rPr>
      </w:pPr>
      <w:r>
        <w:rPr>
          <w:b/>
          <w:color w:val="667085"/>
          <w:sz w:val="22"/>
          <w:lang w:val="pl-PL"/>
        </w:rPr>
        <w:t>ZAŁĄCZNIK NR 3 DO SWZ</w:t>
      </w:r>
    </w:p>
    <w:p w14:paraId="7581FE84">
      <w:pPr>
        <w:spacing w:after="160"/>
        <w:rPr>
          <w:lang w:val="pl-PL"/>
        </w:rPr>
      </w:pPr>
      <w:r>
        <w:rPr>
          <w:b/>
          <w:color w:val="17365D"/>
          <w:sz w:val="50"/>
          <w:lang w:val="pl-PL"/>
        </w:rPr>
        <w:t>Projektowane postanowienia umowy</w:t>
      </w:r>
    </w:p>
    <w:p w14:paraId="3A21ED7A">
      <w:pPr>
        <w:spacing w:after="480"/>
      </w:pPr>
      <w:r>
        <w:rPr>
          <w:color w:val="667085"/>
          <w:sz w:val="24"/>
        </w:rPr>
        <w:t>Umowa generalna ubezpieczenia ARN 2026–2028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00"/>
      </w:tblGrid>
      <w:tr w14:paraId="3765D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94D311">
            <w:pPr>
              <w:spacing w:after="0"/>
            </w:pPr>
            <w:r>
              <w:rPr>
                <w:b/>
                <w:color w:val="17365D"/>
                <w:sz w:val="18"/>
              </w:rPr>
              <w:t>Zamawiający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0F222B">
            <w:pPr>
              <w:spacing w:after="0"/>
            </w:pPr>
            <w:r>
              <w:rPr>
                <w:sz w:val="18"/>
                <w:lang w:val="pl-PL"/>
              </w:rPr>
              <w:t xml:space="preserve">Agencja Rozwoju Nysy Sp. z o.o., ul. </w:t>
            </w:r>
            <w:r>
              <w:rPr>
                <w:sz w:val="18"/>
              </w:rPr>
              <w:t>Marcinkowskiego 2–4, 48-300 Nysa</w:t>
            </w:r>
          </w:p>
        </w:tc>
      </w:tr>
      <w:tr w14:paraId="5CD87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7C0CDB">
            <w:pPr>
              <w:spacing w:after="0"/>
            </w:pPr>
            <w:r>
              <w:rPr>
                <w:b/>
                <w:color w:val="17365D"/>
                <w:sz w:val="18"/>
              </w:rPr>
              <w:t>Okres programu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F07C38">
            <w:pPr>
              <w:spacing w:after="0"/>
            </w:pPr>
            <w:r>
              <w:rPr>
                <w:sz w:val="18"/>
              </w:rPr>
              <w:t>01.10.2026 r.–30.09.2028 r.</w:t>
            </w:r>
          </w:p>
        </w:tc>
      </w:tr>
      <w:tr w14:paraId="38ED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8F608A">
            <w:pPr>
              <w:spacing w:after="0"/>
            </w:pPr>
            <w:r>
              <w:rPr>
                <w:b/>
                <w:color w:val="17365D"/>
                <w:sz w:val="18"/>
              </w:rPr>
              <w:t>Tryb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8E2D48">
            <w:pPr>
              <w:spacing w:after="0"/>
              <w:rPr>
                <w:lang w:val="pl-PL"/>
              </w:rPr>
            </w:pPr>
            <w:r>
              <w:rPr>
                <w:sz w:val="18"/>
                <w:lang w:val="pl-PL"/>
              </w:rPr>
              <w:t>tryb podstawowy bez negocjacji – art. 275 pkt 1 PZP</w:t>
            </w:r>
          </w:p>
        </w:tc>
      </w:tr>
    </w:tbl>
    <w:p w14:paraId="1042E9D4">
      <w:pPr>
        <w:rPr>
          <w:lang w:val="pl-PL"/>
        </w:rPr>
      </w:pPr>
      <w:r>
        <w:rPr>
          <w:lang w:val="pl-PL"/>
        </w:rPr>
        <w:br w:type="page"/>
      </w:r>
    </w:p>
    <w:p w14:paraId="594D167F">
      <w:pPr>
        <w:jc w:val="center"/>
        <w:rPr>
          <w:lang w:val="pl-PL"/>
        </w:rPr>
      </w:pPr>
      <w:r>
        <w:rPr>
          <w:lang w:val="pl-PL"/>
        </w:rPr>
        <w:t xml:space="preserve">UMOWA NR </w:t>
      </w:r>
      <w:r>
        <w:rPr>
          <w:color w:val="C00000"/>
          <w:lang w:val="pl-PL"/>
        </w:rPr>
        <w:t>[DO UZUPEŁNIENIA]</w:t>
      </w:r>
    </w:p>
    <w:p w14:paraId="7D857585">
      <w:pPr>
        <w:rPr>
          <w:lang w:val="pl-PL"/>
        </w:rPr>
      </w:pPr>
      <w:r>
        <w:rPr>
          <w:lang w:val="pl-PL"/>
        </w:rPr>
        <w:t xml:space="preserve">zawarta w dniu </w:t>
      </w:r>
      <w:r>
        <w:rPr>
          <w:color w:val="C00000"/>
          <w:lang w:val="pl-PL"/>
        </w:rPr>
        <w:t>[DO UZUPEŁNIENIA]</w:t>
      </w:r>
      <w:r>
        <w:rPr>
          <w:lang w:val="pl-PL"/>
        </w:rPr>
        <w:t xml:space="preserve"> w Nysie pomiędzy:</w:t>
      </w:r>
    </w:p>
    <w:p w14:paraId="43520599">
      <w:pPr>
        <w:jc w:val="both"/>
        <w:rPr>
          <w:lang w:val="pl-PL"/>
        </w:rPr>
      </w:pPr>
      <w:r>
        <w:rPr>
          <w:lang w:val="pl-PL"/>
        </w:rPr>
        <w:t>Agencją Rozwoju Nysy Sp. z o.o. z siedzibą w Nysie, ul. Marcinkowskiego 2–4, 48-300 Nysa, NIP 7531891768, REGON 531303212, reprezentowaną przez: [DO UZUPEŁNIENIA], zwaną dalej „Zamawiającym” lub „Ubezpieczającym”,</w:t>
      </w:r>
    </w:p>
    <w:p w14:paraId="18379957">
      <w:pPr>
        <w:jc w:val="both"/>
        <w:rPr>
          <w:lang w:val="pl-PL"/>
        </w:rPr>
      </w:pPr>
      <w:r>
        <w:rPr>
          <w:lang w:val="pl-PL"/>
        </w:rPr>
        <w:t xml:space="preserve">a </w:t>
      </w:r>
      <w:r>
        <w:rPr>
          <w:color w:val="C00000"/>
          <w:lang w:val="pl-PL"/>
        </w:rPr>
        <w:t>[DO UZUPEŁNIENIA – pełna firma, siedziba, KRS, NIP, REGON, reprezentacja]</w:t>
      </w:r>
      <w:r>
        <w:rPr>
          <w:lang w:val="pl-PL"/>
        </w:rPr>
        <w:t>, zwanym dalej „Wykonawcą” lub „Ubezpieczycielem”.</w:t>
      </w:r>
    </w:p>
    <w:p w14:paraId="5A14A4F9">
      <w:pPr>
        <w:pStyle w:val="2"/>
        <w:rPr>
          <w:lang w:val="pl-PL"/>
        </w:rPr>
      </w:pPr>
      <w:r>
        <w:rPr>
          <w:lang w:val="pl-PL"/>
        </w:rPr>
        <w:t>§ 1. Podstawa i przedmiot umowy</w:t>
      </w:r>
    </w:p>
    <w:p w14:paraId="73AF3680">
      <w:pPr>
        <w:jc w:val="both"/>
        <w:rPr>
          <w:lang w:val="pl-PL"/>
        </w:rPr>
      </w:pPr>
      <w:r>
        <w:rPr>
          <w:lang w:val="pl-PL"/>
        </w:rPr>
        <w:t xml:space="preserve">1. Umowę zawiera się w wyniku postępowania prowadzonego w trybie podstawowym bez negocjacji na podstawie art. 275 pkt 1 PZP, znak sprawy </w:t>
      </w:r>
      <w:r>
        <w:rPr>
          <w:rFonts w:hint="default"/>
          <w:color w:val="auto"/>
          <w:lang w:val="pl-PL"/>
        </w:rPr>
        <w:t>2/ZP/DR/2026</w:t>
      </w:r>
      <w:r>
        <w:rPr>
          <w:lang w:val="pl-PL"/>
        </w:rPr>
        <w:t>.</w:t>
      </w:r>
      <w:bookmarkStart w:id="0" w:name="_GoBack"/>
      <w:bookmarkEnd w:id="0"/>
    </w:p>
    <w:p w14:paraId="5E1414BC">
      <w:pPr>
        <w:jc w:val="both"/>
        <w:rPr>
          <w:lang w:val="pl-PL"/>
        </w:rPr>
      </w:pPr>
      <w:r>
        <w:rPr>
          <w:lang w:val="pl-PL"/>
        </w:rPr>
        <w:t>2. Wykonawca udziela ochrony w zakresie mienia, elektroniki, OC ogólnego, obowiązkowego OC zarządcy nieruchomości oraz obowiązkowego OC usługowego prowadzenia ksiąg rachunkowych, zgodnie z OPZ i ofertą.</w:t>
      </w:r>
    </w:p>
    <w:p w14:paraId="58D5C830">
      <w:pPr>
        <w:jc w:val="both"/>
        <w:rPr>
          <w:lang w:val="pl-PL"/>
        </w:rPr>
      </w:pPr>
      <w:r>
        <w:rPr>
          <w:lang w:val="pl-PL"/>
        </w:rPr>
        <w:t>3. Dokumenty umowy, w kolejności pierwszeństwa: SWZ i OPZ w brzmieniu wynikającym ze wszystkich opublikowanych zmian i wyjaśnień, następnie umowa, arkusz danych, oferta, polisy i OWU. Korzystniejsze postanowienia OWU stosuje się, jeżeli nie kolidują z dokumentami wcześniejszymi.</w:t>
      </w:r>
    </w:p>
    <w:p w14:paraId="1B2C9028">
      <w:pPr>
        <w:pStyle w:val="2"/>
        <w:rPr>
          <w:lang w:val="pl-PL"/>
        </w:rPr>
      </w:pPr>
      <w:r>
        <w:rPr>
          <w:lang w:val="pl-PL"/>
        </w:rPr>
        <w:t>§ 2. Okres i ciągłość ochrony</w:t>
      </w:r>
    </w:p>
    <w:p w14:paraId="572A72CD">
      <w:pPr>
        <w:jc w:val="both"/>
        <w:rPr>
          <w:lang w:val="pl-PL"/>
        </w:rPr>
      </w:pPr>
      <w:r>
        <w:rPr>
          <w:lang w:val="pl-PL"/>
        </w:rPr>
        <w:t>1. Ochrona dla mienia, elektroniki i OC ogólnego trwa od 01.10.2026 r.–30.09.2028 r., w dwóch rocznych okresach.</w:t>
      </w:r>
    </w:p>
    <w:p w14:paraId="04344136">
      <w:pPr>
        <w:jc w:val="both"/>
        <w:rPr>
          <w:lang w:val="pl-PL"/>
        </w:rPr>
      </w:pPr>
      <w:r>
        <w:rPr>
          <w:lang w:val="pl-PL"/>
        </w:rPr>
        <w:t>2. Ochrona dla obowiązkowych OC zawodowych trwa w okresach 01.04.2027 r.–30.09.2027 r. i 01.10.2027 r.–30.09.2028 r.</w:t>
      </w:r>
    </w:p>
    <w:p w14:paraId="5F701CDA">
      <w:pPr>
        <w:jc w:val="both"/>
        <w:rPr>
          <w:lang w:val="pl-PL"/>
        </w:rPr>
      </w:pPr>
      <w:r>
        <w:rPr>
          <w:lang w:val="pl-PL"/>
        </w:rPr>
        <w:t>3. Wykonawca nie może odmówić ochrony w drugim roku, dokonać ponownej oceny ryzyka, wypowiedzieć umowy ani zmienić warunków z powodu przebiegu szkodowego, o ile bezwzględnie obowiązujące przepisy nie stanowią inaczej.</w:t>
      </w:r>
    </w:p>
    <w:p w14:paraId="1FD1AED5">
      <w:pPr>
        <w:jc w:val="both"/>
        <w:rPr>
          <w:lang w:val="pl-PL"/>
        </w:rPr>
      </w:pPr>
      <w:r>
        <w:rPr>
          <w:lang w:val="pl-PL"/>
        </w:rPr>
        <w:t>4. Sumy, sumy gwarancyjne, limity i podlimity odnawiają się z początkiem każdego 12-miesięcznego okresu. Dla sześciomiesięcznego okresu OC zawodowych obowiązuje pełna suma ustawowa.</w:t>
      </w:r>
    </w:p>
    <w:p w14:paraId="3CADEDD7">
      <w:pPr>
        <w:pStyle w:val="2"/>
        <w:rPr>
          <w:lang w:val="pl-PL"/>
        </w:rPr>
      </w:pPr>
      <w:r>
        <w:rPr>
          <w:lang w:val="pl-PL"/>
        </w:rPr>
        <w:t>§ 3. Polisy i dokumenty</w:t>
      </w:r>
    </w:p>
    <w:p w14:paraId="6E9C1018">
      <w:pPr>
        <w:jc w:val="both"/>
        <w:rPr>
          <w:lang w:val="pl-PL"/>
        </w:rPr>
      </w:pPr>
      <w:r>
        <w:rPr>
          <w:lang w:val="pl-PL"/>
        </w:rPr>
        <w:t>1. Wykonawca wystawi polisy i certyfikaty najpóźniej przed rozpoczęciem danego okresu. Dokumenty mają charakter potwierdzający i nie mogą ograniczać umowy.</w:t>
      </w:r>
    </w:p>
    <w:p w14:paraId="490340EA">
      <w:pPr>
        <w:jc w:val="both"/>
        <w:rPr>
          <w:lang w:val="pl-PL"/>
        </w:rPr>
      </w:pPr>
      <w:r>
        <w:rPr>
          <w:lang w:val="pl-PL"/>
        </w:rPr>
        <w:t>2. Na wniosek zamawiającego wykonawca potwierdzi cesję praw z polisy, aktualizację ubezpieczonych i lokalizacji oraz przekaże dokumenty w formie elektronicznej.</w:t>
      </w:r>
    </w:p>
    <w:p w14:paraId="02DD3FC2">
      <w:pPr>
        <w:pStyle w:val="2"/>
        <w:rPr>
          <w:lang w:val="pl-PL"/>
        </w:rPr>
      </w:pPr>
      <w:r>
        <w:rPr>
          <w:lang w:val="pl-PL"/>
        </w:rPr>
        <w:t>§ 4. Wynagrodzenie i płatności</w:t>
      </w:r>
    </w:p>
    <w:p w14:paraId="50AA1087">
      <w:pPr>
        <w:jc w:val="both"/>
        <w:rPr>
          <w:lang w:val="pl-PL"/>
        </w:rPr>
      </w:pPr>
      <w:r>
        <w:rPr>
          <w:lang w:val="pl-PL"/>
        </w:rPr>
        <w:t xml:space="preserve">1. Składka podstawowa za cały przedmiot umowy wynosi </w:t>
      </w:r>
      <w:r>
        <w:rPr>
          <w:color w:val="C00000"/>
          <w:lang w:val="pl-PL"/>
        </w:rPr>
        <w:t>[CENA Z OFERTY]</w:t>
      </w:r>
      <w:r>
        <w:rPr>
          <w:lang w:val="pl-PL"/>
        </w:rPr>
        <w:t xml:space="preserve"> zł. Maksymalne wynagrodzenie za zakres podstawowy i prawo opcji nie przekroczy 115% składki podstawowej, z zastrzeżeniem zmian wynagrodzenia wymaganych przepisami prawa oraz waloryzacji zgodnej z § 11.</w:t>
      </w:r>
    </w:p>
    <w:p w14:paraId="2A1ABAB1">
      <w:pPr>
        <w:jc w:val="both"/>
        <w:rPr>
          <w:lang w:val="pl-PL"/>
        </w:rPr>
      </w:pPr>
      <w:r>
        <w:rPr>
          <w:lang w:val="pl-PL"/>
        </w:rPr>
        <w:t>2. Składki za każdy pełny rok ochrony są płatne w czterech równych ratach, bez zwyżki: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701"/>
        <w:gridCol w:w="1701"/>
        <w:gridCol w:w="1701"/>
        <w:gridCol w:w="1701"/>
      </w:tblGrid>
      <w:tr w14:paraId="1AA0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66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64682F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Okres</w:t>
            </w:r>
          </w:p>
        </w:tc>
        <w:tc>
          <w:tcPr>
            <w:tcW w:w="170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9947B9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 rata</w:t>
            </w:r>
          </w:p>
        </w:tc>
        <w:tc>
          <w:tcPr>
            <w:tcW w:w="170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DF161E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II rata</w:t>
            </w:r>
          </w:p>
        </w:tc>
        <w:tc>
          <w:tcPr>
            <w:tcW w:w="170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86ADD2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III rata</w:t>
            </w:r>
          </w:p>
        </w:tc>
        <w:tc>
          <w:tcPr>
            <w:tcW w:w="170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0F063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IV rata</w:t>
            </w:r>
          </w:p>
        </w:tc>
      </w:tr>
      <w:tr w14:paraId="4ECFD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2037E3">
            <w:pPr>
              <w:spacing w:after="0"/>
            </w:pPr>
            <w:r>
              <w:rPr>
                <w:sz w:val="15"/>
              </w:rPr>
              <w:t>01.10.2026–30.09.2027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C3292">
            <w:pPr>
              <w:spacing w:after="0"/>
            </w:pPr>
            <w:r>
              <w:rPr>
                <w:sz w:val="15"/>
              </w:rPr>
              <w:t>21.10.2026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A9A36A">
            <w:pPr>
              <w:spacing w:after="0"/>
            </w:pPr>
            <w:r>
              <w:rPr>
                <w:sz w:val="15"/>
              </w:rPr>
              <w:t>21.01.2027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B233F7">
            <w:pPr>
              <w:spacing w:after="0"/>
            </w:pPr>
            <w:r>
              <w:rPr>
                <w:sz w:val="15"/>
              </w:rPr>
              <w:t>21.04.2027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C73E7">
            <w:pPr>
              <w:spacing w:after="0"/>
            </w:pPr>
            <w:r>
              <w:rPr>
                <w:sz w:val="15"/>
              </w:rPr>
              <w:t>21.07.2027</w:t>
            </w:r>
          </w:p>
        </w:tc>
      </w:tr>
      <w:tr w14:paraId="479BE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D2757B">
            <w:pPr>
              <w:spacing w:after="0"/>
            </w:pPr>
            <w:r>
              <w:rPr>
                <w:sz w:val="15"/>
              </w:rPr>
              <w:t>01.10.2027–30.09.2028</w:t>
            </w:r>
          </w:p>
        </w:tc>
        <w:tc>
          <w:tcPr>
            <w:tcW w:w="170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A53AE0">
            <w:pPr>
              <w:spacing w:after="0"/>
            </w:pPr>
            <w:r>
              <w:rPr>
                <w:sz w:val="15"/>
              </w:rPr>
              <w:t>21.10.2027</w:t>
            </w:r>
          </w:p>
        </w:tc>
        <w:tc>
          <w:tcPr>
            <w:tcW w:w="170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E45DA2">
            <w:pPr>
              <w:spacing w:after="0"/>
            </w:pPr>
            <w:r>
              <w:rPr>
                <w:sz w:val="15"/>
              </w:rPr>
              <w:t>21.01.2028</w:t>
            </w:r>
          </w:p>
        </w:tc>
        <w:tc>
          <w:tcPr>
            <w:tcW w:w="170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485457">
            <w:pPr>
              <w:spacing w:after="0"/>
            </w:pPr>
            <w:r>
              <w:rPr>
                <w:sz w:val="15"/>
              </w:rPr>
              <w:t>21.04.2028</w:t>
            </w:r>
          </w:p>
        </w:tc>
        <w:tc>
          <w:tcPr>
            <w:tcW w:w="170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7AFE8C">
            <w:pPr>
              <w:spacing w:after="0"/>
            </w:pPr>
            <w:r>
              <w:rPr>
                <w:sz w:val="15"/>
              </w:rPr>
              <w:t>21.07.2028</w:t>
            </w:r>
          </w:p>
        </w:tc>
      </w:tr>
    </w:tbl>
    <w:p w14:paraId="4BBFE374">
      <w:pPr>
        <w:spacing w:after="0"/>
      </w:pPr>
    </w:p>
    <w:p w14:paraId="14E20D2E">
      <w:pPr>
        <w:jc w:val="both"/>
        <w:rPr>
          <w:lang w:val="pl-PL"/>
        </w:rPr>
      </w:pPr>
      <w:r>
        <w:rPr>
          <w:lang w:val="pl-PL"/>
        </w:rPr>
        <w:t>3. Składki za sześciomiesięczny okres OC zawodowych są płatne w dwóch równych ratach do 21.04.2027 r. i 21.07.2027 r. Składki za ich kolejny roczny okres – w czterech równych ratach w terminach dla drugiego roku.</w:t>
      </w:r>
    </w:p>
    <w:p w14:paraId="1DEFB602">
      <w:pPr>
        <w:jc w:val="both"/>
        <w:rPr>
          <w:lang w:val="pl-PL"/>
        </w:rPr>
      </w:pPr>
      <w:r>
        <w:rPr>
          <w:lang w:val="pl-PL"/>
        </w:rPr>
        <w:t>4. Dodatkowe składki z prawa opcji lub rozliczenia zmian są płatne w terminie 30 dni od wystawienia prawidłowego dokumentu, nie wcześniej niż od dnia rozpoczęcia dodatkowej ochrony.</w:t>
      </w:r>
    </w:p>
    <w:p w14:paraId="780D6100">
      <w:pPr>
        <w:jc w:val="both"/>
        <w:rPr>
          <w:lang w:val="pl-PL"/>
        </w:rPr>
      </w:pPr>
      <w:r>
        <w:rPr>
          <w:lang w:val="pl-PL"/>
        </w:rPr>
        <w:t>5. Za dzień zapłaty uznaje się dzień obciążenia rachunku zamawiającego. Wykonawca nie potrąca rat niewymagalnych z odszkodowania ani nie żąda ich wcześniejszej zapłaty po szkodzie.</w:t>
      </w:r>
    </w:p>
    <w:p w14:paraId="79EBE837">
      <w:pPr>
        <w:pStyle w:val="2"/>
        <w:rPr>
          <w:lang w:val="pl-PL"/>
        </w:rPr>
      </w:pPr>
      <w:r>
        <w:rPr>
          <w:lang w:val="pl-PL"/>
        </w:rPr>
        <w:t>§ 5. Prawo opcji</w:t>
      </w:r>
    </w:p>
    <w:p w14:paraId="517672E7">
      <w:pPr>
        <w:jc w:val="both"/>
        <w:rPr>
          <w:lang w:val="pl-PL"/>
        </w:rPr>
      </w:pPr>
      <w:r>
        <w:rPr>
          <w:lang w:val="pl-PL"/>
        </w:rPr>
        <w:t>1. Zamawiający może wielokrotnie skorzystać z opcji do łącznego limitu 15% składki podstawowej, składając wykonawcy oświadczenie w formie dokumentowej przed rozpoczęciem dodatkowej ochrony, nie później niż 30.09.2028 r.</w:t>
      </w:r>
    </w:p>
    <w:p w14:paraId="3932DC2D">
      <w:pPr>
        <w:jc w:val="both"/>
        <w:rPr>
          <w:lang w:val="pl-PL"/>
        </w:rPr>
      </w:pPr>
      <w:r>
        <w:rPr>
          <w:lang w:val="pl-PL"/>
        </w:rPr>
        <w:t>2. Okoliczności uruchomienia opcji: nabycie lub modernizacja mienia, wzrost wartości, nowa lokalizacja, przejęcie mienia lub jednostki, rozszerzenie działalności, wzrost sum lub limitów, zmiana wymogów ustawowych albo potrzeba kontynuacji ochrony w granicach terminu umowy.</w:t>
      </w:r>
    </w:p>
    <w:p w14:paraId="0B4AF2AA">
      <w:pPr>
        <w:jc w:val="both"/>
        <w:rPr>
          <w:lang w:val="pl-PL"/>
        </w:rPr>
      </w:pPr>
      <w:r>
        <w:rPr>
          <w:lang w:val="pl-PL"/>
        </w:rPr>
        <w:t>3. Rodzaj opcji jest ograniczony do ubezpieczeń objętych zamówieniem i nie może zmienić ogólnego charakteru umowy. Składkę oblicza się według stawek jednostkowych z oferty, pro rata temporis, a gdy brak odpowiedniej stawki – na podstawie uzgodnionej ceny nie wyższej niż rynkowa, w granicach limitu opcji.</w:t>
      </w:r>
    </w:p>
    <w:p w14:paraId="6B8E0B07">
      <w:pPr>
        <w:jc w:val="both"/>
        <w:rPr>
          <w:lang w:val="pl-PL"/>
        </w:rPr>
      </w:pPr>
      <w:r>
        <w:rPr>
          <w:lang w:val="pl-PL"/>
        </w:rPr>
        <w:t>4. Wszystkie dodatkowe składki wynikające z przyrostu sum, automatycznego pokrycia lub nowych lokalizacji ponad składkę podstawową pomniejszają limit opcji. Niewykorzystanie opcji nie rodzi roszczeń.</w:t>
      </w:r>
    </w:p>
    <w:p w14:paraId="03ECF013">
      <w:pPr>
        <w:pStyle w:val="2"/>
        <w:rPr>
          <w:lang w:val="pl-PL"/>
        </w:rPr>
      </w:pPr>
      <w:r>
        <w:rPr>
          <w:lang w:val="pl-PL"/>
        </w:rPr>
        <w:t>§ 6. Zmiany mienia i rozliczenia</w:t>
      </w:r>
    </w:p>
    <w:p w14:paraId="0866C5F6">
      <w:pPr>
        <w:jc w:val="both"/>
        <w:rPr>
          <w:lang w:val="pl-PL"/>
        </w:rPr>
      </w:pPr>
      <w:r>
        <w:rPr>
          <w:lang w:val="pl-PL"/>
        </w:rPr>
        <w:t>1. Nowe mienie jest objęte ochroną od chwili przejścia ryzyka w granicach klauzul automatycznych. Zamawiający zgłasza zmiany kwartalnie albo na koniec okresu, o ile nie uzgodniono inaczej.</w:t>
      </w:r>
    </w:p>
    <w:p w14:paraId="313F7922">
      <w:pPr>
        <w:jc w:val="both"/>
        <w:rPr>
          <w:lang w:val="pl-PL"/>
        </w:rPr>
      </w:pPr>
      <w:r>
        <w:rPr>
          <w:lang w:val="pl-PL"/>
        </w:rPr>
        <w:t>2. Wyłączenia mienia, utrata tytułu prawnego i zmniejszenie sum skutkują zwrotem składki co do dnia, bez kosztów manipulacyjnych. Dotyczy to w szczególności mienia użyczonego lub leasingowanego po ustaniu odpowiedzialności ARN.</w:t>
      </w:r>
    </w:p>
    <w:p w14:paraId="2E4AEDC5">
      <w:pPr>
        <w:jc w:val="both"/>
        <w:rPr>
          <w:lang w:val="pl-PL"/>
        </w:rPr>
      </w:pPr>
      <w:r>
        <w:rPr>
          <w:lang w:val="pl-PL"/>
        </w:rPr>
        <w:t>3. Stawki z oferty są stałe, z zastrzeżeniem waloryzacji z § 11 oraz ustawowych zmian danin. Dla zmian sum stosuje się tę samą podstawę wartości co w arkuszu danych, chyba że strony uzgodnią wartość odtworzeniową na podstawie aktualnej wyceny.</w:t>
      </w:r>
    </w:p>
    <w:p w14:paraId="79D71E5F">
      <w:pPr>
        <w:pStyle w:val="2"/>
        <w:rPr>
          <w:lang w:val="pl-PL"/>
        </w:rPr>
      </w:pPr>
      <w:r>
        <w:rPr>
          <w:lang w:val="pl-PL"/>
        </w:rPr>
        <w:t>§ 7. Obsługa i likwidacja szkód</w:t>
      </w:r>
    </w:p>
    <w:p w14:paraId="25F34026">
      <w:pPr>
        <w:jc w:val="both"/>
        <w:rPr>
          <w:lang w:val="pl-PL"/>
        </w:rPr>
      </w:pPr>
      <w:r>
        <w:rPr>
          <w:lang w:val="pl-PL"/>
        </w:rPr>
        <w:t>1. Wykonawca zapewnia dedykowane osoby do obsługi umowy i szkód. Korespondencję oraz decyzje przekazuje równolegle zamawiającemu i brokerowi LG BROKER Łukasz Gadzina.</w:t>
      </w:r>
    </w:p>
    <w:p w14:paraId="5ADA0688">
      <w:pPr>
        <w:jc w:val="both"/>
        <w:rPr>
          <w:lang w:val="pl-PL"/>
        </w:rPr>
      </w:pPr>
      <w:r>
        <w:rPr>
          <w:lang w:val="pl-PL"/>
        </w:rPr>
        <w:t>2. Oględziny następują w ciągu 3 dni roboczych. Po bezskutecznym upływie tego terminu zamawiający może rozpocząć naprawę, dokumentując stan i zabezpieczając dowody.</w:t>
      </w:r>
    </w:p>
    <w:p w14:paraId="1F8B5B46">
      <w:pPr>
        <w:jc w:val="both"/>
        <w:rPr>
          <w:lang w:val="pl-PL"/>
        </w:rPr>
      </w:pPr>
      <w:r>
        <w:rPr>
          <w:lang w:val="pl-PL"/>
        </w:rPr>
        <w:t>3. Część bezsporna odszkodowania jest wypłacana niezwłocznie. Odmowa albo ograniczenie wymaga szczegółowego uzasadnienia faktycznego i prawnego wraz ze wskazaniem postanowienia umowy.</w:t>
      </w:r>
    </w:p>
    <w:p w14:paraId="3DB89FDB">
      <w:pPr>
        <w:jc w:val="both"/>
        <w:rPr>
          <w:lang w:val="pl-PL"/>
        </w:rPr>
      </w:pPr>
      <w:r>
        <w:rPr>
          <w:lang w:val="pl-PL"/>
        </w:rPr>
        <w:t>4. Na żądanie wykonawca przekazuje aktualny rejestr szkód w XLSX, obejmujący co najmniej numer, datę, ryzyko, lokalizację, opis, wypłatę, rezerwę, regres i status.</w:t>
      </w:r>
    </w:p>
    <w:p w14:paraId="55CBA314">
      <w:pPr>
        <w:jc w:val="both"/>
        <w:rPr>
          <w:lang w:val="pl-PL"/>
        </w:rPr>
      </w:pPr>
      <w:r>
        <w:rPr>
          <w:lang w:val="pl-PL"/>
        </w:rPr>
        <w:t>Zamawiający jest reprezentowany i obsługiwany w zakresie merytorycznym programu ubezpieczenia przez brokera: LG BROKER Łukasz Gadzina, Rynek 12/6, 48-300 Nysa, NIP 7532223141. Broker działa na podstawie udzielonego pełnomocnictwa. Wynagrodzenie brokerskie jest zawarte w składce ubezpieczeniowej i nie stanowi odrębnego kosztu Zamawiającego.</w:t>
      </w:r>
    </w:p>
    <w:p w14:paraId="62F14C01">
      <w:pPr>
        <w:pStyle w:val="2"/>
        <w:rPr>
          <w:lang w:val="pl-PL"/>
        </w:rPr>
      </w:pPr>
      <w:r>
        <w:rPr>
          <w:lang w:val="pl-PL"/>
        </w:rPr>
        <w:t>§ 8. Obowiązki stron</w:t>
      </w:r>
    </w:p>
    <w:p w14:paraId="1D27A48A">
      <w:pPr>
        <w:jc w:val="both"/>
        <w:rPr>
          <w:lang w:val="pl-PL"/>
        </w:rPr>
      </w:pPr>
      <w:r>
        <w:rPr>
          <w:lang w:val="pl-PL"/>
        </w:rPr>
        <w:t>1. Zamawiający płaci składki, przekazuje istotne informacje o ryzyku, zawiadamia o szkodach oraz umożliwia oględziny.</w:t>
      </w:r>
    </w:p>
    <w:p w14:paraId="31215B20">
      <w:pPr>
        <w:jc w:val="both"/>
        <w:rPr>
          <w:lang w:val="pl-PL"/>
        </w:rPr>
      </w:pPr>
      <w:r>
        <w:rPr>
          <w:lang w:val="pl-PL"/>
        </w:rPr>
        <w:t>2. Wykonawca zapewnia ciągłość ochrony, terminową likwidację, poufność, zgodność dokumentów z umową i informowanie o okolicznościach mogących wpłynąć na wykonanie.</w:t>
      </w:r>
    </w:p>
    <w:p w14:paraId="23037618">
      <w:pPr>
        <w:jc w:val="both"/>
        <w:rPr>
          <w:lang w:val="pl-PL"/>
        </w:rPr>
      </w:pPr>
      <w:r>
        <w:rPr>
          <w:lang w:val="pl-PL"/>
        </w:rPr>
        <w:t>3. Naruszenie obowiązku informacyjnego może wywołać skutek tylko w zakresie, w jakim miało wpływ na powstanie, rozmiar lub ustalenie szkody, i tylko gdy dopuścił się go reprezentant określony w OPZ.</w:t>
      </w:r>
    </w:p>
    <w:p w14:paraId="22802664">
      <w:pPr>
        <w:pStyle w:val="2"/>
        <w:rPr>
          <w:lang w:val="pl-PL"/>
        </w:rPr>
      </w:pPr>
      <w:r>
        <w:rPr>
          <w:lang w:val="pl-PL"/>
        </w:rPr>
        <w:t>§ 9. Podwykonawcy, konsorcjum i koasekuracja</w:t>
      </w:r>
    </w:p>
    <w:p w14:paraId="38C9ECC3">
      <w:pPr>
        <w:jc w:val="both"/>
        <w:rPr>
          <w:lang w:val="pl-PL"/>
        </w:rPr>
      </w:pPr>
      <w:r>
        <w:rPr>
          <w:lang w:val="pl-PL"/>
        </w:rPr>
        <w:t>1. Wykonawca odpowiada za podmioty pomocnicze jak za własne działania. Powierzenie czynności nie może obejmować przyjęcia ryzyka przez podmiot bez zezwolenia.</w:t>
      </w:r>
    </w:p>
    <w:p w14:paraId="5C57571A">
      <w:pPr>
        <w:jc w:val="both"/>
        <w:rPr>
          <w:lang w:val="pl-PL"/>
        </w:rPr>
      </w:pPr>
      <w:r>
        <w:rPr>
          <w:lang w:val="pl-PL"/>
        </w:rPr>
        <w:t>2. W przypadku wykonawców wspólnych lider prowadzi rozliczenia, korespondencję i obsługę szkód. Zmiana uczestnika, udziału lub lidera wymaga zgody zamawiającego i spełnienia przesłanek PZP.</w:t>
      </w:r>
    </w:p>
    <w:p w14:paraId="7DEA04F6">
      <w:pPr>
        <w:pStyle w:val="2"/>
        <w:rPr>
          <w:lang w:val="pl-PL"/>
        </w:rPr>
      </w:pPr>
      <w:r>
        <w:rPr>
          <w:lang w:val="pl-PL"/>
        </w:rPr>
        <w:t>§ 10. Zmiany umowy</w:t>
      </w:r>
    </w:p>
    <w:p w14:paraId="59E4DFFC">
      <w:pPr>
        <w:jc w:val="both"/>
        <w:rPr>
          <w:lang w:val="pl-PL"/>
        </w:rPr>
      </w:pPr>
      <w:r>
        <w:rPr>
          <w:lang w:val="pl-PL"/>
        </w:rPr>
        <w:t>1. Dopuszcza się zmiany przewidziane w art. 455 PZP oraz opisane poniżej, bez zmiany ogólnego charakteru umowy:</w:t>
      </w:r>
    </w:p>
    <w:p w14:paraId="6709785B">
      <w:pPr>
        <w:pStyle w:val="23"/>
        <w:jc w:val="both"/>
        <w:rPr>
          <w:lang w:val="pl-PL"/>
        </w:rPr>
      </w:pPr>
      <w:r>
        <w:rPr>
          <w:lang w:val="pl-PL"/>
        </w:rPr>
        <w:t>aktualizacja sum, limitów, wykazów mienia, lokalizacji, cesji, ubezpieczonych i działalności;</w:t>
      </w:r>
    </w:p>
    <w:p w14:paraId="73DD6385">
      <w:pPr>
        <w:pStyle w:val="23"/>
        <w:jc w:val="both"/>
        <w:rPr>
          <w:lang w:val="pl-PL"/>
        </w:rPr>
      </w:pPr>
      <w:r>
        <w:rPr>
          <w:lang w:val="pl-PL"/>
        </w:rPr>
        <w:t>przeniesienie mienia, nabycie lub zbycie przedsiębiorstwa, reorganizacja, połączenie lub przekształcenie ARN;</w:t>
      </w:r>
    </w:p>
    <w:p w14:paraId="1B0575E7">
      <w:pPr>
        <w:pStyle w:val="23"/>
        <w:jc w:val="both"/>
        <w:rPr>
          <w:lang w:val="pl-PL"/>
        </w:rPr>
      </w:pPr>
      <w:r>
        <w:rPr>
          <w:lang w:val="pl-PL"/>
        </w:rPr>
        <w:t>zmiana terminów płatności, numerów rachunków, osób kontaktowych i procedur obsługi bez pogorszenia ochrony;</w:t>
      </w:r>
    </w:p>
    <w:p w14:paraId="2AA6C262">
      <w:pPr>
        <w:pStyle w:val="23"/>
        <w:jc w:val="both"/>
        <w:rPr>
          <w:lang w:val="pl-PL"/>
        </w:rPr>
      </w:pPr>
      <w:r>
        <w:rPr>
          <w:lang w:val="pl-PL"/>
        </w:rPr>
        <w:t>zmiana prawa wpływająca na obowiązkowe OC, podatki, daniny lub zakres wymagany ustawowo;</w:t>
      </w:r>
    </w:p>
    <w:p w14:paraId="27B2E1C2">
      <w:pPr>
        <w:pStyle w:val="23"/>
        <w:jc w:val="both"/>
        <w:rPr>
          <w:lang w:val="pl-PL"/>
        </w:rPr>
      </w:pPr>
      <w:r>
        <w:rPr>
          <w:lang w:val="pl-PL"/>
        </w:rPr>
        <w:t>zastąpienie postanowień korzystniejszymi dla zamawiającego bez dodatkowej składki;</w:t>
      </w:r>
    </w:p>
    <w:p w14:paraId="286EC065">
      <w:pPr>
        <w:pStyle w:val="23"/>
        <w:jc w:val="both"/>
        <w:rPr>
          <w:lang w:val="pl-PL"/>
        </w:rPr>
      </w:pPr>
      <w:r>
        <w:rPr>
          <w:lang w:val="pl-PL"/>
        </w:rPr>
        <w:t>zmiana wykonawcy lub uczestnika konsorcjum w przypadkach dopuszczonych PZP;</w:t>
      </w:r>
    </w:p>
    <w:p w14:paraId="170DEAAA">
      <w:pPr>
        <w:pStyle w:val="23"/>
        <w:jc w:val="both"/>
        <w:rPr>
          <w:lang w:val="pl-PL"/>
        </w:rPr>
      </w:pPr>
      <w:r>
        <w:rPr>
          <w:lang w:val="pl-PL"/>
        </w:rPr>
        <w:t>uruchomienie prawa opcji zgodnie z § 5.</w:t>
      </w:r>
    </w:p>
    <w:p w14:paraId="24E88D33">
      <w:pPr>
        <w:jc w:val="both"/>
        <w:rPr>
          <w:lang w:val="pl-PL"/>
        </w:rPr>
      </w:pPr>
      <w:r>
        <w:rPr>
          <w:lang w:val="pl-PL"/>
        </w:rPr>
        <w:t>2. Zmiany wymagają formy zgodnej z PZP i umową; aktualizacje czysto ewidencyjne, polisy, cesje i oświadczenia opcji mogą być dokonywane w formie dokumentowej, jeżeli nie zmieniają treści zobowiązania poza przewidzianym mechanizmem.</w:t>
      </w:r>
    </w:p>
    <w:p w14:paraId="2A1F0B40">
      <w:pPr>
        <w:pStyle w:val="2"/>
        <w:rPr>
          <w:lang w:val="pl-PL"/>
        </w:rPr>
      </w:pPr>
      <w:r>
        <w:rPr>
          <w:lang w:val="pl-PL"/>
        </w:rPr>
        <w:t>§ 11. Waloryzacja wynagrodzenia</w:t>
      </w:r>
    </w:p>
    <w:p w14:paraId="03206894">
      <w:pPr>
        <w:jc w:val="both"/>
        <w:rPr>
          <w:lang w:val="pl-PL"/>
        </w:rPr>
      </w:pPr>
      <w:r>
        <w:rPr>
          <w:lang w:val="pl-PL"/>
        </w:rPr>
        <w:t>1. Zgodnie z art. 439 PZP każda strona może, nie wcześniej niż po 12 miesiącach od rozpoczęcia ochrony, żądać zmiany niewymagalnej części składki podstawowej, jeżeli skumulowany wskaźnik cen towarów i usług konsumpcyjnych ogółem ogłaszany przez Prezesa GUS zmienił się o więcej niż 5% względem miesiąca składania ofert.</w:t>
      </w:r>
    </w:p>
    <w:p w14:paraId="65A1F367">
      <w:pPr>
        <w:jc w:val="both"/>
        <w:rPr>
          <w:lang w:val="pl-PL"/>
        </w:rPr>
      </w:pPr>
      <w:r>
        <w:rPr>
          <w:lang w:val="pl-PL"/>
        </w:rPr>
        <w:t>2. Zmiana odpowiada 50% części zmiany wskaźnika przekraczającej próg 5%, działa zarówno przy wzroście, jak i spadku kosztów i może być zastosowana jeden raz. Łączna zmiana nie przekroczy ±5% niewymagalnej części składki podstawowej.</w:t>
      </w:r>
    </w:p>
    <w:p w14:paraId="31EC2FD9">
      <w:pPr>
        <w:jc w:val="both"/>
        <w:rPr>
          <w:lang w:val="pl-PL"/>
        </w:rPr>
      </w:pPr>
      <w:r>
        <w:rPr>
          <w:lang w:val="pl-PL"/>
        </w:rPr>
        <w:t>3. Wniosek wymaga wykazania wpływu zmiany kosztów na realizację. Waloryzacja nie obejmuje składek obliczanych według stawek z oferty wskutek zmiany sum ani świadczeń już wykonanych. Jeżeli wynagrodzenie podwykonawcy podlega art. 439 ust. 5 PZP, wykonawca odpowiednio je zmieni.</w:t>
      </w:r>
    </w:p>
    <w:p w14:paraId="13A39017">
      <w:pPr>
        <w:jc w:val="both"/>
        <w:rPr>
          <w:lang w:val="pl-PL"/>
        </w:rPr>
      </w:pPr>
      <w:r>
        <w:rPr>
          <w:lang w:val="pl-PL"/>
        </w:rPr>
        <w:t>4. Niezależnie od powyższego strony dokonają zmiany wynagrodzenia w zakresie wymaganym art. 436 pkt 4 lit. b PZP, jeżeli zmiana stawki VAT lub podatku akcyzowego, wysokości minimalnego wynagrodzenia za pracę lub minimalnej stawki godzinowej, zasad podlegania ubezpieczeniom społecznym albo zdrowotnemu lub wysokości właściwych składek, bądź zasad gromadzenia i wysokości wpłat do PPK rzeczywiście wpłynie na koszt wykonania zamówienia i zostanie należycie wykazana.</w:t>
      </w:r>
    </w:p>
    <w:p w14:paraId="6378BAC4">
      <w:pPr>
        <w:pStyle w:val="2"/>
        <w:rPr>
          <w:lang w:val="pl-PL"/>
        </w:rPr>
      </w:pPr>
      <w:r>
        <w:rPr>
          <w:lang w:val="pl-PL"/>
        </w:rPr>
        <w:t>§ 12. Poufność i dane osobowe</w:t>
      </w:r>
    </w:p>
    <w:p w14:paraId="6CB2E303">
      <w:pPr>
        <w:jc w:val="both"/>
        <w:rPr>
          <w:lang w:val="pl-PL"/>
        </w:rPr>
      </w:pPr>
      <w:r>
        <w:rPr>
          <w:lang w:val="pl-PL"/>
        </w:rPr>
        <w:t>Strony przetwarzają dane zgodnie z RODO, PZP, przepisami o działalności ubezpieczeniowej i tajemnicy ubezpieczeniowej. Wykonawca stosuje odpowiednie zabezpieczenia i udostępnia dane wyłącznie osobom uprawnionym.</w:t>
      </w:r>
    </w:p>
    <w:p w14:paraId="1CA11976">
      <w:pPr>
        <w:pStyle w:val="2"/>
        <w:rPr>
          <w:lang w:val="pl-PL"/>
        </w:rPr>
      </w:pPr>
      <w:r>
        <w:rPr>
          <w:lang w:val="pl-PL"/>
        </w:rPr>
        <w:t>§ 13. Rozwiązanie umowy</w:t>
      </w:r>
    </w:p>
    <w:p w14:paraId="0360B278">
      <w:pPr>
        <w:jc w:val="both"/>
        <w:rPr>
          <w:lang w:val="pl-PL"/>
        </w:rPr>
      </w:pPr>
      <w:r>
        <w:rPr>
          <w:lang w:val="pl-PL"/>
        </w:rPr>
        <w:t>1. Umowa może zostać rozwiązana wyłącznie w przypadkach przewidzianych bezwzględnie obowiązującymi przepisami albo PZP. Szkodowość, zmiana taryfy lub ponowna ocena ryzyka nie stanowią podstawy wypowiedzenia.</w:t>
      </w:r>
    </w:p>
    <w:p w14:paraId="6FA34717">
      <w:pPr>
        <w:jc w:val="both"/>
        <w:rPr>
          <w:lang w:val="pl-PL"/>
        </w:rPr>
      </w:pPr>
      <w:r>
        <w:rPr>
          <w:lang w:val="pl-PL"/>
        </w:rPr>
        <w:t>2. W przypadku opóźnienia w zapłacie wykonawca przed zastosowaniem skutku wyznaczy dodatkowy termin co najmniej 14 dni i uprzedzi zamawiającego oraz brokera o konsekwencjach.</w:t>
      </w:r>
    </w:p>
    <w:p w14:paraId="3C954C76">
      <w:pPr>
        <w:jc w:val="both"/>
        <w:rPr>
          <w:lang w:val="pl-PL"/>
        </w:rPr>
      </w:pPr>
      <w:r>
        <w:rPr>
          <w:lang w:val="pl-PL"/>
        </w:rPr>
        <w:t>3. Zamawiający może odstąpić od umowy w przypadkach i terminach określonych w art. 456 PZP. Rozliczeniu podlega wówczas wyłącznie ochrona prawidłowo udzielona do dnia ustania umowy.</w:t>
      </w:r>
    </w:p>
    <w:p w14:paraId="5DD9D749">
      <w:pPr>
        <w:pStyle w:val="2"/>
        <w:rPr>
          <w:lang w:val="pl-PL"/>
        </w:rPr>
      </w:pPr>
      <w:r>
        <w:rPr>
          <w:lang w:val="pl-PL"/>
        </w:rPr>
        <w:t>§ 14. Postanowienia końcowe</w:t>
      </w:r>
    </w:p>
    <w:p w14:paraId="1971851D">
      <w:pPr>
        <w:jc w:val="both"/>
        <w:rPr>
          <w:lang w:val="pl-PL"/>
        </w:rPr>
      </w:pPr>
      <w:r>
        <w:rPr>
          <w:lang w:val="pl-PL"/>
        </w:rPr>
        <w:t>1. Strony nie przewidują kar umownych; ich łączna maksymalna wysokość wynosi 0 zł. Nie wyłącza to odpowiedzialności odszkodowawczej na zasadach ogólnych ani obowiązku spełnienia świadczeń ubezpieczeniowych.</w:t>
      </w:r>
    </w:p>
    <w:p w14:paraId="37BE9C49">
      <w:pPr>
        <w:jc w:val="both"/>
        <w:rPr>
          <w:lang w:val="pl-PL"/>
        </w:rPr>
      </w:pPr>
      <w:r>
        <w:rPr>
          <w:lang w:val="pl-PL"/>
        </w:rPr>
        <w:t>2. Prawem właściwym jest prawo polskie. Spory strony w pierwszej kolejności poddadzą negocjacjom; właściwy jest sąd miejscowo właściwy dla siedziby zamawiającego, o ile przepisy bezwzględne nie stanowią inaczej.</w:t>
      </w:r>
    </w:p>
    <w:p w14:paraId="1A3EEC97">
      <w:pPr>
        <w:jc w:val="both"/>
        <w:rPr>
          <w:lang w:val="pl-PL"/>
        </w:rPr>
      </w:pPr>
      <w:r>
        <w:rPr>
          <w:lang w:val="pl-PL"/>
        </w:rPr>
        <w:t>3. Umowę sporządzono w 2 egzemplarzach / zawarto w formie elektronicznej.</w:t>
      </w:r>
    </w:p>
    <w:p w14:paraId="2D551053">
      <w:pPr>
        <w:spacing w:after="320"/>
        <w:rPr>
          <w:lang w:val="pl-PL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5"/>
      </w:tblGrid>
      <w:tr w14:paraId="482C2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</w:tcPr>
          <w:p w14:paraId="036F8F17">
            <w:pPr>
              <w:jc w:val="center"/>
            </w:pPr>
            <w:r>
              <w:rPr>
                <w:lang w:val="pl-PL"/>
              </w:rPr>
              <w:br w:type="textWrapping"/>
            </w:r>
            <w:r>
              <w:rPr>
                <w:lang w:val="pl-PL"/>
              </w:rPr>
              <w:br w:type="textWrapping"/>
            </w:r>
            <w:r>
              <w:t>________________________________</w:t>
            </w:r>
          </w:p>
        </w:tc>
        <w:tc>
          <w:tcPr>
            <w:tcW w:w="4535" w:type="dxa"/>
          </w:tcPr>
          <w:p w14:paraId="06233591">
            <w:pPr>
              <w:jc w:val="center"/>
            </w:pPr>
            <w:r>
              <w:br w:type="textWrapping"/>
            </w:r>
            <w:r>
              <w:br w:type="textWrapping"/>
            </w:r>
            <w:r>
              <w:t>________________________________</w:t>
            </w:r>
          </w:p>
        </w:tc>
      </w:tr>
      <w:tr w14:paraId="341DE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</w:tcPr>
          <w:p w14:paraId="6400167A">
            <w:pPr>
              <w:jc w:val="center"/>
            </w:pPr>
            <w:r>
              <w:rPr>
                <w:b/>
                <w:sz w:val="16"/>
              </w:rPr>
              <w:t>ZAMAWIAJĄCY</w:t>
            </w:r>
          </w:p>
        </w:tc>
        <w:tc>
          <w:tcPr>
            <w:tcW w:w="4535" w:type="dxa"/>
          </w:tcPr>
          <w:p w14:paraId="0C69D095">
            <w:pPr>
              <w:jc w:val="center"/>
            </w:pPr>
            <w:r>
              <w:rPr>
                <w:b/>
                <w:sz w:val="16"/>
              </w:rPr>
              <w:t>WYKONAWCA</w:t>
            </w:r>
          </w:p>
        </w:tc>
      </w:tr>
    </w:tbl>
    <w:p w14:paraId="45CCDCEA"/>
    <w:sectPr>
      <w:headerReference r:id="rId5" w:type="default"/>
      <w:footerReference r:id="rId6" w:type="default"/>
      <w:pgSz w:w="11906" w:h="16838"/>
      <w:pgMar w:top="1020" w:right="964" w:bottom="964" w:left="1077" w:header="397" w:footer="39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CA983">
    <w:pPr>
      <w:pStyle w:val="18"/>
    </w:pPr>
    <w:r>
      <w:rPr>
        <w:color w:val="667085"/>
        <w:sz w:val="15"/>
      </w:rPr>
      <w:t xml:space="preserve">Projekt umowy ARN  •  strona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B39E9">
    <w:pPr>
      <w:pStyle w:val="19"/>
      <w:jc w:val="right"/>
    </w:pPr>
    <w:r>
      <w:rPr>
        <w:b/>
        <w:color w:val="667085"/>
        <w:sz w:val="15"/>
      </w:rPr>
      <w:t>ARN  |  PROGRAM UBEZPIECZENIA 2026–2028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03F5"/>
    <w:rsid w:val="00265239"/>
    <w:rsid w:val="0029639D"/>
    <w:rsid w:val="002F1D8A"/>
    <w:rsid w:val="00326F90"/>
    <w:rsid w:val="006509CB"/>
    <w:rsid w:val="008F6CB0"/>
    <w:rsid w:val="00AA1D8D"/>
    <w:rsid w:val="00B47730"/>
    <w:rsid w:val="00CB0664"/>
    <w:rsid w:val="00CB4F4E"/>
    <w:rsid w:val="00F235EB"/>
    <w:rsid w:val="00FC693F"/>
    <w:rsid w:val="10B1667B"/>
    <w:rsid w:val="378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90" w:line="259" w:lineRule="auto"/>
    </w:pPr>
    <w:rPr>
      <w:rFonts w:ascii="Calibri" w:hAnsi="Calibri" w:eastAsiaTheme="minorEastAsia" w:cstheme="minorBidi"/>
      <w:color w:val="1F2933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200" w:after="80"/>
      <w:outlineLvl w:val="0"/>
    </w:pPr>
    <w:rPr>
      <w:rFonts w:asciiTheme="majorHAnsi" w:hAnsiTheme="majorHAnsi" w:eastAsiaTheme="majorEastAsia" w:cstheme="majorBidi"/>
      <w:b/>
      <w:bCs/>
      <w:color w:val="17365D"/>
      <w:sz w:val="31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140" w:after="80"/>
      <w:outlineLvl w:val="1"/>
    </w:pPr>
    <w:rPr>
      <w:rFonts w:asciiTheme="majorHAnsi" w:hAnsiTheme="majorHAnsi" w:eastAsiaTheme="majorEastAsia" w:cstheme="majorBidi"/>
      <w:b/>
      <w:bCs/>
      <w:color w:val="167C80"/>
      <w:sz w:val="25"/>
      <w:szCs w:val="26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140" w:after="80"/>
      <w:outlineLvl w:val="2"/>
    </w:pPr>
    <w:rPr>
      <w:rFonts w:asciiTheme="majorHAnsi" w:hAnsiTheme="majorHAnsi" w:eastAsiaTheme="majorEastAsia" w:cstheme="majorBidi"/>
      <w:b/>
      <w:bCs/>
      <w:color w:val="17365D"/>
      <w:sz w:val="21"/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spacing w:after="50"/>
      <w:ind w:left="340" w:hanging="142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spacing w:after="50"/>
      <w:ind w:left="340" w:hanging="142"/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Nagłówek Znak"/>
    <w:basedOn w:val="11"/>
    <w:link w:val="19"/>
    <w:qFormat/>
    <w:uiPriority w:val="99"/>
  </w:style>
  <w:style w:type="character" w:customStyle="1" w:styleId="136">
    <w:name w:val="Stopka Znak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główek 2 Znak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główek 3 Znak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ytuł Znak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tytuł Znak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ekst podstawowy Znak"/>
    <w:basedOn w:val="11"/>
    <w:link w:val="13"/>
    <w:qFormat/>
    <w:uiPriority w:val="99"/>
  </w:style>
  <w:style w:type="character" w:customStyle="1" w:styleId="145">
    <w:name w:val="Tekst podstawowy 2 Znak"/>
    <w:basedOn w:val="11"/>
    <w:link w:val="14"/>
    <w:qFormat/>
    <w:uiPriority w:val="99"/>
  </w:style>
  <w:style w:type="character" w:customStyle="1" w:styleId="146">
    <w:name w:val="Tekst podstawowy 3 Znak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kst makra Znak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ytat Znak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główek 9 Znak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Cytat intensywny Znak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1488</Words>
  <Characters>9554</Characters>
  <Lines>79</Lines>
  <Paragraphs>22</Paragraphs>
  <TotalTime>12</TotalTime>
  <ScaleCrop>false</ScaleCrop>
  <LinksUpToDate>false</LinksUpToDate>
  <CharactersWithSpaces>10941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Agencja Rozwoju Nysy Sp. z o.o. / LG BROKER</dc:creator>
  <dc:description>generated by python-docx</dc:description>
  <cp:keywords>ARN, PZP, ubezpieczenia, SWZ, OPZ, 2026-2028</cp:keywords>
  <cp:lastModifiedBy>Joanna Sznajder</cp:lastModifiedBy>
  <dcterms:modified xsi:type="dcterms:W3CDTF">2026-09-01T15:40:43Z</dcterms:modified>
  <dc:subject>Kompleksowe ubezpieczenie mienia i odpowiedzialności cywilnej Agencji Rozwoju Nysy Sp. z o.o.</dc:subject>
  <dc:title>Projekt umowy ARN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eyJoZGlkIjoiZTUyMWYxYTViNjM1NmQyNjI2ZWI1M2RjNjU0YjExZmIiLCJ1c2VySWQiOiIxNjkwNzA2NjgifQ==</vt:lpwstr>
  </property>
  <property fmtid="{D5CDD505-2E9C-101B-9397-08002B2CF9AE}" pid="3" name="KSOProductBuildVer">
    <vt:lpwstr>1045-12.1.0.28032</vt:lpwstr>
  </property>
  <property fmtid="{D5CDD505-2E9C-101B-9397-08002B2CF9AE}" pid="4" name="ICV">
    <vt:lpwstr>BB018C185B194F88AC996D8B1F6FEFB0_12</vt:lpwstr>
  </property>
</Properties>
</file>