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429" w:rsidRDefault="00D03429">
      <w:pPr>
        <w:pBdr>
          <w:bottom w:val="single" w:sz="6" w:space="1" w:color="1F5C99"/>
        </w:pBdr>
        <w:spacing w:after="400"/>
      </w:pPr>
    </w:p>
    <w:p w:rsidR="00DC731C" w:rsidRDefault="00EA58EA">
      <w:pPr>
        <w:pBdr>
          <w:bottom w:val="single" w:sz="6" w:space="1" w:color="1F5C99"/>
        </w:pBdr>
        <w:spacing w:after="400"/>
      </w:pPr>
      <w:r>
        <w:t xml:space="preserve">Opis Przedmiotu Zamówienia Część III - </w:t>
      </w:r>
      <w:r w:rsidR="004A0A5F">
        <w:t>d</w:t>
      </w:r>
      <w:r w:rsidR="002312F1">
        <w:t xml:space="preserve">ostawa sprzętu do odseparowanej </w:t>
      </w:r>
      <w:r w:rsidR="002312F1" w:rsidRPr="002312F1">
        <w:t>bezpieczn</w:t>
      </w:r>
      <w:r w:rsidR="002312F1">
        <w:t>ej</w:t>
      </w:r>
      <w:r w:rsidR="002312F1" w:rsidRPr="002312F1">
        <w:t xml:space="preserve"> sieci WIFI na sali konferencyjnej UG Szczecinek</w:t>
      </w:r>
    </w:p>
    <w:p w:rsidR="00DC731C" w:rsidRDefault="0030701E">
      <w:pPr>
        <w:pStyle w:val="Nagwek2"/>
      </w:pPr>
      <w:r>
        <w:t>1. Przedmiot zamówienia</w:t>
      </w:r>
    </w:p>
    <w:p w:rsidR="00DC731C" w:rsidRDefault="0030701E">
      <w:pPr>
        <w:spacing w:before="80" w:after="80"/>
      </w:pPr>
      <w:r>
        <w:t>Przedmiotem zamówienia jest dostawa fabrycznie nowych urządzeń sieciowych zgodnych z poniższymi wymaganiami technicznymi. Wszystkie dostarczone urządzenia muszą być fabrycznie nowe, nieużywane, wolne od wad fizycznych i prawnych</w:t>
      </w:r>
      <w:r w:rsidR="000A4352">
        <w:t>.</w:t>
      </w:r>
    </w:p>
    <w:p w:rsidR="00DC731C" w:rsidRDefault="00DC731C">
      <w:pPr>
        <w:spacing w:before="60" w:after="60"/>
      </w:pPr>
    </w:p>
    <w:p w:rsidR="00DC731C" w:rsidRDefault="0030701E">
      <w:pPr>
        <w:pStyle w:val="Nagwek2"/>
      </w:pPr>
      <w:r>
        <w:t>2. Wymagania ogólne</w:t>
      </w:r>
      <w:bookmarkStart w:id="0" w:name="_GoBack"/>
      <w:bookmarkEnd w:id="0"/>
    </w:p>
    <w:p w:rsidR="00DC731C" w:rsidRDefault="0030701E">
      <w:pPr>
        <w:spacing w:before="80" w:after="80"/>
      </w:pPr>
      <w:r>
        <w:t>Wykonawca zobowiązany jest do:</w:t>
      </w:r>
    </w:p>
    <w:p w:rsidR="00DC731C" w:rsidRDefault="0030701E">
      <w:pPr>
        <w:spacing w:before="80" w:after="80"/>
      </w:pPr>
      <w:r>
        <w:t>- dostarczenia urządzeń zgodnych ze wskazanymi modelami lub równoważnych o nie gorszych parametrach technicznych,</w:t>
      </w:r>
    </w:p>
    <w:p w:rsidR="00DC731C" w:rsidRDefault="0030701E">
      <w:pPr>
        <w:spacing w:before="80" w:after="80"/>
      </w:pPr>
      <w:r>
        <w:t>- dostarczenia oryginalnego opakowania producenta wraz z akcesoriami,</w:t>
      </w:r>
    </w:p>
    <w:p w:rsidR="00DC731C" w:rsidRDefault="0030701E">
      <w:pPr>
        <w:spacing w:before="80" w:after="80"/>
      </w:pPr>
      <w:r>
        <w:t>- zapewnienia gwarancji producenta na dostarczone urządzenia,</w:t>
      </w:r>
    </w:p>
    <w:p w:rsidR="00DC731C" w:rsidRDefault="0030701E">
      <w:pPr>
        <w:spacing w:before="80" w:after="80"/>
      </w:pPr>
      <w:r>
        <w:t>- dostarczenia dokumentacji technicznej i instrukcji obsługi (dopuszczalna forma elektroniczna).</w:t>
      </w:r>
    </w:p>
    <w:p w:rsidR="00DC731C" w:rsidRDefault="00DC731C">
      <w:pPr>
        <w:spacing w:before="60" w:after="60"/>
      </w:pPr>
    </w:p>
    <w:p w:rsidR="00DC731C" w:rsidRDefault="0030701E">
      <w:pPr>
        <w:pStyle w:val="Nagwek2"/>
      </w:pPr>
      <w:r>
        <w:t>3. Wykaz urządzeń</w:t>
      </w:r>
    </w:p>
    <w:p w:rsidR="00DC731C" w:rsidRDefault="00DC731C">
      <w:pPr>
        <w:spacing w:before="60" w:after="60"/>
      </w:pPr>
    </w:p>
    <w:p w:rsidR="00DC731C" w:rsidRDefault="0030701E">
      <w:pPr>
        <w:pStyle w:val="Nagwek1"/>
      </w:pPr>
      <w:r>
        <w:t>Pozycja 1: Bramka sieciowa</w:t>
      </w:r>
      <w:r w:rsidR="000A4352">
        <w:t>/router</w:t>
      </w:r>
      <w:r>
        <w:t xml:space="preserve"> </w:t>
      </w:r>
    </w:p>
    <w:p w:rsidR="00DC731C" w:rsidRDefault="0030701E">
      <w:pPr>
        <w:spacing w:before="80" w:after="80"/>
      </w:pPr>
      <w:r>
        <w:t>Ilość: 1 szt.</w:t>
      </w:r>
    </w:p>
    <w:p w:rsidR="00DC731C" w:rsidRDefault="00DC731C">
      <w:pPr>
        <w:spacing w:before="60" w:after="60"/>
      </w:pPr>
    </w:p>
    <w:tbl>
      <w:tblPr>
        <w:tblW w:w="916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600"/>
        <w:gridCol w:w="5560"/>
      </w:tblGrid>
      <w:tr w:rsidR="00DC731C">
        <w:tc>
          <w:tcPr>
            <w:tcW w:w="36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  <w:color w:val="FFFFFF"/>
              </w:rPr>
              <w:t>Parametr</w:t>
            </w:r>
          </w:p>
        </w:tc>
        <w:tc>
          <w:tcPr>
            <w:tcW w:w="556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  <w:color w:val="FFFFFF"/>
              </w:rPr>
              <w:t>Wymagana wartość / opis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Typ urządzenia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Kompaktowa bramka chmurowa (Cloud </w:t>
            </w:r>
            <w:proofErr w:type="spellStart"/>
            <w:r>
              <w:t>Gateway</w:t>
            </w:r>
            <w:proofErr w:type="spellEnd"/>
            <w:r>
              <w:t>) — wersja bez wbudowanego dysku SSD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Procesor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Czterordzeniowy ARM Cortex-A53, 1,5 </w:t>
            </w:r>
            <w:proofErr w:type="spellStart"/>
            <w:r>
              <w:t>GHz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Pamięć RAM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3 GB DDR4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Pojemność na dysk </w:t>
            </w:r>
            <w:proofErr w:type="spellStart"/>
            <w:r>
              <w:rPr>
                <w:b/>
                <w:bCs/>
              </w:rPr>
              <w:t>NVMe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Gniazdo M.2 — </w:t>
            </w:r>
            <w:proofErr w:type="spellStart"/>
            <w:r>
              <w:t>obsługa</w:t>
            </w:r>
            <w:proofErr w:type="spellEnd"/>
            <w:r>
              <w:t xml:space="preserve"> dysków </w:t>
            </w:r>
            <w:proofErr w:type="spellStart"/>
            <w:r>
              <w:t>NVMe</w:t>
            </w:r>
            <w:proofErr w:type="spellEnd"/>
            <w:r>
              <w:t xml:space="preserve"> SSD do 2 TB (wersja NS bez dysku)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Porty LAN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4 × 2,5 </w:t>
            </w:r>
            <w:proofErr w:type="spellStart"/>
            <w:r>
              <w:t>GbE</w:t>
            </w:r>
            <w:proofErr w:type="spellEnd"/>
            <w:r>
              <w:t xml:space="preserve"> RJ45 (10/100/1000/2500 </w:t>
            </w:r>
            <w:proofErr w:type="spellStart"/>
            <w:r>
              <w:t>Mbps</w:t>
            </w:r>
            <w:proofErr w:type="spellEnd"/>
            <w:r>
              <w:t>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Port WAN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1 × 2,5 </w:t>
            </w:r>
            <w:proofErr w:type="spellStart"/>
            <w:r>
              <w:t>GbE</w:t>
            </w:r>
            <w:proofErr w:type="spellEnd"/>
            <w:r>
              <w:t xml:space="preserve"> RJ45 (domyślny WAN); dowolny port LAN konfigurowalny jako WAN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Maks. liczba portów WAN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4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Przepustowość IDS/IPS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2,3 </w:t>
            </w:r>
            <w:proofErr w:type="spellStart"/>
            <w:r>
              <w:t>Gbps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Obsługiwane urządzenia </w:t>
            </w:r>
            <w:proofErr w:type="spellStart"/>
            <w:r>
              <w:rPr>
                <w:b/>
                <w:bCs/>
              </w:rPr>
              <w:t>UniFi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30+ urządzeń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lastRenderedPageBreak/>
              <w:t>Maks. liczba klientów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300+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Zasilanie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USB </w:t>
            </w:r>
            <w:proofErr w:type="spellStart"/>
            <w:r>
              <w:t>Type-C</w:t>
            </w:r>
            <w:proofErr w:type="spellEnd"/>
            <w:r>
              <w:t>, 5V DC / 5A (zasilacz w zestawie)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Zakres napięć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100–240 V AC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Maks. pobór mocy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16,1 W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Wyświetlacz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Wyświetlacz statusu OLED 0,96"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Obudowa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 w:rsidP="000A4352">
            <w:r>
              <w:t xml:space="preserve">Poliwęglan, kolor </w:t>
            </w:r>
            <w:r w:rsidR="000A4352">
              <w:t>jasny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Wymiary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0A4352">
            <w:r>
              <w:t xml:space="preserve">nie większe niż </w:t>
            </w:r>
            <w:r w:rsidR="0030701E">
              <w:t>141,8 × 127,6 × 30 mm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Masa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0A4352">
            <w:r>
              <w:t xml:space="preserve"> </w:t>
            </w:r>
            <w:r w:rsidR="0030701E">
              <w:t>460 g (bez dysku SSD)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Temperatura pracy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-10 do +40°C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Wilgotność pracy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5–95% (bez kondensacji)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VPN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t>Site</w:t>
            </w:r>
            <w:proofErr w:type="spellEnd"/>
            <w:r>
              <w:t xml:space="preserve"> </w:t>
            </w:r>
            <w:proofErr w:type="spellStart"/>
            <w:r>
              <w:t>Magic</w:t>
            </w:r>
            <w:proofErr w:type="spellEnd"/>
            <w:r>
              <w:t xml:space="preserve">, </w:t>
            </w:r>
            <w:proofErr w:type="spellStart"/>
            <w:r>
              <w:t>IPsec</w:t>
            </w:r>
            <w:proofErr w:type="spellEnd"/>
            <w:r>
              <w:t xml:space="preserve">, </w:t>
            </w:r>
            <w:proofErr w:type="spellStart"/>
            <w:r>
              <w:t>OpenVPN</w:t>
            </w:r>
            <w:proofErr w:type="spellEnd"/>
            <w:r>
              <w:t xml:space="preserve">, </w:t>
            </w:r>
            <w:proofErr w:type="spellStart"/>
            <w:r>
              <w:t>WireGuard</w:t>
            </w:r>
            <w:proofErr w:type="spellEnd"/>
            <w:r>
              <w:t xml:space="preserve">, L2TP, </w:t>
            </w:r>
            <w:proofErr w:type="spellStart"/>
            <w:r>
              <w:t>Teleport</w:t>
            </w:r>
            <w:proofErr w:type="spellEnd"/>
            <w:r>
              <w:t xml:space="preserve">, </w:t>
            </w:r>
            <w:proofErr w:type="spellStart"/>
            <w:r>
              <w:t>Identity</w:t>
            </w:r>
            <w:proofErr w:type="spellEnd"/>
            <w:r>
              <w:t xml:space="preserve"> </w:t>
            </w:r>
            <w:proofErr w:type="spellStart"/>
            <w:r>
              <w:t>Endpoint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Bezpieczeństwo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Zapora stanowa, zapora L7 (</w:t>
            </w:r>
            <w:proofErr w:type="spellStart"/>
            <w:r>
              <w:t>application-aware</w:t>
            </w:r>
            <w:proofErr w:type="spellEnd"/>
            <w:r>
              <w:t>), IPS/IDS, DPI, filtrowanie treści, blokowanie reklam, segmentacja VLAN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rPr>
                <w:b/>
                <w:bCs/>
              </w:rPr>
              <w:t>Routing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OSPF, </w:t>
            </w:r>
            <w:proofErr w:type="spellStart"/>
            <w:r>
              <w:t>wielosieciowe</w:t>
            </w:r>
            <w:proofErr w:type="spellEnd"/>
            <w:r>
              <w:t xml:space="preserve"> </w:t>
            </w:r>
            <w:proofErr w:type="spellStart"/>
            <w:r>
              <w:t>load</w:t>
            </w:r>
            <w:proofErr w:type="spellEnd"/>
            <w:r>
              <w:t xml:space="preserve"> </w:t>
            </w:r>
            <w:proofErr w:type="spellStart"/>
            <w:r>
              <w:t>balancing</w:t>
            </w:r>
            <w:proofErr w:type="spellEnd"/>
            <w:r>
              <w:t xml:space="preserve">, </w:t>
            </w:r>
            <w:proofErr w:type="spellStart"/>
            <w:r>
              <w:t>Policy-based</w:t>
            </w:r>
            <w:proofErr w:type="spellEnd"/>
            <w:r>
              <w:t xml:space="preserve"> </w:t>
            </w:r>
            <w:proofErr w:type="spellStart"/>
            <w:r>
              <w:t>routing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Redundancja WAN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t>Failover</w:t>
            </w:r>
            <w:proofErr w:type="spellEnd"/>
            <w:r>
              <w:t xml:space="preserve"> i </w:t>
            </w:r>
            <w:proofErr w:type="spellStart"/>
            <w:r>
              <w:t>load</w:t>
            </w:r>
            <w:proofErr w:type="spellEnd"/>
            <w:r>
              <w:t xml:space="preserve"> </w:t>
            </w:r>
            <w:proofErr w:type="spellStart"/>
            <w:r>
              <w:t>balancing</w:t>
            </w:r>
            <w:proofErr w:type="spellEnd"/>
            <w:r>
              <w:t xml:space="preserve"> (w tym </w:t>
            </w:r>
            <w:proofErr w:type="spellStart"/>
            <w:r>
              <w:t>obsługa</w:t>
            </w:r>
            <w:proofErr w:type="spellEnd"/>
            <w:r>
              <w:t xml:space="preserve"> kopii zapasowej LTE)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Zarządzanie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t>UniFi</w:t>
            </w:r>
            <w:proofErr w:type="spellEnd"/>
            <w:r>
              <w:t xml:space="preserve"> Network </w:t>
            </w:r>
            <w:proofErr w:type="spellStart"/>
            <w:r>
              <w:t>Application</w:t>
            </w:r>
            <w:proofErr w:type="spellEnd"/>
            <w:r>
              <w:t xml:space="preserve"> (wersja 8.0 i nowsza), </w:t>
            </w:r>
            <w:proofErr w:type="spellStart"/>
            <w:r>
              <w:t>Bluetooth</w:t>
            </w:r>
            <w:proofErr w:type="spellEnd"/>
            <w:r>
              <w:t>, Ethernet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Certyfikaty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CE, FCC, IC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Zgodność NDAA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Tak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Gwarancja producenta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Min. 12 miesięcy</w:t>
            </w:r>
          </w:p>
        </w:tc>
      </w:tr>
    </w:tbl>
    <w:p w:rsidR="00DC731C" w:rsidRDefault="00DC731C">
      <w:pPr>
        <w:spacing w:before="60" w:after="60"/>
      </w:pPr>
    </w:p>
    <w:p w:rsidR="00DC731C" w:rsidRDefault="0030701E">
      <w:pPr>
        <w:pStyle w:val="Nagwek1"/>
      </w:pPr>
      <w:r>
        <w:t xml:space="preserve">Pozycja 2: Punkt dostępowy </w:t>
      </w:r>
      <w:proofErr w:type="spellStart"/>
      <w:r>
        <w:t>WiFi</w:t>
      </w:r>
      <w:proofErr w:type="spellEnd"/>
      <w:r>
        <w:t xml:space="preserve"> 7 </w:t>
      </w:r>
    </w:p>
    <w:p w:rsidR="00DC731C" w:rsidRDefault="0030701E">
      <w:pPr>
        <w:spacing w:before="80" w:after="80"/>
      </w:pPr>
      <w:r>
        <w:t>Ilość: 1 szt.</w:t>
      </w:r>
    </w:p>
    <w:p w:rsidR="00DC731C" w:rsidRDefault="00DC731C">
      <w:pPr>
        <w:spacing w:before="60" w:after="60"/>
      </w:pPr>
    </w:p>
    <w:tbl>
      <w:tblPr>
        <w:tblW w:w="916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600"/>
        <w:gridCol w:w="5560"/>
      </w:tblGrid>
      <w:tr w:rsidR="00DC731C">
        <w:tc>
          <w:tcPr>
            <w:tcW w:w="36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  <w:color w:val="FFFFFF"/>
              </w:rPr>
              <w:t>Parametr</w:t>
            </w:r>
          </w:p>
        </w:tc>
        <w:tc>
          <w:tcPr>
            <w:tcW w:w="556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  <w:color w:val="FFFFFF"/>
              </w:rPr>
              <w:t>Wymagana wartość / opis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Typ urządzenia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Sufitowy/ścienny punkt dostępowy </w:t>
            </w:r>
            <w:proofErr w:type="spellStart"/>
            <w:r>
              <w:t>WiFi</w:t>
            </w:r>
            <w:proofErr w:type="spellEnd"/>
            <w:r>
              <w:t xml:space="preserve"> 7 do użytku wewnętrznego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Standard </w:t>
            </w:r>
            <w:proofErr w:type="spellStart"/>
            <w:r>
              <w:rPr>
                <w:b/>
                <w:bCs/>
              </w:rPr>
              <w:t>WiFi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t>WiFi</w:t>
            </w:r>
            <w:proofErr w:type="spellEnd"/>
            <w:r>
              <w:t xml:space="preserve"> 7 (IEEE 802.11be) + wsteczna zgodność z </w:t>
            </w:r>
            <w:proofErr w:type="spellStart"/>
            <w:r>
              <w:t>WiFi</w:t>
            </w:r>
            <w:proofErr w:type="spellEnd"/>
            <w:r>
              <w:t xml:space="preserve"> 6/6E, 5, 4 (802.11a/b/g/n/</w:t>
            </w:r>
            <w:proofErr w:type="spellStart"/>
            <w:r>
              <w:t>ac</w:t>
            </w:r>
            <w:proofErr w:type="spellEnd"/>
            <w:r>
              <w:t>/</w:t>
            </w:r>
            <w:proofErr w:type="spellStart"/>
            <w:r>
              <w:t>ax</w:t>
            </w:r>
            <w:proofErr w:type="spellEnd"/>
            <w:r>
              <w:t>/be)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Liczba strumieni przestrzennych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6 (2×2 na każde pasmo)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Pasma radiowe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Trójpasmowy: 2,4 </w:t>
            </w:r>
            <w:proofErr w:type="spellStart"/>
            <w:r>
              <w:t>GHz</w:t>
            </w:r>
            <w:proofErr w:type="spellEnd"/>
            <w:r>
              <w:t xml:space="preserve"> + 5 </w:t>
            </w:r>
            <w:proofErr w:type="spellStart"/>
            <w:r>
              <w:t>GHz</w:t>
            </w:r>
            <w:proofErr w:type="spellEnd"/>
            <w:r>
              <w:t xml:space="preserve"> + 6 </w:t>
            </w:r>
            <w:proofErr w:type="spellStart"/>
            <w:r>
              <w:t>GHz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MIMO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2×2 DL/UL MU-MIMO na każde pasmo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lastRenderedPageBreak/>
              <w:t xml:space="preserve">Maks. przepustowość 6 </w:t>
            </w:r>
            <w:proofErr w:type="spellStart"/>
            <w:r>
              <w:rPr>
                <w:b/>
                <w:bCs/>
              </w:rPr>
              <w:t>GHz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5,8 </w:t>
            </w:r>
            <w:proofErr w:type="spellStart"/>
            <w:r>
              <w:t>Gbps</w:t>
            </w:r>
            <w:proofErr w:type="spellEnd"/>
            <w:r>
              <w:t xml:space="preserve"> (BW320)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Maks. przepustowość 5 </w:t>
            </w:r>
            <w:proofErr w:type="spellStart"/>
            <w:r>
              <w:rPr>
                <w:b/>
                <w:bCs/>
              </w:rPr>
              <w:t>GHz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4,3 </w:t>
            </w:r>
            <w:proofErr w:type="spellStart"/>
            <w:r>
              <w:t>Gbps</w:t>
            </w:r>
            <w:proofErr w:type="spellEnd"/>
            <w:r>
              <w:t xml:space="preserve"> (BW240)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Maks. przepustowość 2,4 </w:t>
            </w:r>
            <w:proofErr w:type="spellStart"/>
            <w:r>
              <w:rPr>
                <w:b/>
                <w:bCs/>
              </w:rPr>
              <w:t>GHz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688 </w:t>
            </w:r>
            <w:proofErr w:type="spellStart"/>
            <w:r>
              <w:t>Mbps</w:t>
            </w:r>
            <w:proofErr w:type="spellEnd"/>
            <w:r>
              <w:t xml:space="preserve"> (BW40)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Łączna przepustowość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Do 9,3 </w:t>
            </w:r>
            <w:proofErr w:type="spellStart"/>
            <w:r>
              <w:t>Gbps</w:t>
            </w:r>
            <w:proofErr w:type="spellEnd"/>
            <w:r>
              <w:t xml:space="preserve"> (sumarycznie)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Szerokości kanałów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HT 20/40, VHT 20/40/80/160, HE 20/40/80/160, EHT 20/40/80/160/240/320 </w:t>
            </w:r>
            <w:proofErr w:type="spellStart"/>
            <w:r>
              <w:t>MHz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Zysk anteny 6 </w:t>
            </w:r>
            <w:proofErr w:type="spellStart"/>
            <w:r>
              <w:rPr>
                <w:b/>
                <w:bCs/>
              </w:rPr>
              <w:t>GHz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5,8 </w:t>
            </w:r>
            <w:proofErr w:type="spellStart"/>
            <w:r>
              <w:t>dBi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Zysk anteny 5 </w:t>
            </w:r>
            <w:proofErr w:type="spellStart"/>
            <w:r>
              <w:rPr>
                <w:b/>
                <w:bCs/>
              </w:rPr>
              <w:t>GHz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6,0 </w:t>
            </w:r>
            <w:proofErr w:type="spellStart"/>
            <w:r>
              <w:t>dBi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Zysk anteny 2,4 </w:t>
            </w:r>
            <w:proofErr w:type="spellStart"/>
            <w:r>
              <w:rPr>
                <w:b/>
                <w:bCs/>
              </w:rPr>
              <w:t>GHz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4,0 </w:t>
            </w:r>
            <w:proofErr w:type="spellStart"/>
            <w:r>
              <w:t>dBi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Maks. moc TX 6 </w:t>
            </w:r>
            <w:proofErr w:type="spellStart"/>
            <w:r>
              <w:rPr>
                <w:b/>
                <w:bCs/>
              </w:rPr>
              <w:t>GHz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23 </w:t>
            </w:r>
            <w:proofErr w:type="spellStart"/>
            <w:r>
              <w:t>dBm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Maks. moc TX 5 </w:t>
            </w:r>
            <w:proofErr w:type="spellStart"/>
            <w:r>
              <w:rPr>
                <w:b/>
                <w:bCs/>
              </w:rPr>
              <w:t>GHz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26 </w:t>
            </w:r>
            <w:proofErr w:type="spellStart"/>
            <w:r>
              <w:t>dBm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Maks. moc TX 2,4 </w:t>
            </w:r>
            <w:proofErr w:type="spellStart"/>
            <w:r>
              <w:rPr>
                <w:b/>
                <w:bCs/>
              </w:rPr>
              <w:t>GHz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23 </w:t>
            </w:r>
            <w:proofErr w:type="spellStart"/>
            <w:r>
              <w:t>dBm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Port </w:t>
            </w:r>
            <w:proofErr w:type="spellStart"/>
            <w:r>
              <w:rPr>
                <w:b/>
                <w:bCs/>
              </w:rPr>
              <w:t>uplink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1 × 1/2,5 </w:t>
            </w:r>
            <w:proofErr w:type="spellStart"/>
            <w:r>
              <w:t>GbE</w:t>
            </w:r>
            <w:proofErr w:type="spellEnd"/>
            <w:r>
              <w:t xml:space="preserve"> RJ45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Zasilanie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t>PoE</w:t>
            </w:r>
            <w:proofErr w:type="spellEnd"/>
            <w:r>
              <w:t>+ (802.3at), 44–57 V DC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Maks. pobór mocy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21 W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Zasięg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Do 140 </w:t>
            </w:r>
            <w:proofErr w:type="spellStart"/>
            <w:r>
              <w:t>m²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Maks. liczba klientów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300+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Maks. BSSID na radio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8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Montaż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 w:rsidP="000A4352">
            <w:r>
              <w:t>Sufit lub ściana (uchwyt w zestawie)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Obudowa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Poliwęglan i metal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Wymiary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0A4352">
            <w:r>
              <w:t xml:space="preserve"> </w:t>
            </w:r>
            <w:r w:rsidR="0030701E">
              <w:t>206 × 46 mm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Masa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680 g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Temperatura pracy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-30 do +40°C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Wilgotność pracy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5–95% (bez kondensacji)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Funkcje bezprzewodowe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t>Mesh</w:t>
            </w:r>
            <w:proofErr w:type="spellEnd"/>
            <w:r>
              <w:t xml:space="preserve">, Band </w:t>
            </w:r>
            <w:proofErr w:type="spellStart"/>
            <w:r>
              <w:t>Steering</w:t>
            </w:r>
            <w:proofErr w:type="spellEnd"/>
            <w:r>
              <w:t xml:space="preserve">, 802.11r Fast </w:t>
            </w:r>
            <w:proofErr w:type="spellStart"/>
            <w:r>
              <w:t>Roaming</w:t>
            </w:r>
            <w:proofErr w:type="spellEnd"/>
            <w:r>
              <w:t xml:space="preserve">, 802.11k RRM, 802.11v BSS </w:t>
            </w:r>
            <w:proofErr w:type="spellStart"/>
            <w:r>
              <w:t>Transition</w:t>
            </w:r>
            <w:proofErr w:type="spellEnd"/>
            <w:r>
              <w:t xml:space="preserve">, MLO (Multi-Link </w:t>
            </w:r>
            <w:proofErr w:type="spellStart"/>
            <w:r>
              <w:t>Operation</w:t>
            </w:r>
            <w:proofErr w:type="spellEnd"/>
            <w:r>
              <w:t xml:space="preserve">), PPSK, </w:t>
            </w:r>
            <w:proofErr w:type="spellStart"/>
            <w:r>
              <w:t>Captive</w:t>
            </w:r>
            <w:proofErr w:type="spellEnd"/>
            <w:r>
              <w:t xml:space="preserve"> Portal, RADIUS/</w:t>
            </w:r>
            <w:proofErr w:type="spellStart"/>
            <w:r>
              <w:t>RadSec</w:t>
            </w:r>
            <w:proofErr w:type="spellEnd"/>
            <w:r>
              <w:t>, VLAN dynamiczne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Zarządzanie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t>UniFi</w:t>
            </w:r>
            <w:proofErr w:type="spellEnd"/>
            <w:r>
              <w:t xml:space="preserve"> Network </w:t>
            </w:r>
            <w:proofErr w:type="spellStart"/>
            <w:r>
              <w:t>Application</w:t>
            </w:r>
            <w:proofErr w:type="spellEnd"/>
            <w:r>
              <w:t xml:space="preserve"> v8.0.28 lub nowszy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Certyfikaty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CE, FCC, IC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Zgodność NDAA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Tak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Gwarancja producenta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Min. 12 miesięcy</w:t>
            </w:r>
          </w:p>
        </w:tc>
      </w:tr>
    </w:tbl>
    <w:p w:rsidR="00DC731C" w:rsidRDefault="00DC731C">
      <w:pPr>
        <w:spacing w:before="60" w:after="60"/>
      </w:pPr>
    </w:p>
    <w:p w:rsidR="00DC731C" w:rsidRDefault="0030701E">
      <w:pPr>
        <w:pStyle w:val="Nagwek1"/>
      </w:pPr>
      <w:r>
        <w:t>Pozycja 3: Uchwyt ścienny</w:t>
      </w:r>
      <w:r w:rsidR="000A4352">
        <w:t xml:space="preserve"> do bramki </w:t>
      </w:r>
    </w:p>
    <w:p w:rsidR="00DC731C" w:rsidRDefault="0030701E">
      <w:pPr>
        <w:spacing w:before="80" w:after="80"/>
      </w:pPr>
      <w:r>
        <w:t>Ilość: 1 szt.</w:t>
      </w:r>
    </w:p>
    <w:p w:rsidR="00DC731C" w:rsidRDefault="00DC731C">
      <w:pPr>
        <w:spacing w:before="60" w:after="60"/>
      </w:pPr>
    </w:p>
    <w:tbl>
      <w:tblPr>
        <w:tblW w:w="916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600"/>
        <w:gridCol w:w="5560"/>
      </w:tblGrid>
      <w:tr w:rsidR="00DC731C">
        <w:tc>
          <w:tcPr>
            <w:tcW w:w="36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  <w:color w:val="FFFFFF"/>
              </w:rPr>
              <w:t>Parametr</w:t>
            </w:r>
          </w:p>
        </w:tc>
        <w:tc>
          <w:tcPr>
            <w:tcW w:w="556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  <w:color w:val="FFFFFF"/>
              </w:rPr>
              <w:t>Wymagana wartość / opis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Typ urządzenia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 w:rsidP="000A4352">
            <w:r>
              <w:t>Magnetyczny uchwyt ścienny (</w:t>
            </w:r>
            <w:proofErr w:type="spellStart"/>
            <w:r>
              <w:t>Floating</w:t>
            </w:r>
            <w:proofErr w:type="spellEnd"/>
            <w:r>
              <w:t xml:space="preserve"> Mount) do bramek </w:t>
            </w:r>
            <w:r w:rsidR="000A4352">
              <w:t>internetowych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Zgodność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t>UCG-Max</w:t>
            </w:r>
            <w:proofErr w:type="spellEnd"/>
            <w:r>
              <w:t xml:space="preserve">, </w:t>
            </w:r>
            <w:proofErr w:type="spellStart"/>
            <w:r>
              <w:t>UCG-Ultra</w:t>
            </w:r>
            <w:proofErr w:type="spellEnd"/>
            <w:r>
              <w:t xml:space="preserve">, </w:t>
            </w:r>
            <w:proofErr w:type="spellStart"/>
            <w:r>
              <w:t>UXG-Max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Sposób montażu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Magnesy (mocowanie do powierzchni metalowych) lub 4 wkręty (mocowanie stałe do ściany)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Odległość urządzenia od ściany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17 cm (ramię dystansowe)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Materiał obudowy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Poliwęglan, silikon gumowy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Wykończenie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 w:rsidP="000A4352">
            <w:r>
              <w:t xml:space="preserve">Malowane, kolor </w:t>
            </w:r>
            <w:r w:rsidR="000A4352">
              <w:t>jasny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Wymiary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127,7 × 113,5 × 5,1 mm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Masa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125 g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Zawartość zestawu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Uchwyt, magnesy, wkręty montażowe, kołki rozporowe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Gwarancja producenta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Min. 12 miesięcy</w:t>
            </w:r>
          </w:p>
        </w:tc>
      </w:tr>
    </w:tbl>
    <w:p w:rsidR="00DC731C" w:rsidRDefault="00DC731C">
      <w:pPr>
        <w:spacing w:before="60" w:after="60"/>
      </w:pPr>
    </w:p>
    <w:p w:rsidR="00DC731C" w:rsidRDefault="0030701E">
      <w:pPr>
        <w:pStyle w:val="Nagwek1"/>
      </w:pPr>
      <w:r>
        <w:t xml:space="preserve">Pozycja 4: Przełącznik </w:t>
      </w:r>
      <w:proofErr w:type="spellStart"/>
      <w:r>
        <w:t>zarządzalny</w:t>
      </w:r>
      <w:proofErr w:type="spellEnd"/>
      <w:r>
        <w:t xml:space="preserve"> </w:t>
      </w:r>
      <w:proofErr w:type="spellStart"/>
      <w:r>
        <w:t>PoE</w:t>
      </w:r>
      <w:proofErr w:type="spellEnd"/>
      <w:r>
        <w:t xml:space="preserve"> </w:t>
      </w:r>
    </w:p>
    <w:p w:rsidR="00DC731C" w:rsidRDefault="0030701E">
      <w:pPr>
        <w:spacing w:before="80" w:after="80"/>
      </w:pPr>
      <w:r>
        <w:t>Ilość: 1 szt.</w:t>
      </w:r>
    </w:p>
    <w:p w:rsidR="00DC731C" w:rsidRDefault="00DC731C">
      <w:pPr>
        <w:spacing w:before="60" w:after="60"/>
      </w:pPr>
    </w:p>
    <w:tbl>
      <w:tblPr>
        <w:tblW w:w="916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600"/>
        <w:gridCol w:w="5560"/>
      </w:tblGrid>
      <w:tr w:rsidR="00DC731C">
        <w:tc>
          <w:tcPr>
            <w:tcW w:w="36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  <w:color w:val="FFFFFF"/>
              </w:rPr>
              <w:t>Parametr</w:t>
            </w:r>
          </w:p>
        </w:tc>
        <w:tc>
          <w:tcPr>
            <w:tcW w:w="556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  <w:color w:val="FFFFFF"/>
              </w:rPr>
              <w:t>Wymagana wartość / opis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Typ urządzenia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8-portowy </w:t>
            </w:r>
            <w:proofErr w:type="spellStart"/>
            <w:r>
              <w:t>zarządzalny</w:t>
            </w:r>
            <w:proofErr w:type="spellEnd"/>
            <w:r>
              <w:t xml:space="preserve"> przełącznik gigabitowy z </w:t>
            </w:r>
            <w:proofErr w:type="spellStart"/>
            <w:r>
              <w:t>PoE</w:t>
            </w:r>
            <w:proofErr w:type="spellEnd"/>
            <w:r>
              <w:t>, warstwy 2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Liczba portów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8 × 1 </w:t>
            </w:r>
            <w:proofErr w:type="spellStart"/>
            <w:r>
              <w:t>GbE</w:t>
            </w:r>
            <w:proofErr w:type="spellEnd"/>
            <w:r>
              <w:t xml:space="preserve"> RJ45 (10/100/1000 </w:t>
            </w:r>
            <w:proofErr w:type="spellStart"/>
            <w:r>
              <w:t>Mbps</w:t>
            </w:r>
            <w:proofErr w:type="spellEnd"/>
            <w:r>
              <w:t>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Porty </w:t>
            </w:r>
            <w:proofErr w:type="spellStart"/>
            <w:r>
              <w:rPr>
                <w:b/>
                <w:bCs/>
              </w:rPr>
              <w:t>PoE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4 × 802.3af (</w:t>
            </w:r>
            <w:proofErr w:type="spellStart"/>
            <w:r>
              <w:t>PoE</w:t>
            </w:r>
            <w:proofErr w:type="spellEnd"/>
            <w:r>
              <w:t>, 48V) — porty 1–4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Maks. moc </w:t>
            </w:r>
            <w:proofErr w:type="spellStart"/>
            <w:r>
              <w:rPr>
                <w:b/>
                <w:bCs/>
              </w:rPr>
              <w:t>PoE</w:t>
            </w:r>
            <w:proofErr w:type="spellEnd"/>
            <w:r>
              <w:rPr>
                <w:b/>
                <w:bCs/>
              </w:rPr>
              <w:t xml:space="preserve"> na port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15,4 W (standardowe 802.3af)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Łączna dostępna moc </w:t>
            </w:r>
            <w:proofErr w:type="spellStart"/>
            <w:r>
              <w:rPr>
                <w:b/>
                <w:bCs/>
              </w:rPr>
              <w:t>PoE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48 W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Przepustowość przełączania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16 </w:t>
            </w:r>
            <w:proofErr w:type="spellStart"/>
            <w:r>
              <w:t>Gbps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Przepustowość nieblokująca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8 </w:t>
            </w:r>
            <w:proofErr w:type="spellStart"/>
            <w:r>
              <w:t>Gbps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Szybkość przekazywania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12 </w:t>
            </w:r>
            <w:proofErr w:type="spellStart"/>
            <w:r>
              <w:t>Mpps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Obsługiwane sieci VLAN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256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Rozmiar tablicy MAC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16 000 wpisów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Bufor pakietów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1,5 MB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Funkcje L2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LACP, STP/RSTP, IGMP </w:t>
            </w:r>
            <w:proofErr w:type="spellStart"/>
            <w:r>
              <w:t>Snooping</w:t>
            </w:r>
            <w:proofErr w:type="spellEnd"/>
            <w:r>
              <w:t xml:space="preserve">, IGMP </w:t>
            </w:r>
            <w:proofErr w:type="spellStart"/>
            <w:r>
              <w:t>Querier</w:t>
            </w:r>
            <w:proofErr w:type="spellEnd"/>
            <w:r>
              <w:t xml:space="preserve">, 802.1X, DHCP </w:t>
            </w:r>
            <w:proofErr w:type="spellStart"/>
            <w:r>
              <w:t>Snooping</w:t>
            </w:r>
            <w:proofErr w:type="spellEnd"/>
            <w:r>
              <w:t xml:space="preserve">, Port Mirroring, </w:t>
            </w:r>
            <w:proofErr w:type="spellStart"/>
            <w:r>
              <w:t>Storm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, </w:t>
            </w:r>
            <w:proofErr w:type="spellStart"/>
            <w:r>
              <w:t>Voice</w:t>
            </w:r>
            <w:proofErr w:type="spellEnd"/>
            <w:r>
              <w:t xml:space="preserve"> VLAN, </w:t>
            </w:r>
            <w:proofErr w:type="spellStart"/>
            <w:r>
              <w:t>Loop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, </w:t>
            </w:r>
            <w:proofErr w:type="spellStart"/>
            <w:r>
              <w:t>Jumbo</w:t>
            </w:r>
            <w:proofErr w:type="spellEnd"/>
            <w:r>
              <w:t xml:space="preserve"> </w:t>
            </w:r>
            <w:proofErr w:type="spellStart"/>
            <w:r>
              <w:t>Frames</w:t>
            </w:r>
            <w:proofErr w:type="spellEnd"/>
            <w:r>
              <w:t xml:space="preserve">, </w:t>
            </w:r>
            <w:proofErr w:type="spellStart"/>
            <w:r>
              <w:t>LLDP-MED</w:t>
            </w:r>
            <w:proofErr w:type="spellEnd"/>
            <w:r>
              <w:t xml:space="preserve">, Port </w:t>
            </w:r>
            <w:proofErr w:type="spellStart"/>
            <w:r>
              <w:t>Isolation</w:t>
            </w:r>
            <w:proofErr w:type="spellEnd"/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lastRenderedPageBreak/>
              <w:t>ACL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128 reguł IPv4, 128 reguł MAC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Zasilanie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Zasilacz AC/DC w zestawie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 xml:space="preserve">Zakres napięć </w:t>
            </w:r>
            <w:proofErr w:type="spellStart"/>
            <w:r>
              <w:rPr>
                <w:b/>
                <w:bCs/>
              </w:rPr>
              <w:t>PoE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44–57 V DC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Maks. pobór mocy urządzenia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 xml:space="preserve">12 W (bez obciążenia </w:t>
            </w:r>
            <w:proofErr w:type="spellStart"/>
            <w:r>
              <w:t>PoE</w:t>
            </w:r>
            <w:proofErr w:type="spellEnd"/>
            <w:r>
              <w:t>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Chłodzenie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Pasywne (</w:t>
            </w:r>
            <w:proofErr w:type="spellStart"/>
            <w:r>
              <w:t>bezwentylatorowe</w:t>
            </w:r>
            <w:proofErr w:type="spellEnd"/>
            <w:r>
              <w:t>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Obudowa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 w:rsidP="000A4352">
            <w:r>
              <w:t xml:space="preserve">Stal SGCC, kolor </w:t>
            </w:r>
            <w:r w:rsidR="000A4352">
              <w:t>jasny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Forma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Desktop / montaż ścienny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Wymiary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148 × 100 × 31 mm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Masa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432 g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Temperatura pracy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-5 do +45°C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Wilgotność pracy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5–95% (bez kondensacji)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Zarządzanie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proofErr w:type="spellStart"/>
            <w:r>
              <w:t>UniFi</w:t>
            </w:r>
            <w:proofErr w:type="spellEnd"/>
            <w:r>
              <w:t xml:space="preserve"> Network </w:t>
            </w:r>
            <w:proofErr w:type="spellStart"/>
            <w:r>
              <w:t>Application</w:t>
            </w:r>
            <w:proofErr w:type="spellEnd"/>
            <w:r>
              <w:t xml:space="preserve"> v6.3.51 lub nowszy, Ethernet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Certyfikaty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CE, FCC, IC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Zgodność NDAA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Tak</w:t>
            </w:r>
          </w:p>
        </w:tc>
      </w:tr>
      <w:tr w:rsidR="00DC731C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rPr>
                <w:b/>
                <w:bCs/>
              </w:rPr>
              <w:t>Gwarancja producenta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4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C731C" w:rsidRDefault="0030701E">
            <w:r>
              <w:t>Min. 12 miesięcy</w:t>
            </w:r>
          </w:p>
        </w:tc>
      </w:tr>
    </w:tbl>
    <w:p w:rsidR="00DC731C" w:rsidRDefault="00DC731C" w:rsidP="00EB7181">
      <w:pPr>
        <w:pBdr>
          <w:top w:val="single" w:sz="6" w:space="1" w:color="1F5C99"/>
        </w:pBdr>
        <w:spacing w:before="600"/>
      </w:pPr>
    </w:p>
    <w:sectPr w:rsidR="00DC731C" w:rsidSect="00D03429">
      <w:headerReference w:type="default" r:id="rId7"/>
      <w:footerReference w:type="default" r:id="rId8"/>
      <w:pgSz w:w="11906" w:h="16838"/>
      <w:pgMar w:top="2381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607" w:rsidRDefault="00B93607">
      <w:r>
        <w:separator/>
      </w:r>
    </w:p>
  </w:endnote>
  <w:endnote w:type="continuationSeparator" w:id="0">
    <w:p w:rsidR="00B93607" w:rsidRDefault="00B93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31C" w:rsidRDefault="0030701E">
    <w:pPr>
      <w:jc w:val="right"/>
    </w:pPr>
    <w:r>
      <w:rPr>
        <w:color w:val="888888"/>
        <w:sz w:val="18"/>
        <w:szCs w:val="18"/>
      </w:rPr>
      <w:t xml:space="preserve">Strona </w:t>
    </w:r>
    <w:r w:rsidR="00B22CA0"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 w:rsidR="00B22CA0">
      <w:rPr>
        <w:color w:val="888888"/>
        <w:sz w:val="18"/>
        <w:szCs w:val="18"/>
      </w:rPr>
      <w:fldChar w:fldCharType="separate"/>
    </w:r>
    <w:r w:rsidR="009C4DBC">
      <w:rPr>
        <w:noProof/>
        <w:color w:val="888888"/>
        <w:sz w:val="18"/>
        <w:szCs w:val="18"/>
      </w:rPr>
      <w:t>5</w:t>
    </w:r>
    <w:r w:rsidR="00B22CA0">
      <w:rPr>
        <w:color w:val="888888"/>
        <w:sz w:val="18"/>
        <w:szCs w:val="18"/>
      </w:rPr>
      <w:fldChar w:fldCharType="end"/>
    </w:r>
    <w:r>
      <w:rPr>
        <w:color w:val="888888"/>
        <w:sz w:val="18"/>
        <w:szCs w:val="18"/>
      </w:rPr>
      <w:t xml:space="preserve"> z </w:t>
    </w:r>
    <w:r w:rsidR="00B22CA0"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NUMPAGES</w:instrText>
    </w:r>
    <w:r w:rsidR="00B22CA0">
      <w:rPr>
        <w:color w:val="888888"/>
        <w:sz w:val="18"/>
        <w:szCs w:val="18"/>
      </w:rPr>
      <w:fldChar w:fldCharType="separate"/>
    </w:r>
    <w:r w:rsidR="009C4DBC">
      <w:rPr>
        <w:noProof/>
        <w:color w:val="888888"/>
        <w:sz w:val="18"/>
        <w:szCs w:val="18"/>
      </w:rPr>
      <w:t>5</w:t>
    </w:r>
    <w:r w:rsidR="00B22CA0"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607" w:rsidRDefault="00B93607">
      <w:r>
        <w:separator/>
      </w:r>
    </w:p>
  </w:footnote>
  <w:footnote w:type="continuationSeparator" w:id="0">
    <w:p w:rsidR="00B93607" w:rsidRDefault="00B936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29" w:rsidRDefault="00D03429" w:rsidP="00D03429">
    <w:pPr>
      <w:pStyle w:val="Nagwek"/>
    </w:pPr>
    <w:r w:rsidRPr="0043291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687070</wp:posOffset>
          </wp:positionH>
          <wp:positionV relativeFrom="paragraph">
            <wp:posOffset>327660</wp:posOffset>
          </wp:positionV>
          <wp:extent cx="1809750" cy="753110"/>
          <wp:effectExtent l="0" t="0" r="0" b="8890"/>
          <wp:wrapSquare wrapText="bothSides"/>
          <wp:docPr id="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74701" name="Grafika 1">
                    <a:extLst>
                      <a:ext uri="{C183D7F6-B498-43B3-948B-1728B52AA6E4}">
                        <adec:decorativ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753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833755</wp:posOffset>
          </wp:positionH>
          <wp:positionV relativeFrom="page">
            <wp:posOffset>238760</wp:posOffset>
          </wp:positionV>
          <wp:extent cx="5729605" cy="539115"/>
          <wp:effectExtent l="0" t="0" r="444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9605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3429" w:rsidRDefault="00D034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1755D"/>
    <w:multiLevelType w:val="hybridMultilevel"/>
    <w:tmpl w:val="8D266D1A"/>
    <w:lvl w:ilvl="0" w:tplc="F6526434">
      <w:start w:val="1"/>
      <w:numFmt w:val="bullet"/>
      <w:lvlText w:val="●"/>
      <w:lvlJc w:val="left"/>
      <w:pPr>
        <w:ind w:left="720" w:hanging="360"/>
      </w:pPr>
    </w:lvl>
    <w:lvl w:ilvl="1" w:tplc="B9A0B4D8">
      <w:start w:val="1"/>
      <w:numFmt w:val="bullet"/>
      <w:lvlText w:val="○"/>
      <w:lvlJc w:val="left"/>
      <w:pPr>
        <w:ind w:left="1440" w:hanging="360"/>
      </w:pPr>
    </w:lvl>
    <w:lvl w:ilvl="2" w:tplc="341C8820">
      <w:start w:val="1"/>
      <w:numFmt w:val="bullet"/>
      <w:lvlText w:val="■"/>
      <w:lvlJc w:val="left"/>
      <w:pPr>
        <w:ind w:left="2160" w:hanging="360"/>
      </w:pPr>
    </w:lvl>
    <w:lvl w:ilvl="3" w:tplc="9FE490CE">
      <w:start w:val="1"/>
      <w:numFmt w:val="bullet"/>
      <w:lvlText w:val="●"/>
      <w:lvlJc w:val="left"/>
      <w:pPr>
        <w:ind w:left="2880" w:hanging="360"/>
      </w:pPr>
    </w:lvl>
    <w:lvl w:ilvl="4" w:tplc="A53A3D80">
      <w:start w:val="1"/>
      <w:numFmt w:val="bullet"/>
      <w:lvlText w:val="○"/>
      <w:lvlJc w:val="left"/>
      <w:pPr>
        <w:ind w:left="3600" w:hanging="360"/>
      </w:pPr>
    </w:lvl>
    <w:lvl w:ilvl="5" w:tplc="D02E10E8">
      <w:start w:val="1"/>
      <w:numFmt w:val="bullet"/>
      <w:lvlText w:val="■"/>
      <w:lvlJc w:val="left"/>
      <w:pPr>
        <w:ind w:left="4320" w:hanging="360"/>
      </w:pPr>
    </w:lvl>
    <w:lvl w:ilvl="6" w:tplc="0E345C72">
      <w:start w:val="1"/>
      <w:numFmt w:val="bullet"/>
      <w:lvlText w:val="●"/>
      <w:lvlJc w:val="left"/>
      <w:pPr>
        <w:ind w:left="5040" w:hanging="360"/>
      </w:pPr>
    </w:lvl>
    <w:lvl w:ilvl="7" w:tplc="FF3EABDC">
      <w:start w:val="1"/>
      <w:numFmt w:val="bullet"/>
      <w:lvlText w:val="●"/>
      <w:lvlJc w:val="left"/>
      <w:pPr>
        <w:ind w:left="5760" w:hanging="360"/>
      </w:pPr>
    </w:lvl>
    <w:lvl w:ilvl="8" w:tplc="A7F03B0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31C"/>
    <w:rsid w:val="000A4352"/>
    <w:rsid w:val="002312F1"/>
    <w:rsid w:val="0030701E"/>
    <w:rsid w:val="004038C6"/>
    <w:rsid w:val="004A0A5F"/>
    <w:rsid w:val="008167C7"/>
    <w:rsid w:val="00876DCC"/>
    <w:rsid w:val="009C4DBC"/>
    <w:rsid w:val="00A52E59"/>
    <w:rsid w:val="00B22CA0"/>
    <w:rsid w:val="00B93607"/>
    <w:rsid w:val="00D03429"/>
    <w:rsid w:val="00DC731C"/>
    <w:rsid w:val="00EA58EA"/>
    <w:rsid w:val="00EB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7C7"/>
  </w:style>
  <w:style w:type="paragraph" w:styleId="Nagwek1">
    <w:name w:val="heading 1"/>
    <w:qFormat/>
    <w:rsid w:val="008167C7"/>
    <w:pPr>
      <w:spacing w:before="480" w:after="160"/>
      <w:outlineLvl w:val="0"/>
    </w:pPr>
    <w:rPr>
      <w:b/>
      <w:bCs/>
      <w:color w:val="1A3A5C"/>
      <w:sz w:val="30"/>
      <w:szCs w:val="30"/>
    </w:rPr>
  </w:style>
  <w:style w:type="paragraph" w:styleId="Nagwek2">
    <w:name w:val="heading 2"/>
    <w:qFormat/>
    <w:rsid w:val="008167C7"/>
    <w:pPr>
      <w:spacing w:before="400" w:after="120"/>
      <w:outlineLvl w:val="1"/>
    </w:pPr>
    <w:rPr>
      <w:b/>
      <w:bCs/>
      <w:color w:val="1F5C99"/>
      <w:sz w:val="26"/>
      <w:szCs w:val="26"/>
    </w:rPr>
  </w:style>
  <w:style w:type="paragraph" w:styleId="Nagwek3">
    <w:name w:val="heading 3"/>
    <w:qFormat/>
    <w:rsid w:val="008167C7"/>
    <w:pPr>
      <w:outlineLvl w:val="2"/>
    </w:pPr>
    <w:rPr>
      <w:color w:val="1F4D78"/>
      <w:sz w:val="24"/>
      <w:szCs w:val="24"/>
    </w:rPr>
  </w:style>
  <w:style w:type="paragraph" w:styleId="Nagwek4">
    <w:name w:val="heading 4"/>
    <w:qFormat/>
    <w:rsid w:val="008167C7"/>
    <w:pPr>
      <w:outlineLvl w:val="3"/>
    </w:pPr>
    <w:rPr>
      <w:i/>
      <w:iCs/>
      <w:color w:val="2E74B5"/>
    </w:rPr>
  </w:style>
  <w:style w:type="paragraph" w:styleId="Nagwek5">
    <w:name w:val="heading 5"/>
    <w:qFormat/>
    <w:rsid w:val="008167C7"/>
    <w:pPr>
      <w:outlineLvl w:val="4"/>
    </w:pPr>
    <w:rPr>
      <w:color w:val="2E74B5"/>
    </w:rPr>
  </w:style>
  <w:style w:type="paragraph" w:styleId="Nagwek6">
    <w:name w:val="heading 6"/>
    <w:qFormat/>
    <w:rsid w:val="008167C7"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qFormat/>
    <w:rsid w:val="008167C7"/>
    <w:rPr>
      <w:sz w:val="56"/>
      <w:szCs w:val="56"/>
    </w:rPr>
  </w:style>
  <w:style w:type="paragraph" w:customStyle="1" w:styleId="Pogrubienie1">
    <w:name w:val="Pogrubienie1"/>
    <w:qFormat/>
    <w:rsid w:val="008167C7"/>
    <w:rPr>
      <w:b/>
      <w:bCs/>
    </w:rPr>
  </w:style>
  <w:style w:type="paragraph" w:styleId="Akapitzlist">
    <w:name w:val="List Paragraph"/>
    <w:qFormat/>
    <w:rsid w:val="008167C7"/>
  </w:style>
  <w:style w:type="character" w:styleId="Hipercze">
    <w:name w:val="Hyperlink"/>
    <w:uiPriority w:val="99"/>
    <w:unhideWhenUsed/>
    <w:rsid w:val="008167C7"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sid w:val="008167C7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8167C7"/>
  </w:style>
  <w:style w:type="character" w:customStyle="1" w:styleId="TekstprzypisudolnegoZnak">
    <w:name w:val="Tekst przypisu dolnego Znak"/>
    <w:link w:val="Tekstprzypisudolnego"/>
    <w:uiPriority w:val="99"/>
    <w:semiHidden/>
    <w:unhideWhenUsed/>
    <w:rsid w:val="008167C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167C7"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sid w:val="008167C7"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sid w:val="008167C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A5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8EA"/>
  </w:style>
  <w:style w:type="paragraph" w:styleId="Stopka">
    <w:name w:val="footer"/>
    <w:basedOn w:val="Normalny"/>
    <w:link w:val="StopkaZnak"/>
    <w:uiPriority w:val="99"/>
    <w:unhideWhenUsed/>
    <w:rsid w:val="00EA5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8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qFormat/>
    <w:pPr>
      <w:spacing w:before="480" w:after="160"/>
      <w:outlineLvl w:val="0"/>
    </w:pPr>
    <w:rPr>
      <w:b/>
      <w:bCs/>
      <w:color w:val="1A3A5C"/>
      <w:sz w:val="30"/>
      <w:szCs w:val="30"/>
    </w:rPr>
  </w:style>
  <w:style w:type="paragraph" w:styleId="Nagwek2">
    <w:name w:val="heading 2"/>
    <w:qFormat/>
    <w:pPr>
      <w:spacing w:before="400" w:after="120"/>
      <w:outlineLvl w:val="1"/>
    </w:pPr>
    <w:rPr>
      <w:b/>
      <w:bCs/>
      <w:color w:val="1F5C99"/>
      <w:sz w:val="26"/>
      <w:szCs w:val="26"/>
    </w:rPr>
  </w:style>
  <w:style w:type="paragraph" w:styleId="Nagwek3">
    <w:name w:val="heading 3"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qFormat/>
    <w:pPr>
      <w:outlineLvl w:val="3"/>
    </w:pPr>
    <w:rPr>
      <w:i/>
      <w:iCs/>
      <w:color w:val="2E74B5"/>
    </w:rPr>
  </w:style>
  <w:style w:type="paragraph" w:styleId="Nagwek5">
    <w:name w:val="heading 5"/>
    <w:qFormat/>
    <w:pPr>
      <w:outlineLvl w:val="4"/>
    </w:pPr>
    <w:rPr>
      <w:color w:val="2E74B5"/>
    </w:rPr>
  </w:style>
  <w:style w:type="paragraph" w:styleId="Nagwek6">
    <w:name w:val="heading 6"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A5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8EA"/>
  </w:style>
  <w:style w:type="paragraph" w:styleId="Stopka">
    <w:name w:val="footer"/>
    <w:basedOn w:val="Normalny"/>
    <w:link w:val="StopkaZnak"/>
    <w:uiPriority w:val="99"/>
    <w:unhideWhenUsed/>
    <w:rsid w:val="00EA5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8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Adam Gonczarów</cp:lastModifiedBy>
  <cp:revision>6</cp:revision>
  <cp:lastPrinted>2026-09-02T06:38:00Z</cp:lastPrinted>
  <dcterms:created xsi:type="dcterms:W3CDTF">2026-08-13T09:58:00Z</dcterms:created>
  <dcterms:modified xsi:type="dcterms:W3CDTF">2026-09-02T06:38:00Z</dcterms:modified>
</cp:coreProperties>
</file>