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9B1" w:rsidRDefault="004529B1" w:rsidP="00420824">
      <w:pPr>
        <w:pBdr>
          <w:bottom w:val="single" w:sz="6" w:space="1" w:color="1F5C99"/>
        </w:pBdr>
        <w:spacing w:after="400"/>
      </w:pPr>
      <w:r>
        <w:t>Opis Pr</w:t>
      </w:r>
      <w:r w:rsidR="00BA7B03">
        <w:t>zedmiotu Zamówienia Część II - d</w:t>
      </w:r>
      <w:r>
        <w:t xml:space="preserve">ostawa </w:t>
      </w:r>
      <w:r w:rsidRPr="004529B1">
        <w:t xml:space="preserve">urządzenia brzegowego UTM </w:t>
      </w:r>
      <w:r>
        <w:t>do sieci UG Szczecinek wraz</w:t>
      </w:r>
      <w:r w:rsidRPr="004529B1">
        <w:t xml:space="preserve"> kompatybilny</w:t>
      </w:r>
      <w:r>
        <w:t>m</w:t>
      </w:r>
      <w:r w:rsidRPr="004529B1">
        <w:t xml:space="preserve"> system</w:t>
      </w:r>
      <w:r>
        <w:t>em</w:t>
      </w:r>
      <w:r w:rsidRPr="004529B1">
        <w:t xml:space="preserve"> monitorujący</w:t>
      </w:r>
      <w:r w:rsidR="00420824">
        <w:t>m</w:t>
      </w:r>
    </w:p>
    <w:p w:rsidR="0003445E" w:rsidRPr="005A62F7" w:rsidRDefault="0003445E" w:rsidP="004529B1">
      <w:pPr>
        <w:pStyle w:val="Nagwek2"/>
      </w:pPr>
      <w:r w:rsidRPr="005A62F7">
        <w:t>Urządzenie sieciowe klasy UTM</w:t>
      </w:r>
    </w:p>
    <w:p w:rsidR="0003445E" w:rsidRPr="005A62F7" w:rsidRDefault="0003445E" w:rsidP="0003445E">
      <w:pPr>
        <w:spacing w:after="23" w:line="248" w:lineRule="auto"/>
        <w:ind w:right="49"/>
        <w:rPr>
          <w:rFonts w:cs="Calibri"/>
          <w:sz w:val="22"/>
          <w:szCs w:val="22"/>
        </w:rPr>
      </w:pPr>
    </w:p>
    <w:p w:rsidR="0003445E" w:rsidRPr="005A62F7" w:rsidRDefault="0003445E" w:rsidP="0003445E">
      <w:pPr>
        <w:spacing w:after="23" w:line="248" w:lineRule="auto"/>
        <w:ind w:right="49"/>
        <w:rPr>
          <w:rFonts w:cs="Calibri"/>
          <w:b/>
          <w:bCs/>
        </w:rPr>
      </w:pPr>
      <w:r w:rsidRPr="005A62F7">
        <w:rPr>
          <w:rFonts w:cs="Calibri"/>
          <w:b/>
          <w:bCs/>
        </w:rPr>
        <w:t>Obsługa sieci:</w:t>
      </w:r>
    </w:p>
    <w:p w:rsidR="0003445E" w:rsidRPr="005A62F7" w:rsidRDefault="0003445E" w:rsidP="0003445E">
      <w:pPr>
        <w:spacing w:after="23" w:line="248" w:lineRule="auto"/>
        <w:ind w:right="49"/>
        <w:rPr>
          <w:rFonts w:cs="Calibri"/>
        </w:rPr>
      </w:pPr>
      <w:r w:rsidRPr="005A62F7">
        <w:rPr>
          <w:rFonts w:cs="Calibri"/>
        </w:rPr>
        <w:t xml:space="preserve">Urządzenie ma posiadać wsparcie dla protokołu IPv4 oraz IPv6 co najmniej na poziomie konfiguracji adresów dla interfejsów, routingu, firewall, systemu IPS oraz usług sieciowych takich jak np. DHCP.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Zapora korporacyjna (Firewall):</w:t>
      </w:r>
    </w:p>
    <w:p w:rsidR="0003445E" w:rsidRPr="005A62F7" w:rsidRDefault="0003445E" w:rsidP="0003445E">
      <w:pPr>
        <w:spacing w:after="23" w:line="248" w:lineRule="auto"/>
        <w:ind w:right="49"/>
        <w:rPr>
          <w:rFonts w:cs="Calibri"/>
          <w:b/>
          <w:bCs/>
        </w:rPr>
      </w:pP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Urządzenie ma być wyposażone w Firewall klasy Stateful Inspection.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Urządzenie ma obsługiwać translacje adresów NAT n:1, NAT 1:1 oraz PAT.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Urządzenie ma umożliwiać ustawienia trybu pracy jako router warstwy trzeciej, jako bridge warstwy drugiej oraz hybrydowo (częściowo jako router, a częściowo jako bridge).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Administrator ma mieć możliwość budowania reguł firewall na podstawie: interfejsów wejściowych i wyjściowych ruchu, źródłowego adresu IP, docelowego adresu IP, geolokacji hosta źródłowego bądź docelowego, reputacji hosta, usług internetowych (web services), użytkownika bądź grupy z bazy LDAP, pola DSCP nagłówka pakietu, przypisania kolejki QoS, określenia limitu połączeń na sekundę, godziny oraz dnia nawiązywania połączenia.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Urządzenie ma umożliwiać filtrowanie jedynie na poziomie warstwy 2 modelu OSI tj. na podstawie adresów mac.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Administrator ma mieć możliwość zdefiniowania minimum 10 różnych, niezależnie konfigurowalnych, zestawów reguł firewall.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Edytor reguł firewall ma posiadać wbudowany analizator reguł, który wskazuje błędy i sprzeczności w konfiguracji reguł.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Urządzenie ma umożliwiać uwierzytelnienie i autoryzację użytkowników w oparciu o bazę LDAP (wewnętrzną oraz zewnętrzną), zewnętrzny serwer RADIUS, zewnętrzny serwer Kerberos.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t xml:space="preserve">Urządzenie ma umożliwiać wskazanie trasy routingu dla wybranej reguły niezależnie od innych tras routingu (np. routingu domyślnego). </w:t>
      </w:r>
    </w:p>
    <w:p w:rsidR="0003445E" w:rsidRPr="005A62F7" w:rsidRDefault="0003445E" w:rsidP="0003445E">
      <w:pPr>
        <w:pStyle w:val="Akapitzlist"/>
        <w:numPr>
          <w:ilvl w:val="0"/>
          <w:numId w:val="2"/>
        </w:numPr>
        <w:spacing w:after="23" w:line="248" w:lineRule="auto"/>
        <w:ind w:right="49"/>
        <w:rPr>
          <w:rFonts w:cs="Calibri"/>
        </w:rPr>
      </w:pPr>
      <w:r w:rsidRPr="005A62F7">
        <w:rPr>
          <w:rFonts w:cs="Calibri"/>
        </w:rPr>
        <w:lastRenderedPageBreak/>
        <w:t xml:space="preserve">System musi umożliwiać budowanie reguł bezpieczeństwa w oparciu o definiowane przez administratora harmonogramy czasowe.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Instrusion Prevention System (IPS):</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System detekcji i prewencji włamań (IPS) ma być zaimplementowany w jądrze systemu i ma wykrywać włamania oraz anomalie w ruchu sieciowym przy pomocy analizy protokołów, analizy heurystycznej oraz analizy w oparciu o sygnatury kontekstowe.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Moduł IPS ma być opracowany przez producenta urządzenia. Nie dopuszcza się, aby moduł IPS pochodził od zewnętrznego dostawcy.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Moduł IPS ma zabezpieczać przed co najmniej 10 000 ataków i zagrożeń.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Administrator ma mieć możliwość tworzenia własnych sygnatur dla systemu IPS.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Moduł IPS ma nie tylko wykrywać, ale również usuwać szkodliwą zawartość w kodzie HTML oraz JavaScript żądanej przez użytkownika strony internetowej nie blokując dostępu do tej strony po usunięciu zagrożenia.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Urządzenie ma umożliwiać inspekcję ruchu tunelowanego wewnątrz protokołu SSL, co najmniej w zakresie analizy HTTPS, POP3S oraz SMTPS.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Administrator ma mieć możliwość konfiguracji jednego z trybów pracy urządzenia, to jest: IPS, IDS lub Firewall dla wybranych adresów IP (źródłowych i docelowych), użytkowników, portów (źródłowych i docelowych) oraz na podstawie pola DSCP.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Urządzenie ma umożliwiać ochronę między innymi przed atakami typu SQL Injection, Cross Site Scripting (XSS) oraz złośliwym kodem Web2.0.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Po zakupie stosownej licencji moduł IPS ma zapewniać analizę protokołów przemysłowych co najmniej takich jak: Modbus, UMAS, S7 200-300-400, EtherNet/IP, CIP, OPC UA, OPC (DA/HDA/AE), BACnet/IP, PROFINET, SOFBUS/LACBUS, IEC 60870-5-104, IEC 61850 (MMS, Goose &amp; SV). </w:t>
      </w:r>
    </w:p>
    <w:p w:rsidR="0003445E" w:rsidRPr="005A62F7" w:rsidRDefault="0003445E" w:rsidP="0003445E">
      <w:pPr>
        <w:pStyle w:val="Akapitzlist"/>
        <w:numPr>
          <w:ilvl w:val="0"/>
          <w:numId w:val="3"/>
        </w:numPr>
        <w:spacing w:after="23" w:line="248" w:lineRule="auto"/>
        <w:ind w:right="49"/>
        <w:rPr>
          <w:rFonts w:cs="Calibri"/>
        </w:rPr>
      </w:pPr>
      <w:r w:rsidRPr="005A62F7">
        <w:rPr>
          <w:rFonts w:cs="Calibri"/>
        </w:rPr>
        <w:t xml:space="preserve">Urządzenie musi zapewniać automatyczną aktualizację sygnatur kontekstowych.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Kształtowanie pasma (Traffic Shapping):</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4"/>
        </w:numPr>
        <w:spacing w:after="23" w:line="248" w:lineRule="auto"/>
        <w:ind w:right="49"/>
        <w:rPr>
          <w:rFonts w:cs="Calibri"/>
        </w:rPr>
      </w:pPr>
      <w:r w:rsidRPr="005A62F7">
        <w:rPr>
          <w:rFonts w:cs="Calibri"/>
        </w:rPr>
        <w:t xml:space="preserve">Urządzenie ma umożliwiać kształtowanie pasma w oparciu o priorytetyzację ruchu oraz minimalną i maksymalną wartość pasma. </w:t>
      </w:r>
    </w:p>
    <w:p w:rsidR="0003445E" w:rsidRPr="005A62F7" w:rsidRDefault="0003445E" w:rsidP="0003445E">
      <w:pPr>
        <w:pStyle w:val="Akapitzlist"/>
        <w:numPr>
          <w:ilvl w:val="0"/>
          <w:numId w:val="4"/>
        </w:numPr>
        <w:spacing w:after="23" w:line="248" w:lineRule="auto"/>
        <w:ind w:right="49"/>
        <w:rPr>
          <w:rFonts w:cs="Calibri"/>
        </w:rPr>
      </w:pPr>
      <w:r w:rsidRPr="005A62F7">
        <w:rPr>
          <w:rFonts w:cs="Calibri"/>
        </w:rPr>
        <w:t xml:space="preserve">Ograniczenie pasma lub priorytetyzacja reguły firewall ma być możliwe względem pojedynczego połączenia, adresu IP, zautoryzowanego użytkownika, pola DSCP. </w:t>
      </w:r>
    </w:p>
    <w:p w:rsidR="0003445E" w:rsidRPr="005A62F7" w:rsidRDefault="0003445E" w:rsidP="0003445E">
      <w:pPr>
        <w:pStyle w:val="Akapitzlist"/>
        <w:numPr>
          <w:ilvl w:val="0"/>
          <w:numId w:val="4"/>
        </w:numPr>
        <w:spacing w:after="23" w:line="248" w:lineRule="auto"/>
        <w:ind w:right="49"/>
        <w:rPr>
          <w:rFonts w:cs="Calibri"/>
        </w:rPr>
      </w:pPr>
      <w:r w:rsidRPr="005A62F7">
        <w:rPr>
          <w:rFonts w:cs="Calibri"/>
        </w:rPr>
        <w:t xml:space="preserve">Urządzenie ma umożliwiać tworzenie tzw. kolejki nie mającej wpływu na kształtowanie pasma, a jedynie na śledzenie konkretnego typu ruchu (monitoring). </w:t>
      </w:r>
    </w:p>
    <w:p w:rsidR="0003445E" w:rsidRPr="005A62F7" w:rsidRDefault="0003445E" w:rsidP="0003445E">
      <w:pPr>
        <w:pStyle w:val="Akapitzlist"/>
        <w:numPr>
          <w:ilvl w:val="0"/>
          <w:numId w:val="4"/>
        </w:numPr>
        <w:spacing w:after="23" w:line="248" w:lineRule="auto"/>
        <w:ind w:right="49"/>
        <w:rPr>
          <w:rFonts w:cs="Calibri"/>
        </w:rPr>
      </w:pPr>
      <w:r w:rsidRPr="005A62F7">
        <w:rPr>
          <w:rFonts w:cs="Calibri"/>
        </w:rPr>
        <w:t xml:space="preserve">Urządzenie ma umożliwiać kształtowanie pasma na podstawie aplikacji generującej ruch.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Ochrona Antywirusowa:</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5"/>
        </w:numPr>
        <w:spacing w:after="23" w:line="248" w:lineRule="auto"/>
        <w:ind w:right="49"/>
        <w:rPr>
          <w:rFonts w:cs="Calibri"/>
        </w:rPr>
      </w:pPr>
      <w:r w:rsidRPr="005A62F7">
        <w:rPr>
          <w:rFonts w:cs="Calibri"/>
        </w:rPr>
        <w:t xml:space="preserve">Urządzenie ma umożliwić rozbudowę o zaawansowany skaner antywirusowy dostarczany przez firmy trzecie (inne niż producent rozwiązania). </w:t>
      </w:r>
    </w:p>
    <w:p w:rsidR="0003445E" w:rsidRPr="005A62F7" w:rsidRDefault="0003445E" w:rsidP="0003445E">
      <w:pPr>
        <w:pStyle w:val="Akapitzlist"/>
        <w:numPr>
          <w:ilvl w:val="0"/>
          <w:numId w:val="5"/>
        </w:numPr>
        <w:spacing w:after="23" w:line="248" w:lineRule="auto"/>
        <w:ind w:right="49"/>
        <w:rPr>
          <w:rFonts w:cs="Calibri"/>
        </w:rPr>
      </w:pPr>
      <w:r w:rsidRPr="005A62F7">
        <w:rPr>
          <w:rFonts w:cs="Calibri"/>
        </w:rPr>
        <w:t xml:space="preserve">Po rozbudowie administrator ma mieć możliwość określenia akcji w przypadku wykrycia zagrożenia bądź gdy analiza skanerem antywirusowym została zakończona błędem. </w:t>
      </w:r>
    </w:p>
    <w:p w:rsidR="0003445E" w:rsidRPr="005A62F7" w:rsidRDefault="0003445E" w:rsidP="0003445E">
      <w:pPr>
        <w:pStyle w:val="Akapitzlist"/>
        <w:numPr>
          <w:ilvl w:val="0"/>
          <w:numId w:val="5"/>
        </w:numPr>
        <w:spacing w:after="23" w:line="248" w:lineRule="auto"/>
        <w:ind w:right="49"/>
        <w:rPr>
          <w:rFonts w:cs="Calibri"/>
        </w:rPr>
      </w:pPr>
      <w:r w:rsidRPr="005A62F7">
        <w:rPr>
          <w:rFonts w:cs="Calibri"/>
        </w:rPr>
        <w:t xml:space="preserve">Skaner antywirusowy ma pochodzić od europejskiego producenta. </w:t>
      </w:r>
    </w:p>
    <w:p w:rsidR="0003445E" w:rsidRPr="005A62F7" w:rsidRDefault="0003445E" w:rsidP="0003445E">
      <w:pPr>
        <w:pStyle w:val="Akapitzlist"/>
        <w:numPr>
          <w:ilvl w:val="0"/>
          <w:numId w:val="5"/>
        </w:numPr>
        <w:spacing w:after="23" w:line="248" w:lineRule="auto"/>
        <w:ind w:right="49"/>
        <w:rPr>
          <w:rFonts w:cs="Calibri"/>
        </w:rPr>
      </w:pPr>
      <w:r w:rsidRPr="005A62F7">
        <w:rPr>
          <w:rFonts w:cs="Calibri"/>
        </w:rPr>
        <w:t xml:space="preserve">Administrator ma mieć możliwość określenia maksymalnej wielkości pliku jaki będzie poddawany analizie skanerem antywirusowym. </w:t>
      </w:r>
    </w:p>
    <w:p w:rsidR="0003445E" w:rsidRPr="005A62F7" w:rsidRDefault="0003445E" w:rsidP="0003445E">
      <w:pPr>
        <w:pStyle w:val="Akapitzlist"/>
        <w:numPr>
          <w:ilvl w:val="0"/>
          <w:numId w:val="5"/>
        </w:numPr>
        <w:spacing w:after="23" w:line="248" w:lineRule="auto"/>
        <w:ind w:right="49"/>
        <w:rPr>
          <w:rFonts w:cs="Calibri"/>
        </w:rPr>
      </w:pPr>
      <w:r w:rsidRPr="005A62F7">
        <w:rPr>
          <w:rFonts w:cs="Calibri"/>
        </w:rPr>
        <w:t xml:space="preserve">Po rozbudowie administrator ma mieć możliwość zdefiniowania treści komunikatu dla użytkownika o wykryciu infekcji, osobno dla infekcji wykrytych wewnątrz protokołu POP3, SMTP i FTP. W przypadku SMTP i FTP ponadto ma być możliwość zdefiniowania 3-cyfrowego kodu wykrycia infekcji.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Ochrona antyspam:</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6"/>
        </w:numPr>
        <w:spacing w:after="23" w:line="248" w:lineRule="auto"/>
        <w:ind w:right="49"/>
        <w:rPr>
          <w:rFonts w:cs="Calibri"/>
        </w:rPr>
      </w:pPr>
      <w:r w:rsidRPr="005A62F7">
        <w:rPr>
          <w:rFonts w:cs="Calibri"/>
        </w:rPr>
        <w:t xml:space="preserve">Urządzenie ma posiadać mechanizm klasyfikacji poczty elektronicznej określający czy jest pocztą niechcianą (SPAM). </w:t>
      </w:r>
    </w:p>
    <w:p w:rsidR="0003445E" w:rsidRPr="005A62F7" w:rsidRDefault="0003445E" w:rsidP="0003445E">
      <w:pPr>
        <w:pStyle w:val="Akapitzlist"/>
        <w:numPr>
          <w:ilvl w:val="0"/>
          <w:numId w:val="6"/>
        </w:numPr>
        <w:spacing w:after="23" w:line="248" w:lineRule="auto"/>
        <w:ind w:right="49"/>
        <w:rPr>
          <w:rFonts w:cs="Calibri"/>
        </w:rPr>
      </w:pPr>
      <w:r w:rsidRPr="005A62F7">
        <w:rPr>
          <w:rFonts w:cs="Calibri"/>
        </w:rPr>
        <w:t xml:space="preserve">Ochrona antyspam ma działać w oparciu o: </w:t>
      </w:r>
    </w:p>
    <w:p w:rsidR="0003445E" w:rsidRPr="005A62F7" w:rsidRDefault="0003445E" w:rsidP="0003445E">
      <w:pPr>
        <w:pStyle w:val="Akapitzlist"/>
        <w:numPr>
          <w:ilvl w:val="1"/>
          <w:numId w:val="6"/>
        </w:numPr>
        <w:spacing w:after="23" w:line="248" w:lineRule="auto"/>
        <w:ind w:right="49"/>
        <w:rPr>
          <w:rFonts w:cs="Calibri"/>
        </w:rPr>
      </w:pPr>
      <w:r w:rsidRPr="005A62F7">
        <w:rPr>
          <w:rFonts w:cs="Calibri"/>
        </w:rPr>
        <w:t xml:space="preserve">białe/czarne listy, </w:t>
      </w:r>
    </w:p>
    <w:p w:rsidR="0003445E" w:rsidRPr="005A62F7" w:rsidRDefault="0003445E" w:rsidP="0003445E">
      <w:pPr>
        <w:pStyle w:val="Akapitzlist"/>
        <w:numPr>
          <w:ilvl w:val="1"/>
          <w:numId w:val="6"/>
        </w:numPr>
        <w:spacing w:after="23" w:line="248" w:lineRule="auto"/>
        <w:ind w:right="49"/>
        <w:rPr>
          <w:rFonts w:cs="Calibri"/>
        </w:rPr>
      </w:pPr>
      <w:r w:rsidRPr="005A62F7">
        <w:rPr>
          <w:rFonts w:cs="Calibri"/>
        </w:rPr>
        <w:t xml:space="preserve">DNS RBL, </w:t>
      </w:r>
    </w:p>
    <w:p w:rsidR="0003445E" w:rsidRPr="005A62F7" w:rsidRDefault="0003445E" w:rsidP="0003445E">
      <w:pPr>
        <w:pStyle w:val="Akapitzlist"/>
        <w:numPr>
          <w:ilvl w:val="1"/>
          <w:numId w:val="6"/>
        </w:numPr>
        <w:spacing w:after="23" w:line="248" w:lineRule="auto"/>
        <w:ind w:right="49"/>
        <w:rPr>
          <w:rFonts w:cs="Calibri"/>
        </w:rPr>
      </w:pPr>
      <w:r w:rsidRPr="005A62F7">
        <w:rPr>
          <w:rFonts w:cs="Calibri"/>
        </w:rPr>
        <w:t xml:space="preserve">Skaner heurystyczny. </w:t>
      </w:r>
    </w:p>
    <w:p w:rsidR="0003445E" w:rsidRPr="005A62F7" w:rsidRDefault="0003445E" w:rsidP="0003445E">
      <w:pPr>
        <w:pStyle w:val="Akapitzlist"/>
        <w:numPr>
          <w:ilvl w:val="0"/>
          <w:numId w:val="6"/>
        </w:numPr>
        <w:spacing w:after="23" w:line="248" w:lineRule="auto"/>
        <w:ind w:right="49"/>
        <w:rPr>
          <w:rFonts w:cs="Calibri"/>
        </w:rPr>
      </w:pPr>
      <w:r w:rsidRPr="005A62F7">
        <w:rPr>
          <w:rFonts w:cs="Calibri"/>
        </w:rPr>
        <w:t xml:space="preserve">W przypadku ochrony w oparciu o DNS RBL administrator ma mieć możliwość modyfikowania listy serwerów RBL znajdujących się w domyślnej konfiguracji urządzenia. </w:t>
      </w:r>
    </w:p>
    <w:p w:rsidR="0003445E" w:rsidRPr="005A62F7" w:rsidRDefault="0003445E" w:rsidP="0003445E">
      <w:pPr>
        <w:pStyle w:val="Akapitzlist"/>
        <w:numPr>
          <w:ilvl w:val="0"/>
          <w:numId w:val="6"/>
        </w:numPr>
        <w:spacing w:after="23" w:line="248" w:lineRule="auto"/>
        <w:ind w:right="49"/>
        <w:rPr>
          <w:rFonts w:cs="Calibri"/>
        </w:rPr>
      </w:pPr>
      <w:r w:rsidRPr="005A62F7">
        <w:rPr>
          <w:rFonts w:cs="Calibri"/>
        </w:rPr>
        <w:t xml:space="preserve">Wpis w nagłówku wiadomości zaklasyfikowanej jako spam ma być w formacie zgodnym z formatem programu Spamassassin.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 xml:space="preserve">Wirtualne sieci prywatne (VPN): </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7"/>
        </w:numPr>
        <w:spacing w:after="23" w:line="248" w:lineRule="auto"/>
        <w:ind w:right="49"/>
        <w:rPr>
          <w:rFonts w:cs="Calibri"/>
        </w:rPr>
      </w:pPr>
      <w:r w:rsidRPr="005A62F7">
        <w:rPr>
          <w:rFonts w:cs="Calibri"/>
        </w:rPr>
        <w:t xml:space="preserve">Urządzenie ma umożliwiać stworzenie sieci VPN typu client-to-site (klient mobilny – lokalizacja) lub site-to-site (lokalizacja-lokalizacja). </w:t>
      </w:r>
    </w:p>
    <w:p w:rsidR="0003445E" w:rsidRPr="005A62F7" w:rsidRDefault="0003445E" w:rsidP="0003445E">
      <w:pPr>
        <w:pStyle w:val="Akapitzlist"/>
        <w:numPr>
          <w:ilvl w:val="1"/>
          <w:numId w:val="7"/>
        </w:numPr>
        <w:spacing w:after="23" w:line="248" w:lineRule="auto"/>
        <w:ind w:right="49"/>
        <w:rPr>
          <w:rFonts w:cs="Calibri"/>
        </w:rPr>
      </w:pPr>
      <w:r w:rsidRPr="005A62F7">
        <w:rPr>
          <w:rFonts w:cs="Calibri"/>
        </w:rPr>
        <w:t xml:space="preserve">Urządzenie ma wspierać co najmniej następujące typy sieci VPN: PPTP VPN, </w:t>
      </w:r>
    </w:p>
    <w:p w:rsidR="0003445E" w:rsidRPr="005A62F7" w:rsidRDefault="0003445E" w:rsidP="0003445E">
      <w:pPr>
        <w:pStyle w:val="Akapitzlist"/>
        <w:numPr>
          <w:ilvl w:val="1"/>
          <w:numId w:val="7"/>
        </w:numPr>
        <w:spacing w:after="23" w:line="248" w:lineRule="auto"/>
        <w:ind w:right="49"/>
        <w:rPr>
          <w:rFonts w:cs="Calibri"/>
        </w:rPr>
      </w:pPr>
      <w:r w:rsidRPr="005A62F7">
        <w:rPr>
          <w:rFonts w:cs="Calibri"/>
        </w:rPr>
        <w:t xml:space="preserve">IPSec VPN, </w:t>
      </w:r>
    </w:p>
    <w:p w:rsidR="0003445E" w:rsidRPr="005A62F7" w:rsidRDefault="0003445E" w:rsidP="0003445E">
      <w:pPr>
        <w:pStyle w:val="Akapitzlist"/>
        <w:numPr>
          <w:ilvl w:val="1"/>
          <w:numId w:val="7"/>
        </w:numPr>
        <w:spacing w:after="23" w:line="248" w:lineRule="auto"/>
        <w:ind w:right="49"/>
        <w:rPr>
          <w:rFonts w:cs="Calibri"/>
        </w:rPr>
      </w:pPr>
      <w:r w:rsidRPr="005A62F7">
        <w:rPr>
          <w:rFonts w:cs="Calibri"/>
        </w:rPr>
        <w:t xml:space="preserve">SSL VPN. </w:t>
      </w:r>
    </w:p>
    <w:p w:rsidR="0003445E" w:rsidRPr="005A62F7" w:rsidRDefault="0003445E" w:rsidP="0003445E">
      <w:pPr>
        <w:pStyle w:val="Akapitzlist"/>
        <w:numPr>
          <w:ilvl w:val="1"/>
          <w:numId w:val="7"/>
        </w:numPr>
        <w:spacing w:after="23" w:line="248" w:lineRule="auto"/>
        <w:ind w:right="49"/>
        <w:rPr>
          <w:rFonts w:cs="Calibri"/>
        </w:rPr>
      </w:pPr>
      <w:r w:rsidRPr="005A62F7">
        <w:rPr>
          <w:rFonts w:cs="Calibri"/>
        </w:rPr>
        <w:t xml:space="preserve">SSL VPN ma działać w trybie tunelu. </w:t>
      </w:r>
    </w:p>
    <w:p w:rsidR="0003445E" w:rsidRPr="005A62F7" w:rsidRDefault="0003445E" w:rsidP="0003445E">
      <w:pPr>
        <w:pStyle w:val="Akapitzlist"/>
        <w:numPr>
          <w:ilvl w:val="0"/>
          <w:numId w:val="7"/>
        </w:numPr>
        <w:spacing w:after="23" w:line="248" w:lineRule="auto"/>
        <w:ind w:right="49"/>
        <w:rPr>
          <w:rFonts w:cs="Calibri"/>
        </w:rPr>
      </w:pPr>
      <w:r w:rsidRPr="005A62F7">
        <w:rPr>
          <w:rFonts w:cs="Calibri"/>
        </w:rPr>
        <w:t xml:space="preserve">Producent urządzenia ma umożliwiać pobranie klienta VPN współpracującego z oferowanym rozwiązaniem. </w:t>
      </w:r>
    </w:p>
    <w:p w:rsidR="0003445E" w:rsidRPr="005A62F7" w:rsidRDefault="0003445E" w:rsidP="0003445E">
      <w:pPr>
        <w:pStyle w:val="Akapitzlist"/>
        <w:numPr>
          <w:ilvl w:val="0"/>
          <w:numId w:val="7"/>
        </w:numPr>
        <w:spacing w:after="23" w:line="248" w:lineRule="auto"/>
        <w:ind w:right="49"/>
        <w:rPr>
          <w:rFonts w:cs="Calibri"/>
        </w:rPr>
      </w:pPr>
      <w:r w:rsidRPr="005A62F7">
        <w:rPr>
          <w:rFonts w:cs="Calibri"/>
        </w:rPr>
        <w:t xml:space="preserve">Klient SSL VPN ma być dostępny z poziomu portalu uwierzytelniania (captive portal) </w:t>
      </w:r>
    </w:p>
    <w:p w:rsidR="0003445E" w:rsidRPr="005A62F7" w:rsidRDefault="0003445E" w:rsidP="0003445E">
      <w:pPr>
        <w:pStyle w:val="Akapitzlist"/>
        <w:numPr>
          <w:ilvl w:val="0"/>
          <w:numId w:val="7"/>
        </w:numPr>
        <w:spacing w:after="23" w:line="248" w:lineRule="auto"/>
        <w:ind w:right="49"/>
        <w:rPr>
          <w:rFonts w:cs="Calibri"/>
        </w:rPr>
      </w:pPr>
      <w:r w:rsidRPr="005A62F7">
        <w:rPr>
          <w:rFonts w:cs="Calibri"/>
        </w:rPr>
        <w:t xml:space="preserve">Urządzenie ma umożliwiać funkcjonalność przełączenia tunelu na łącze zapasowe na wypadek awarii łącza dostawcy podstawowego (VPN Failover). </w:t>
      </w:r>
    </w:p>
    <w:p w:rsidR="0003445E" w:rsidRPr="005A62F7" w:rsidRDefault="0003445E" w:rsidP="0003445E">
      <w:pPr>
        <w:pStyle w:val="Akapitzlist"/>
        <w:numPr>
          <w:ilvl w:val="0"/>
          <w:numId w:val="7"/>
        </w:numPr>
        <w:spacing w:after="23" w:line="248" w:lineRule="auto"/>
        <w:ind w:right="49"/>
        <w:rPr>
          <w:rFonts w:cs="Calibri"/>
        </w:rPr>
      </w:pPr>
      <w:r w:rsidRPr="005A62F7">
        <w:rPr>
          <w:rFonts w:cs="Calibri"/>
        </w:rPr>
        <w:lastRenderedPageBreak/>
        <w:t xml:space="preserve">Urządzenie ma umożliwiać wsparcie dla technologii XAuth, Hub ‘n’ Spoke oraz modconf. </w:t>
      </w:r>
    </w:p>
    <w:p w:rsidR="0003445E" w:rsidRPr="005A62F7" w:rsidRDefault="0003445E" w:rsidP="0003445E">
      <w:pPr>
        <w:pStyle w:val="Akapitzlist"/>
        <w:numPr>
          <w:ilvl w:val="0"/>
          <w:numId w:val="7"/>
        </w:numPr>
        <w:spacing w:after="23" w:line="248" w:lineRule="auto"/>
        <w:ind w:right="49"/>
        <w:rPr>
          <w:rFonts w:cs="Calibri"/>
        </w:rPr>
      </w:pPr>
      <w:r w:rsidRPr="005A62F7">
        <w:rPr>
          <w:rFonts w:cs="Calibri"/>
        </w:rPr>
        <w:t xml:space="preserve">Urządzenie ma umożliwiać tworzenie tuneli IPSec Policy Based oraz Route Based.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Filtr dostępu do stron www:</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Urządzenie ma posiadać wbudowany filtr URL.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Filtr URL ma działać w oparciu o klasyfikację URL zawierającą co najmniej 50 kategorii tematycznych stron internetowych.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Administrator ma mieć możliwość dodawania własnych kategorii URL.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Administrator ma mieć możliwość zdefiniowania akcji w przypadku zaklasyfikowania danej strony do konkretnej kategorii. Do wyboru ma być przynajmniej: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blokowanie dostępu do adresu URL,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zezwolenie na dostęp do adresu URL,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blokowanie dostępu do adresu URL oraz wyświetlenie strony HTML zdefiniowanej przez administratora.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Administrator ma mieć możliwość skonfigurowania co najmniej 4 różnych stron z komunikatem o zablokowaniu strony.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Strona blokady ma umożliwiać wykorzystanie zmiennych środowiskowych.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Filtr URL musi uwzględniać komunikację po protokole HTTPS.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Urządzenie ma umożliwiać identyfikację i blokowanie przesyłanych danych z wykorzystaniem typu MIME.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Urządzenie ma umożliwiać stworzenie listy stron dostępnych po protokole HTTPS, które nie będą deszyfrowane. </w:t>
      </w:r>
    </w:p>
    <w:p w:rsidR="0003445E" w:rsidRPr="005A62F7" w:rsidRDefault="0003445E" w:rsidP="0003445E">
      <w:pPr>
        <w:pStyle w:val="Akapitzlist"/>
        <w:numPr>
          <w:ilvl w:val="0"/>
          <w:numId w:val="8"/>
        </w:numPr>
        <w:spacing w:after="23" w:line="248" w:lineRule="auto"/>
        <w:ind w:right="49"/>
        <w:rPr>
          <w:rFonts w:cs="Calibri"/>
        </w:rPr>
      </w:pPr>
      <w:r w:rsidRPr="005A62F7">
        <w:rPr>
          <w:rFonts w:cs="Calibri"/>
        </w:rPr>
        <w:t xml:space="preserve">Urządzenie musi oferować możliwość filtrowania wyników wyszukiwania z użyciem SafeSearch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Uwierzytelnianie:</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Urządzenie ma umożliwiać uwierzytelnianie użytkowników co najmniej w oparciu o: </w:t>
      </w:r>
    </w:p>
    <w:p w:rsidR="0003445E" w:rsidRPr="005A62F7" w:rsidRDefault="0003445E" w:rsidP="0003445E">
      <w:pPr>
        <w:pStyle w:val="Akapitzlist"/>
        <w:numPr>
          <w:ilvl w:val="1"/>
          <w:numId w:val="9"/>
        </w:numPr>
        <w:spacing w:after="23" w:line="248" w:lineRule="auto"/>
        <w:ind w:right="49"/>
        <w:rPr>
          <w:rFonts w:cs="Calibri"/>
        </w:rPr>
      </w:pPr>
      <w:r w:rsidRPr="005A62F7">
        <w:rPr>
          <w:rFonts w:cs="Calibri"/>
        </w:rPr>
        <w:t xml:space="preserve">lokalną bazę użytkowników (wewnętrzny LDAP), </w:t>
      </w:r>
    </w:p>
    <w:p w:rsidR="0003445E" w:rsidRPr="005A62F7" w:rsidRDefault="0003445E" w:rsidP="0003445E">
      <w:pPr>
        <w:pStyle w:val="Akapitzlist"/>
        <w:numPr>
          <w:ilvl w:val="1"/>
          <w:numId w:val="9"/>
        </w:numPr>
        <w:spacing w:after="23" w:line="248" w:lineRule="auto"/>
        <w:ind w:right="49"/>
        <w:rPr>
          <w:rFonts w:cs="Calibri"/>
        </w:rPr>
      </w:pPr>
      <w:r w:rsidRPr="005A62F7">
        <w:rPr>
          <w:rFonts w:cs="Calibri"/>
        </w:rPr>
        <w:t xml:space="preserve">zewnętrzną bazę użytkowników (zewnętrzny LDAP), </w:t>
      </w:r>
    </w:p>
    <w:p w:rsidR="0003445E" w:rsidRPr="005A62F7" w:rsidRDefault="0003445E" w:rsidP="0003445E">
      <w:pPr>
        <w:pStyle w:val="Akapitzlist"/>
        <w:numPr>
          <w:ilvl w:val="1"/>
          <w:numId w:val="9"/>
        </w:numPr>
        <w:spacing w:after="23" w:line="248" w:lineRule="auto"/>
        <w:ind w:right="49"/>
        <w:rPr>
          <w:rFonts w:cs="Calibri"/>
          <w:lang w:val="en-US"/>
        </w:rPr>
      </w:pPr>
      <w:r w:rsidRPr="005A62F7">
        <w:rPr>
          <w:rFonts w:cs="Calibri"/>
          <w:lang w:val="en-US"/>
        </w:rPr>
        <w:t xml:space="preserve">usługę katalogową Microsoft Active Directory.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Urządzenie ma umożliwiać równoczesne użycie co najmniej 5 różnych baz LDAP.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Urządzenie ma umożliwiać uruchomienie specjalnego portalu (captive portal), który ma zezwalać na autoryzację użytkowników co najmniej w oparciu o protokoły: SSL,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Radius,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Kerberos.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Urządzenie ma umożliwiać transparentną autoryzację użytkowników w usłudze katalogowej Microsoft Active Directory w oparciu o co najmniej dwa mechanizmy.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lastRenderedPageBreak/>
        <w:t xml:space="preserve">Co najmniej jedna z metod transparentnej autoryzacji nie może wymagać instalacji dedykowanego agenta.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Autoryzacja użytkowników z Microsoft Active Directory nie może wymagać modyfikacji schematu domeny.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Rozwiązanie musi mieć możliwość transparentnego uwierzytelniania użytkowników w ramach infrastruktury VDI (Virtual Desktop Infrastructure) poprzez dedykowanego agenta. Metoda ta musi wspierać co najmniej technologie Citrix Virtual Apps i Microsoft Remote Desktop Services (RDS).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Urządzenie musi posiadać wbudowany moduł zapewniający podwójne uwierzytelnianie 2FA poprzez zastosowanie czasowych haseł jednorazowych (TOTP).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Wbudowany moduł 2FA musi dawać możliwość wykorzystania haseł TOTP w ramach tuneli SSLVPN, IPSec, jak również logowania do portalu uwierzytelniania, webowego interfejsu administracyjnego i SSH. </w:t>
      </w:r>
    </w:p>
    <w:p w:rsidR="0003445E" w:rsidRPr="005A62F7" w:rsidRDefault="0003445E" w:rsidP="0003445E">
      <w:pPr>
        <w:pStyle w:val="Akapitzlist"/>
        <w:numPr>
          <w:ilvl w:val="0"/>
          <w:numId w:val="9"/>
        </w:numPr>
        <w:spacing w:after="23" w:line="248" w:lineRule="auto"/>
        <w:ind w:right="49"/>
        <w:rPr>
          <w:rFonts w:cs="Calibri"/>
        </w:rPr>
      </w:pPr>
      <w:r w:rsidRPr="005A62F7">
        <w:rPr>
          <w:rFonts w:cs="Calibri"/>
        </w:rPr>
        <w:t xml:space="preserve">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 xml:space="preserve">Administracja łączami do internetu (ISP): </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Urządzenie ma umożliwiać wsparcie dla mechanizmów równoważenia obciążenia łączy do sieci Internet (tzw. Load Balancing). </w:t>
      </w: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Mechanizm równoważenia obciążenia łącza internetowego ma działać w oparciu o następujące dwa mechanizmy: równoważenie względem adresu źródłowego, </w:t>
      </w: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równoważenie względem połączenia. </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Mechanizm równoważenia obciążenia ma uwzględniać wagi przypisywane osobno dla każdego z łączy do Internetu. </w:t>
      </w: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Urządzenie ma umożliwiać przełączenie na łącze zapasowe w przypadku awarii łącza podstawowego (tzw. Failover). </w:t>
      </w: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Urządzenie ma wspierać mechanizm SD-WAN zapewniając automatyczną optymalizację i wybór najkorzystniejszego łącza. </w:t>
      </w: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W zakresie SD-WAN urządzenie ma zapewniać obsługę mechanizmu SLA (monitorowanie opóźnienia, jitter, wskaźnika utraty pakietów). </w:t>
      </w:r>
    </w:p>
    <w:p w:rsidR="0003445E" w:rsidRPr="005A62F7" w:rsidRDefault="0003445E" w:rsidP="0003445E">
      <w:pPr>
        <w:pStyle w:val="Akapitzlist"/>
        <w:numPr>
          <w:ilvl w:val="0"/>
          <w:numId w:val="10"/>
        </w:numPr>
        <w:spacing w:after="23" w:line="248" w:lineRule="auto"/>
        <w:ind w:right="49"/>
        <w:rPr>
          <w:rFonts w:cs="Calibri"/>
        </w:rPr>
      </w:pPr>
      <w:r w:rsidRPr="005A62F7">
        <w:rPr>
          <w:rFonts w:cs="Calibri"/>
        </w:rPr>
        <w:t xml:space="preserve">Monitorowanie dostępności łącza musi być możliwe w oparciu o ICMP oraz TCP.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Routing (TRASOWANIE):</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1"/>
        </w:numPr>
        <w:spacing w:after="23" w:line="248" w:lineRule="auto"/>
        <w:ind w:right="49"/>
        <w:rPr>
          <w:rFonts w:cs="Calibri"/>
        </w:rPr>
      </w:pPr>
      <w:r w:rsidRPr="005A62F7">
        <w:rPr>
          <w:rFonts w:cs="Calibri"/>
        </w:rPr>
        <w:t xml:space="preserve">Urządzenie ma umożliwiać statyczne trasowanie pakietów. </w:t>
      </w:r>
    </w:p>
    <w:p w:rsidR="0003445E" w:rsidRPr="005A62F7" w:rsidRDefault="0003445E" w:rsidP="0003445E">
      <w:pPr>
        <w:pStyle w:val="Akapitzlist"/>
        <w:numPr>
          <w:ilvl w:val="0"/>
          <w:numId w:val="11"/>
        </w:numPr>
        <w:spacing w:after="23" w:line="248" w:lineRule="auto"/>
        <w:ind w:right="49"/>
        <w:rPr>
          <w:rFonts w:cs="Calibri"/>
        </w:rPr>
      </w:pPr>
      <w:r w:rsidRPr="005A62F7">
        <w:rPr>
          <w:rFonts w:cs="Calibri"/>
        </w:rPr>
        <w:lastRenderedPageBreak/>
        <w:t xml:space="preserve">Urządzenie ma umożliwiać trasowanie połączeń IPv6 co najmniej w zakresie trasowania statycznego oraz mechanizmu przełączenia na łącze zapasowe w przypadku awarii łącza podstawowego. </w:t>
      </w:r>
    </w:p>
    <w:p w:rsidR="0003445E" w:rsidRPr="005A62F7" w:rsidRDefault="0003445E" w:rsidP="0003445E">
      <w:pPr>
        <w:pStyle w:val="Akapitzlist"/>
        <w:numPr>
          <w:ilvl w:val="0"/>
          <w:numId w:val="11"/>
        </w:numPr>
        <w:spacing w:after="23" w:line="248" w:lineRule="auto"/>
        <w:ind w:right="49"/>
        <w:rPr>
          <w:rFonts w:cs="Calibri"/>
        </w:rPr>
      </w:pPr>
      <w:r w:rsidRPr="005A62F7">
        <w:rPr>
          <w:rFonts w:cs="Calibri"/>
        </w:rPr>
        <w:t xml:space="preserve">Urządzenie ma umożliwiać trasowanie pakietów z poziomu wybranej reguły firewall (tzw. Policy Based Routing). </w:t>
      </w:r>
    </w:p>
    <w:p w:rsidR="0003445E" w:rsidRPr="005A62F7" w:rsidRDefault="0003445E" w:rsidP="0003445E">
      <w:pPr>
        <w:pStyle w:val="Akapitzlist"/>
        <w:numPr>
          <w:ilvl w:val="0"/>
          <w:numId w:val="11"/>
        </w:numPr>
        <w:spacing w:after="23" w:line="248" w:lineRule="auto"/>
        <w:ind w:right="49"/>
        <w:rPr>
          <w:rFonts w:cs="Calibri"/>
        </w:rPr>
      </w:pPr>
      <w:r w:rsidRPr="005A62F7">
        <w:rPr>
          <w:rFonts w:cs="Calibri"/>
        </w:rPr>
        <w:t xml:space="preserve">Urządzenie ma umożliwiać dynamiczne trasowanie pakietów w oparciu co najmniej o protokoły: RIPv2, OSPF oraz BGP. </w:t>
      </w:r>
    </w:p>
    <w:p w:rsidR="0003445E" w:rsidRPr="005A62F7" w:rsidRDefault="0003445E" w:rsidP="0003445E">
      <w:pPr>
        <w:pStyle w:val="Akapitzlist"/>
        <w:numPr>
          <w:ilvl w:val="0"/>
          <w:numId w:val="11"/>
        </w:numPr>
        <w:spacing w:after="23" w:line="248" w:lineRule="auto"/>
        <w:ind w:right="49"/>
        <w:rPr>
          <w:rFonts w:cs="Calibri"/>
        </w:rPr>
      </w:pPr>
      <w:r w:rsidRPr="005A62F7">
        <w:rPr>
          <w:rFonts w:cs="Calibri"/>
        </w:rPr>
        <w:t xml:space="preserve">Rozwiązanie musi dawać możliwość wybrania predefiniowalnego obiektu typu blackhole.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Administracja urządzeniem:</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Konfiguracja urządzenia ma być możliwa z wykorzystaniem polskiego interfejsu graficznego.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Interfejs konfiguracyjny ma być dostępny poprzez przeglądarkę internetową, a komunikacja ma być możliwa zarówno poprzez niezaszyfrowany protokół HTTP, jak zaszyfrowany protokół HTTPS.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Administrator ma mieć możliwość wskazania do komunikacji innego portu niż 443 TCP.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zarządzanie przez dowolną liczbę administratorów z różnymi (także nakładającymi się) uprawnieniami.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musi oferować możliwość wykorzystania wbudowanych profili administracyjnych określających dostęp do poszczególnych modułów systemu na prawach: brak dostępu, dostęp tylko do odczytu lub pełen odczyt i zapis.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zarządzenia z poziomu konsoli (SSH)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zarządzanie poprzez dedykowaną platformę centralnego zarządzania.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Interfejs konfiguracyjny platformy centralnego zarządzania ma być dostępny poprzez przeglądarkę internetową, a komunikacja ma być zabezpieczona za pomocą protokołu HTTPS.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Wbudowany webowy, graficzny interfejs administracyjny urządzenia musi oferować narzędzia diagnostyczne, co najmniej ping, traceroute, nslookup.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Wbudowany webowy, graficzny interfejs administracyjny musi oferować narzędzia do przechwytywania pakietów, wyświetlania otwartych połączeń sieciowych.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Wbudowany webowy, graficzny interfejs administracyjny musi oferować możliwość zdefiniowania polityki haseł stosowanych w całym systemie w zakresie minimalnej ilości znaków czy złożoności hasła.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lastRenderedPageBreak/>
        <w:t xml:space="preserve">Wbudowany webowy, graficzny interfejs administracyjny musi oferować możliwość generowania skryptów z czynności wykonywanych przez administratora (script recording ).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System musi oferować możliwość zdefiniowania własnych obiektów sieciowych, obiektów URL, certyfikatów, usług internetowych (web services).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musi oferować portal uwierzytelniania (captive portal) dla użytkowników.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eksportowanie logów na zewnętrzny serwer (syslog) z wykorzystaniem transmisji nieszyfrowanej jak i szyfrowanej (TLS).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eksportowanie logów za pomocą protokołu IPFIX.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eksportowanie backupu konfiguracji (kopia zapasowa) co najmniej w zakresie: </w:t>
      </w:r>
    </w:p>
    <w:p w:rsidR="0003445E" w:rsidRPr="005A62F7" w:rsidRDefault="0003445E" w:rsidP="0003445E">
      <w:pPr>
        <w:pStyle w:val="Akapitzlist"/>
        <w:numPr>
          <w:ilvl w:val="1"/>
          <w:numId w:val="12"/>
        </w:numPr>
        <w:spacing w:after="23" w:line="248" w:lineRule="auto"/>
        <w:ind w:right="49"/>
        <w:rPr>
          <w:rFonts w:cs="Calibri"/>
        </w:rPr>
      </w:pPr>
      <w:r w:rsidRPr="005A62F7">
        <w:rPr>
          <w:rFonts w:cs="Calibri"/>
        </w:rPr>
        <w:t xml:space="preserve">manualnego eksportu do pliku w dowolnym momencie czasu, </w:t>
      </w:r>
    </w:p>
    <w:p w:rsidR="0003445E" w:rsidRPr="005A62F7" w:rsidRDefault="0003445E" w:rsidP="0003445E">
      <w:pPr>
        <w:pStyle w:val="Akapitzlist"/>
        <w:numPr>
          <w:ilvl w:val="1"/>
          <w:numId w:val="12"/>
        </w:numPr>
        <w:spacing w:after="23" w:line="248" w:lineRule="auto"/>
        <w:ind w:right="49"/>
        <w:rPr>
          <w:rFonts w:cs="Calibri"/>
        </w:rPr>
      </w:pPr>
      <w:r w:rsidRPr="005A62F7">
        <w:rPr>
          <w:rFonts w:cs="Calibri"/>
        </w:rPr>
        <w:t xml:space="preserve">automatycznego eksportu do serwerów producenta lub na dedykowany serwer zarządzany przez administratora, z możliwością wyboru częstotliwości co najmniej: raz dziennie, raz w tygodniu, raz w miesiącu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odtworzenie backupu konfiguracji pochodzących bezpośrednio z serwerów producenta lub z dedykowanego serwera zarządzanego przez administratora.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Urządzenie ma umożliwiać anonimizację logów co najmniej w zakresie adresu źródłowego oraz nazwy użytkownika. </w:t>
      </w:r>
    </w:p>
    <w:p w:rsidR="0003445E" w:rsidRPr="005A62F7" w:rsidRDefault="0003445E" w:rsidP="0003445E">
      <w:pPr>
        <w:pStyle w:val="Akapitzlist"/>
        <w:numPr>
          <w:ilvl w:val="0"/>
          <w:numId w:val="12"/>
        </w:numPr>
        <w:spacing w:after="23" w:line="248" w:lineRule="auto"/>
        <w:ind w:right="49"/>
        <w:rPr>
          <w:rFonts w:cs="Calibri"/>
        </w:rPr>
      </w:pPr>
      <w:r w:rsidRPr="005A62F7">
        <w:rPr>
          <w:rFonts w:cs="Calibri"/>
        </w:rPr>
        <w:t xml:space="preserve">Rozwiązanie musi dawać możliwość ręcznej aktualizacji baz zabezpieczeń poprzez wskazanie pliku aktualizacji w trybie offline z poziomu interfejsu graficznego.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Raportowanie:</w:t>
      </w:r>
    </w:p>
    <w:p w:rsidR="0003445E" w:rsidRPr="005A62F7" w:rsidRDefault="0003445E" w:rsidP="0003445E">
      <w:pPr>
        <w:spacing w:after="23" w:line="248" w:lineRule="auto"/>
        <w:ind w:right="49"/>
        <w:rPr>
          <w:rFonts w:cs="Calibri"/>
        </w:rPr>
      </w:pPr>
      <w:r w:rsidRPr="005A62F7">
        <w:rPr>
          <w:rFonts w:cs="Calibri"/>
          <w:b/>
          <w:bCs/>
        </w:rPr>
        <w:t xml:space="preserve">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Urządzenie ma posiadać wbudowany w interfejs administracyjny system raportowania i przeglądania logów zebranych na urządzeniu.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System raportowania i przeglądania logów wbudowany w system nie może wymagać dodatkowej licencji do swojego działania.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System raportowania ma posiadać predefiniowane raporty dla co najmniej ruchu WEB, modułu IPS, skanera Antywirusowego, skanera Antyspamowego.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System raportowania ma umożliwiać wygenerowanie co najmniej 25 różnych raportów.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System raportowania ma umożliwiać edycję konfiguracji bezpośrednio z poziomu raportu.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System raportowania ma umożliwiać eksport wyników raportu do formatu CSV.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Urządzenie musi posiadać możliwość rozbudowy o dedykowany system zbierania logów i tworzenia raportów w postaci wirtualnej maszyny pochodzący od tego samego producenta.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t xml:space="preserve">Urządzenie ma umożliwiać monitorowanie swojego stanu w wykorzystanie protokołu SNMP w wersji 1, 2 i 3. </w:t>
      </w:r>
    </w:p>
    <w:p w:rsidR="0003445E" w:rsidRPr="005A62F7" w:rsidRDefault="0003445E" w:rsidP="0003445E">
      <w:pPr>
        <w:pStyle w:val="Akapitzlist"/>
        <w:numPr>
          <w:ilvl w:val="0"/>
          <w:numId w:val="13"/>
        </w:numPr>
        <w:spacing w:after="23" w:line="248" w:lineRule="auto"/>
        <w:ind w:right="49"/>
        <w:rPr>
          <w:rFonts w:cs="Calibri"/>
        </w:rPr>
      </w:pPr>
      <w:r w:rsidRPr="005A62F7">
        <w:rPr>
          <w:rFonts w:cs="Calibri"/>
        </w:rPr>
        <w:lastRenderedPageBreak/>
        <w:t xml:space="preserve">Urządzenie ma umożliwiać monitorowanie ruchu sieciowego bezpośrednio w konsoli GUI, a także z poziomu konsoli (SSH).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Pozostałe usługi i funkcje:</w:t>
      </w:r>
    </w:p>
    <w:p w:rsidR="0003445E" w:rsidRPr="005A62F7" w:rsidRDefault="0003445E" w:rsidP="0003445E">
      <w:pPr>
        <w:spacing w:after="23" w:line="248" w:lineRule="auto"/>
        <w:ind w:right="49"/>
        <w:rPr>
          <w:rFonts w:cs="Calibri"/>
        </w:rPr>
      </w:pP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posiadać wbudowany serwer DHCP z możliwością dynamicznego przypisywania adresów jak i statycznego przypisywania adresu IP do adresu MAC karty sieciowej.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pozwalać na przesyłanie zapytań DHCP do zewnętrznego serwera DHCP (tzw. DHCP Relay).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Konfiguracja serwera DHCP ma być niezależna dla IPv4 i IPv6.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umożliwiać stworzenia różnych konfiguracji DHCP dla różnych podsieci skonfigurowanych zarówno na interfejsach fizycznych jak i wirtualnych (VLAN) w zakresie określenia bramy, serwerów DNS, nazwy domeny).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posiadać usługę DNS Proxy.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posiadać wsparcie dla Spanning-tree protocol (RSTP/MSTP).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musi oferować wsparcie dla IEEE 802.1Q VLAN.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musi mieć zaimplementowane Open API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posiadać dwie niezależne partycje np. w celu zapewnienia działania na wypadek awarii podczas aktualizacji oprogramowania układowego (firmware). W tym celu ma być możliwe zsynchronizowanie aktywnej partycji z zapasową przed aktualizacją firmware lub w dowolnym innym momencie. </w:t>
      </w:r>
    </w:p>
    <w:p w:rsidR="0003445E" w:rsidRPr="005A62F7" w:rsidRDefault="0003445E" w:rsidP="0003445E">
      <w:pPr>
        <w:numPr>
          <w:ilvl w:val="0"/>
          <w:numId w:val="14"/>
        </w:numPr>
        <w:spacing w:after="23" w:line="248" w:lineRule="auto"/>
        <w:ind w:right="49"/>
        <w:rPr>
          <w:rFonts w:cs="Calibri"/>
        </w:rPr>
      </w:pPr>
      <w:r w:rsidRPr="005A62F7">
        <w:rPr>
          <w:rFonts w:cs="Calibri"/>
        </w:rPr>
        <w:t xml:space="preserve">Urządzenie ma umożliwiać stworzenie interfejsu zagregowanego w oparciu o protokół LACP.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t>Gwarancja i serwis:</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5"/>
        </w:numPr>
        <w:spacing w:after="23" w:line="248" w:lineRule="auto"/>
        <w:ind w:right="49"/>
        <w:rPr>
          <w:rFonts w:cs="Calibri"/>
        </w:rPr>
      </w:pPr>
      <w:r w:rsidRPr="005A62F7">
        <w:rPr>
          <w:rFonts w:cs="Calibri"/>
        </w:rPr>
        <w:t xml:space="preserve">Urządzenie ma być objęte 36-miesięczną gwarancją producenta na dostarczone elementy systemu oraz licencję dla wszystkich funkcji bezpieczeństwa. </w:t>
      </w:r>
    </w:p>
    <w:p w:rsidR="0003445E" w:rsidRPr="005A62F7" w:rsidRDefault="0003445E" w:rsidP="0003445E">
      <w:pPr>
        <w:pStyle w:val="Akapitzlist"/>
        <w:numPr>
          <w:ilvl w:val="0"/>
          <w:numId w:val="15"/>
        </w:numPr>
        <w:spacing w:after="23" w:line="248" w:lineRule="auto"/>
        <w:ind w:right="49"/>
        <w:rPr>
          <w:rFonts w:cs="Calibri"/>
        </w:rPr>
      </w:pPr>
      <w:r w:rsidRPr="005A62F7">
        <w:rPr>
          <w:rFonts w:cs="Calibri"/>
        </w:rPr>
        <w:t xml:space="preserve">W okresie obowiązywania gwarancji ma być zapewnione wsparcie techniczne świadczone co najmniej drogą e-mail lub przez dedykowany do tego portal. </w:t>
      </w:r>
    </w:p>
    <w:p w:rsidR="0003445E" w:rsidRPr="005A62F7" w:rsidRDefault="0003445E" w:rsidP="0003445E">
      <w:pPr>
        <w:spacing w:after="23" w:line="248" w:lineRule="auto"/>
        <w:ind w:right="49"/>
        <w:rPr>
          <w:rFonts w:cs="Calibri"/>
          <w:b/>
        </w:rPr>
      </w:pPr>
    </w:p>
    <w:p w:rsidR="0003445E" w:rsidRPr="005A62F7" w:rsidRDefault="0003445E" w:rsidP="0003445E">
      <w:pPr>
        <w:spacing w:after="23" w:line="248" w:lineRule="auto"/>
        <w:ind w:right="49"/>
        <w:rPr>
          <w:rFonts w:cs="Calibri"/>
          <w:b/>
        </w:rPr>
      </w:pPr>
      <w:r w:rsidRPr="005A62F7">
        <w:rPr>
          <w:rFonts w:cs="Calibri"/>
          <w:b/>
        </w:rPr>
        <w:t>Licencje:</w:t>
      </w:r>
    </w:p>
    <w:p w:rsidR="0003445E" w:rsidRPr="005A62F7" w:rsidRDefault="0003445E" w:rsidP="0003445E">
      <w:pPr>
        <w:spacing w:before="180" w:after="180" w:line="240" w:lineRule="auto"/>
        <w:rPr>
          <w:rFonts w:eastAsia="Times New Roman" w:cs="Calibri"/>
          <w:kern w:val="0"/>
          <w:lang w:eastAsia="pl-PL"/>
        </w:rPr>
      </w:pPr>
      <w:r w:rsidRPr="005A62F7">
        <w:rPr>
          <w:rFonts w:eastAsia="Times New Roman" w:cs="Calibri"/>
          <w:kern w:val="0"/>
          <w:lang w:eastAsia="pl-PL"/>
        </w:rPr>
        <w:t xml:space="preserve">Z urządzeniem dostarczone zostaną licencje na okres 36 miesięcy na poniższe funkcjonalności: Firewall warstwy 7, Geolokalizacja, Usługi internetowe, Uwierzytelnienie użytkowników, MFA oraz SSO, IPsec VPN, SSL VPN, IPS/IDS, Antyspam, Filtrowanie URL, Antywirus, Sandboxing wykorzystujący AI, Ochrona protokołów przemysłowych. </w:t>
      </w: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rPr>
      </w:pPr>
    </w:p>
    <w:p w:rsidR="0003445E" w:rsidRPr="005A62F7" w:rsidRDefault="0003445E" w:rsidP="0003445E">
      <w:pPr>
        <w:spacing w:after="23" w:line="248" w:lineRule="auto"/>
        <w:ind w:right="49"/>
        <w:rPr>
          <w:rFonts w:cs="Calibri"/>
          <w:b/>
          <w:bCs/>
        </w:rPr>
      </w:pPr>
      <w:r w:rsidRPr="005A62F7">
        <w:rPr>
          <w:rFonts w:cs="Calibri"/>
          <w:b/>
          <w:bCs/>
        </w:rPr>
        <w:lastRenderedPageBreak/>
        <w:t>Parametry sprzętowe:</w:t>
      </w:r>
    </w:p>
    <w:p w:rsidR="0003445E" w:rsidRPr="005A62F7" w:rsidRDefault="0003445E" w:rsidP="0003445E">
      <w:pPr>
        <w:spacing w:after="23" w:line="248" w:lineRule="auto"/>
        <w:ind w:right="49"/>
        <w:rPr>
          <w:rFonts w:cs="Calibri"/>
        </w:rPr>
      </w:pP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ma być pozbawione dysku twardego, a oprogramowanie wewnętrzne musi działać na wbudowanej pamięci flash.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ma być wyposażone w zintegrowany port na kartę microSD.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portów Ethernet 2,5Gbps – min. 8.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portów światłowodowych 1Gbps – min. 1.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ma umożliwiać dostęp do Internetu za pomocą modemu 3G oraz 4G pochodzącego od dowolnego producenta.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Przepustowość Firewall (1518 bajtów UDP) – minimum 8Gbps.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Przepustowość Firewall wraz z włączonym systemem IPS (1518 bajtów UDP) – minimum 4Gbps.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Przepustowość filtrowania Antywirusowego – minimum 1Gbps.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Przepustowość tunelu VPN przy szyfrowaniu AES – minimum 2Gbps.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tuneli VPN IPSec – minimum 100.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tuneli typu SSL VPN (tryb tunelu) – minimum 100.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Obsługa interfejsów 802.11q (VLAN) – minimum 128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równoczesnych sesji – minimum 400 000 i nie mniej niż 25 000 nowych sesji/sekundę.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ma umożliwiać budowanie klastrów wysokiej dostępności HA co najmniej w trybie Active-Passive.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nie ma limitu na liczbę użytkowników.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reguł filtrowania – minimum 8 192.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tras statycznego routingu – minimum 512.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Liczba tras dynamicznego routingu – minimum 10 000.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ma umożliwiać podłączenie zewnętrznego nadmiarowego zasilacza (zasilanie redundantne). Stan pracy każdego zasilacza musi być sygnalizowany bezpośrednio na obudowie urządzenia. </w:t>
      </w:r>
    </w:p>
    <w:p w:rsidR="0003445E" w:rsidRPr="005A62F7" w:rsidRDefault="0003445E" w:rsidP="0003445E">
      <w:pPr>
        <w:pStyle w:val="Akapitzlist"/>
        <w:numPr>
          <w:ilvl w:val="0"/>
          <w:numId w:val="16"/>
        </w:numPr>
        <w:spacing w:after="23" w:line="248" w:lineRule="auto"/>
        <w:ind w:right="49"/>
        <w:rPr>
          <w:rFonts w:cs="Calibri"/>
        </w:rPr>
      </w:pPr>
      <w:r w:rsidRPr="005A62F7">
        <w:rPr>
          <w:rFonts w:cs="Calibri"/>
        </w:rPr>
        <w:t xml:space="preserve">Urządzenie musi być wyposażone w moduł TPM. </w:t>
      </w:r>
    </w:p>
    <w:p w:rsidR="0003445E" w:rsidRPr="005A62F7" w:rsidRDefault="0003445E" w:rsidP="0003445E">
      <w:pPr>
        <w:spacing w:after="23" w:line="248" w:lineRule="auto"/>
        <w:ind w:right="49"/>
        <w:rPr>
          <w:rFonts w:cs="Calibri"/>
          <w:sz w:val="22"/>
          <w:szCs w:val="22"/>
        </w:rPr>
      </w:pPr>
    </w:p>
    <w:p w:rsidR="00106117" w:rsidRDefault="00106117"/>
    <w:p w:rsidR="007D475F" w:rsidRDefault="007D475F">
      <w:pPr>
        <w:spacing w:after="200" w:line="276" w:lineRule="auto"/>
      </w:pPr>
      <w:r>
        <w:br w:type="page"/>
      </w:r>
    </w:p>
    <w:p w:rsidR="00591CF0" w:rsidRPr="005A62F7" w:rsidRDefault="00591CF0" w:rsidP="00591CF0">
      <w:pPr>
        <w:pStyle w:val="Nagwek2"/>
      </w:pPr>
      <w:r w:rsidRPr="005A62F7">
        <w:lastRenderedPageBreak/>
        <w:t>System klasy SIEM do analizy zdarzeń i logów</w:t>
      </w:r>
    </w:p>
    <w:p w:rsidR="00591CF0" w:rsidRPr="005A62F7" w:rsidRDefault="00591CF0" w:rsidP="00591CF0">
      <w:pPr>
        <w:spacing w:after="0" w:line="240" w:lineRule="auto"/>
        <w:jc w:val="both"/>
        <w:rPr>
          <w:rFonts w:cs="Calibri"/>
          <w:bCs/>
        </w:rPr>
      </w:pPr>
      <w:r w:rsidRPr="005A62F7">
        <w:rPr>
          <w:rFonts w:cs="Calibri"/>
          <w:bCs/>
        </w:rPr>
        <w:t>Zamawiający wymaga dostarczenia i wdrożenia systemu klasy SIEM do analizy zdarzeń i logów. Zamawiający wymaga, aby system natywnie integrował się z systemem UTM oraz posiadał do niego wsparcie producenta.</w:t>
      </w:r>
    </w:p>
    <w:p w:rsidR="00591CF0" w:rsidRPr="005A62F7" w:rsidRDefault="00591CF0" w:rsidP="00591CF0">
      <w:pPr>
        <w:spacing w:after="0" w:line="240" w:lineRule="auto"/>
        <w:jc w:val="both"/>
        <w:rPr>
          <w:rFonts w:cs="Calibri"/>
          <w:bCs/>
        </w:rPr>
      </w:pPr>
    </w:p>
    <w:p w:rsidR="00591CF0" w:rsidRPr="005A62F7" w:rsidRDefault="00591CF0" w:rsidP="00591CF0">
      <w:pPr>
        <w:jc w:val="both"/>
        <w:rPr>
          <w:rFonts w:cs="Calibri"/>
        </w:rPr>
      </w:pPr>
      <w:r w:rsidRPr="005A62F7">
        <w:rPr>
          <w:rFonts w:cs="Calibri"/>
          <w:b/>
        </w:rPr>
        <w:t>Wymagania ogólne:</w:t>
      </w:r>
    </w:p>
    <w:p w:rsidR="00591CF0" w:rsidRPr="005A62F7" w:rsidRDefault="00591CF0" w:rsidP="00591CF0">
      <w:pPr>
        <w:pStyle w:val="Akapitzlist"/>
        <w:numPr>
          <w:ilvl w:val="0"/>
          <w:numId w:val="21"/>
        </w:numPr>
        <w:spacing w:line="259" w:lineRule="auto"/>
        <w:jc w:val="both"/>
        <w:rPr>
          <w:rFonts w:cs="Calibri"/>
          <w:color w:val="000000"/>
        </w:rPr>
      </w:pPr>
      <w:r w:rsidRPr="005A62F7">
        <w:rPr>
          <w:rFonts w:cs="Calibri"/>
          <w:color w:val="000000"/>
        </w:rPr>
        <w:t xml:space="preserve">Zamawiający wymaga dostarczenia dedykowanego systemu centralnego </w:t>
      </w:r>
      <w:r w:rsidRPr="005A62F7">
        <w:rPr>
          <w:rFonts w:cs="Calibri"/>
        </w:rPr>
        <w:t>logowania i raportowania</w:t>
      </w:r>
      <w:r w:rsidRPr="005A62F7">
        <w:rPr>
          <w:rFonts w:cs="Calibri"/>
          <w:color w:val="000000"/>
        </w:rPr>
        <w:t xml:space="preserve">, obsługującego dostarczonego w ramach postępowania firewalla. </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W ramach systemu logowania i raportowania musi zostać dostarczony system monitorujący, gromadzący logi, korelujący zdarzenia i generujący raporty na podstawie danych z systemów bezpieczeństwa.</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centralnego logowania i raportowania musi zostać dostarczony w postaci maszyny wirtualnej instalowanej w środowisku HyperV</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 xml:space="preserve">System logowania i raportowania musi zapewniać obsługę przestrzeni dyskowej o pojemności nie mniejszej niż 100 GB i pozwalać na przechowywanie zarchiwizowanych danych w ramach systemu przez okres minimum 2 lat. </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umożliwiać zbieranie minimum 30 GB logów dziennie.</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Logi nie mogą być przechowywane w chmurze.</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Zbierane dane powinny zawierać informacje co najmniej o: ruchu sieciowym, użytkownikach, aplikacjach, zagrożeniach i filtrowanych stronach WWW.</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umożliwiać obsługę incydentów na podstawie reguł wyszukujących automatycznie zdarzenia z logów firewalli.</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posiadać narzędzia dla łatwego przeszukiwania logów zebranych z podłączonych firewalli. Logi muszą być filtrowane na podstawie zapytań, które można stosować wielokrotnie.</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mieć możliwość synchronizacji z serwerami czasu NTP.</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 xml:space="preserve">System logowania i raportowania musi mieć predefiniowane panele w postaci graficznej prezentacji zebranych informacji wykonane przez producenta Firewalli, które będą dostarczone </w:t>
      </w:r>
      <w:r w:rsidRPr="005A62F7">
        <w:rPr>
          <w:rFonts w:cs="Calibri"/>
          <w:color w:val="000000"/>
        </w:rPr>
        <w:t>w ramach postępowania firewalle</w:t>
      </w:r>
      <w:r w:rsidRPr="005A62F7">
        <w:rPr>
          <w:rFonts w:cs="Calibri"/>
        </w:rPr>
        <w:t>.</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umożliwiać tworzenie statycznych raportów. Musi istnieć możliwość zapisania stworzonych raportów do plików w formatach: PDF oraz wysyłania ich w postaci wiadomości e-mail do wybranych osób.</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umożliwiać zaplanowanie wykonania raportów.</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 xml:space="preserve">System logowania i raportowania musi mieć predefiniowany raport przez producenta Firewalli, które będą dostarczone </w:t>
      </w:r>
      <w:r w:rsidRPr="005A62F7">
        <w:rPr>
          <w:rFonts w:cs="Calibri"/>
          <w:color w:val="000000"/>
        </w:rPr>
        <w:t>w ramach postępowania na firewalle</w:t>
      </w:r>
      <w:r w:rsidRPr="005A62F7">
        <w:rPr>
          <w:rFonts w:cs="Calibri"/>
        </w:rPr>
        <w:t>.</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umożliwiać tworzenie własnych raportów.</w:t>
      </w:r>
    </w:p>
    <w:p w:rsidR="00591CF0" w:rsidRPr="005A62F7" w:rsidRDefault="00591CF0" w:rsidP="00591CF0">
      <w:pPr>
        <w:pStyle w:val="Akapitzlist"/>
        <w:numPr>
          <w:ilvl w:val="0"/>
          <w:numId w:val="21"/>
        </w:numPr>
        <w:spacing w:after="0" w:line="240" w:lineRule="auto"/>
        <w:jc w:val="both"/>
        <w:rPr>
          <w:rFonts w:cs="Calibri"/>
        </w:rPr>
      </w:pPr>
      <w:r w:rsidRPr="005A62F7">
        <w:rPr>
          <w:rFonts w:cs="Calibri"/>
        </w:rPr>
        <w:t>System logowania i raportowania musi umożliwiać tworzenie dynamicznych raportów (w czasie rzeczywistym) z funkcjonalnością „drill-down”.</w:t>
      </w:r>
    </w:p>
    <w:p w:rsidR="00591CF0" w:rsidRPr="005A62F7" w:rsidRDefault="00591CF0" w:rsidP="00591CF0">
      <w:pPr>
        <w:pStyle w:val="Akapitzlist"/>
        <w:spacing w:after="0" w:line="240" w:lineRule="auto"/>
        <w:ind w:left="1440"/>
        <w:jc w:val="both"/>
        <w:rPr>
          <w:rFonts w:cs="Calibri"/>
        </w:rPr>
      </w:pPr>
    </w:p>
    <w:p w:rsidR="00591CF0" w:rsidRPr="005A62F7" w:rsidRDefault="00591CF0" w:rsidP="00591CF0">
      <w:pPr>
        <w:jc w:val="both"/>
        <w:rPr>
          <w:rFonts w:cs="Calibri"/>
          <w:color w:val="000000"/>
        </w:rPr>
      </w:pPr>
      <w:r w:rsidRPr="005A62F7">
        <w:rPr>
          <w:rFonts w:cs="Calibri"/>
          <w:b/>
        </w:rPr>
        <w:t>Wymagania dotyczące wsparcia technicznego:</w:t>
      </w:r>
    </w:p>
    <w:p w:rsidR="00591CF0" w:rsidRPr="005A62F7" w:rsidRDefault="00591CF0" w:rsidP="00591CF0">
      <w:pPr>
        <w:pStyle w:val="Akapitzlist"/>
        <w:numPr>
          <w:ilvl w:val="0"/>
          <w:numId w:val="21"/>
        </w:numPr>
        <w:spacing w:after="0" w:line="240" w:lineRule="auto"/>
        <w:jc w:val="both"/>
        <w:rPr>
          <w:rFonts w:cs="Calibri"/>
          <w:color w:val="000000"/>
        </w:rPr>
      </w:pPr>
      <w:r w:rsidRPr="005A62F7">
        <w:rPr>
          <w:rFonts w:cs="Calibri"/>
          <w:color w:val="000000"/>
        </w:rPr>
        <w:t>System centralnego logowania i raportowania musi być</w:t>
      </w:r>
      <w:r w:rsidR="00362C72">
        <w:rPr>
          <w:rFonts w:cs="Calibri"/>
          <w:color w:val="000000"/>
        </w:rPr>
        <w:t xml:space="preserve"> </w:t>
      </w:r>
      <w:r w:rsidRPr="005A62F7">
        <w:rPr>
          <w:rFonts w:cs="Calibri"/>
          <w:color w:val="000000"/>
        </w:rPr>
        <w:t xml:space="preserve">objęty serwisem gwarancyjnym na okres </w:t>
      </w:r>
      <w:r w:rsidRPr="005A62F7">
        <w:rPr>
          <w:rFonts w:cs="Calibri"/>
        </w:rPr>
        <w:t>24 miesięcy.</w:t>
      </w:r>
      <w:bookmarkStart w:id="0" w:name="_GoBack"/>
      <w:bookmarkEnd w:id="0"/>
    </w:p>
    <w:p w:rsidR="00591CF0" w:rsidRPr="005A62F7" w:rsidRDefault="00591CF0" w:rsidP="00591CF0">
      <w:pPr>
        <w:pStyle w:val="Akapitzlist"/>
        <w:numPr>
          <w:ilvl w:val="0"/>
          <w:numId w:val="21"/>
        </w:numPr>
        <w:spacing w:after="0" w:line="240" w:lineRule="auto"/>
        <w:jc w:val="both"/>
        <w:rPr>
          <w:rFonts w:cs="Calibri"/>
          <w:color w:val="000000"/>
        </w:rPr>
      </w:pPr>
      <w:r w:rsidRPr="005A62F7">
        <w:rPr>
          <w:rFonts w:cs="Calibri"/>
          <w:color w:val="000000"/>
        </w:rPr>
        <w:t>Zamawiający wymaga przeprowadzenia instruktażu z obsługi systemu dla minimum 1 Administratora.</w:t>
      </w:r>
    </w:p>
    <w:p w:rsidR="00591CF0" w:rsidRPr="005A62F7" w:rsidRDefault="00591CF0" w:rsidP="00591CF0">
      <w:pPr>
        <w:rPr>
          <w:rFonts w:cs="Calibri"/>
        </w:rPr>
      </w:pPr>
    </w:p>
    <w:p w:rsidR="00591CF0" w:rsidRPr="005A62F7" w:rsidRDefault="00591CF0" w:rsidP="00591CF0">
      <w:pPr>
        <w:pStyle w:val="Nagwek2"/>
      </w:pPr>
      <w:r w:rsidRPr="005A62F7">
        <w:t>Instruktaż</w:t>
      </w:r>
    </w:p>
    <w:p w:rsidR="00591CF0" w:rsidRPr="005A62F7" w:rsidRDefault="00591CF0" w:rsidP="00591CF0">
      <w:pPr>
        <w:pStyle w:val="Akapitzlist"/>
        <w:numPr>
          <w:ilvl w:val="0"/>
          <w:numId w:val="17"/>
        </w:numPr>
        <w:jc w:val="both"/>
      </w:pPr>
      <w:r w:rsidRPr="005A62F7">
        <w:t xml:space="preserve">W ramach przedmiotowego zamówienia Wykonawca przeprowadzi instruktaż dla nie więcej niż 2 osób wskazanych przez Zamawiającego. </w:t>
      </w:r>
    </w:p>
    <w:p w:rsidR="00591CF0" w:rsidRPr="005A62F7" w:rsidRDefault="00591CF0" w:rsidP="00591CF0">
      <w:pPr>
        <w:pStyle w:val="Akapitzlist"/>
        <w:numPr>
          <w:ilvl w:val="0"/>
          <w:numId w:val="17"/>
        </w:numPr>
        <w:jc w:val="both"/>
      </w:pPr>
      <w:r w:rsidRPr="005A62F7">
        <w:t>Wykonawca na potrzeby wdrożenia zapewni instruktaż z dostarczonych produktów infrastruktury s</w:t>
      </w:r>
      <w:r w:rsidR="007D475F">
        <w:t>iecio</w:t>
      </w:r>
      <w:r w:rsidRPr="005A62F7">
        <w:t>wej. Zakres instruktażu będzie zawierał:</w:t>
      </w:r>
    </w:p>
    <w:p w:rsidR="00591CF0" w:rsidRPr="005A62F7" w:rsidRDefault="00822903" w:rsidP="00591CF0">
      <w:pPr>
        <w:pStyle w:val="Akapitzlist"/>
        <w:numPr>
          <w:ilvl w:val="0"/>
          <w:numId w:val="20"/>
        </w:numPr>
        <w:jc w:val="both"/>
      </w:pPr>
      <w:r>
        <w:t xml:space="preserve">konfigurację urządzenia UTM </w:t>
      </w:r>
    </w:p>
    <w:p w:rsidR="00591CF0" w:rsidRPr="005A62F7" w:rsidRDefault="00591CF0" w:rsidP="00591CF0">
      <w:pPr>
        <w:pStyle w:val="Akapitzlist"/>
        <w:numPr>
          <w:ilvl w:val="0"/>
          <w:numId w:val="20"/>
        </w:numPr>
        <w:jc w:val="both"/>
      </w:pPr>
      <w:r w:rsidRPr="005A62F7">
        <w:t xml:space="preserve">zarządzanie </w:t>
      </w:r>
      <w:r w:rsidR="00822903">
        <w:t xml:space="preserve">i obsługę </w:t>
      </w:r>
      <w:r w:rsidRPr="005A62F7">
        <w:t>system</w:t>
      </w:r>
      <w:r w:rsidR="00822903">
        <w:t>u</w:t>
      </w:r>
      <w:r w:rsidRPr="005A62F7">
        <w:t xml:space="preserve"> </w:t>
      </w:r>
      <w:r w:rsidR="007D475F">
        <w:t>SIEM</w:t>
      </w:r>
      <w:r w:rsidR="00822903">
        <w:t xml:space="preserve">. </w:t>
      </w:r>
    </w:p>
    <w:p w:rsidR="00591CF0" w:rsidRPr="005A62F7" w:rsidRDefault="00591CF0" w:rsidP="00591CF0">
      <w:pPr>
        <w:pStyle w:val="Akapitzlist"/>
        <w:numPr>
          <w:ilvl w:val="0"/>
          <w:numId w:val="17"/>
        </w:numPr>
        <w:jc w:val="both"/>
      </w:pPr>
      <w:r w:rsidRPr="005A62F7">
        <w:t>Instruktaż odbędzie się w formie tradycyjnej w siedzibie Zamawiającego lub online. Minimalny czas trwania instruktażu to 1</w:t>
      </w:r>
      <w:r w:rsidR="00822903">
        <w:t xml:space="preserve"> </w:t>
      </w:r>
      <w:r w:rsidRPr="005A62F7">
        <w:t>x</w:t>
      </w:r>
      <w:r w:rsidR="00822903">
        <w:t xml:space="preserve"> </w:t>
      </w:r>
      <w:r w:rsidRPr="005A62F7">
        <w:t>8 godzin.</w:t>
      </w:r>
    </w:p>
    <w:p w:rsidR="00591CF0" w:rsidRPr="005A62F7" w:rsidRDefault="00591CF0" w:rsidP="00591CF0">
      <w:pPr>
        <w:pStyle w:val="Akapitzlist"/>
        <w:numPr>
          <w:ilvl w:val="0"/>
          <w:numId w:val="17"/>
        </w:numPr>
        <w:jc w:val="both"/>
      </w:pPr>
      <w:r w:rsidRPr="005A62F7">
        <w:t xml:space="preserve">Instruktaż będzie prowadzony w języku polskim. </w:t>
      </w:r>
    </w:p>
    <w:p w:rsidR="00591CF0" w:rsidRPr="005A62F7" w:rsidRDefault="00591CF0" w:rsidP="00591CF0">
      <w:pPr>
        <w:pStyle w:val="Nagwek2"/>
      </w:pPr>
      <w:r w:rsidRPr="005A62F7">
        <w:t>Dokumentacja podwykonawcza</w:t>
      </w:r>
    </w:p>
    <w:p w:rsidR="00591CF0" w:rsidRPr="005A62F7" w:rsidRDefault="00591CF0" w:rsidP="00591CF0">
      <w:pPr>
        <w:pStyle w:val="Akapitzlist"/>
        <w:numPr>
          <w:ilvl w:val="0"/>
          <w:numId w:val="18"/>
        </w:numPr>
        <w:jc w:val="both"/>
        <w:rPr>
          <w:rFonts w:cs="Calibri"/>
        </w:rPr>
      </w:pPr>
      <w:r w:rsidRPr="005A62F7">
        <w:rPr>
          <w:rFonts w:cs="Calibri"/>
        </w:rPr>
        <w:t xml:space="preserve">Wykonawca po zainstalowaniu dostarczonych urządzeń opracuje szczegółową dokumentację techniczną powykonawczą zawierającą dokładny opis </w:t>
      </w:r>
      <w:r w:rsidR="007D475F">
        <w:rPr>
          <w:rFonts w:cs="Calibri"/>
        </w:rPr>
        <w:t>sieci</w:t>
      </w:r>
      <w:r w:rsidR="00822903">
        <w:rPr>
          <w:rFonts w:cs="Calibri"/>
        </w:rPr>
        <w:t xml:space="preserve"> </w:t>
      </w:r>
      <w:r w:rsidRPr="005A62F7">
        <w:rPr>
          <w:rFonts w:cs="Calibri"/>
        </w:rPr>
        <w:t>montażu, instalacji i konfiguracji zainstalowanych komponentów. Dokumentacja powykonawcza będzie zawierała szczegółowe opisy zastosowanych rozwiązań.</w:t>
      </w:r>
    </w:p>
    <w:p w:rsidR="00591CF0" w:rsidRPr="005A62F7" w:rsidRDefault="00591CF0" w:rsidP="00591CF0">
      <w:pPr>
        <w:pStyle w:val="Akapitzlist"/>
        <w:numPr>
          <w:ilvl w:val="0"/>
          <w:numId w:val="18"/>
        </w:numPr>
        <w:jc w:val="both"/>
        <w:rPr>
          <w:rFonts w:cs="Calibri"/>
        </w:rPr>
      </w:pPr>
      <w:r w:rsidRPr="005A62F7">
        <w:rPr>
          <w:rFonts w:cs="Calibri"/>
        </w:rPr>
        <w:t xml:space="preserve">Dokumentacja powykonawcza będą sporządzona w języku polskim w formie elektronicznej. </w:t>
      </w:r>
    </w:p>
    <w:p w:rsidR="00591CF0" w:rsidRPr="005A62F7" w:rsidRDefault="00591CF0" w:rsidP="00591CF0">
      <w:pPr>
        <w:pStyle w:val="Nagwek1"/>
        <w:rPr>
          <w:rFonts w:cs="Calibri"/>
        </w:rPr>
      </w:pPr>
      <w:r w:rsidRPr="005A62F7">
        <w:rPr>
          <w:rFonts w:cs="Calibri"/>
        </w:rPr>
        <w:t>Gwarancja</w:t>
      </w:r>
    </w:p>
    <w:p w:rsidR="00591CF0" w:rsidRPr="005A62F7" w:rsidRDefault="00591CF0" w:rsidP="00591CF0">
      <w:pPr>
        <w:jc w:val="both"/>
        <w:rPr>
          <w:rFonts w:cs="Calibri"/>
        </w:rPr>
      </w:pPr>
      <w:r w:rsidRPr="005A62F7">
        <w:rPr>
          <w:rFonts w:cs="Calibri"/>
        </w:rPr>
        <w:t>W ramach gwarancji zakres zamówienia musi być objęty następującymi warunkami:</w:t>
      </w:r>
    </w:p>
    <w:p w:rsidR="00591CF0" w:rsidRPr="005A62F7" w:rsidRDefault="00591CF0" w:rsidP="00591CF0">
      <w:pPr>
        <w:pStyle w:val="Akapitzlist"/>
        <w:numPr>
          <w:ilvl w:val="0"/>
          <w:numId w:val="19"/>
        </w:numPr>
        <w:jc w:val="both"/>
        <w:rPr>
          <w:rFonts w:cs="Calibri"/>
        </w:rPr>
      </w:pPr>
      <w:r w:rsidRPr="005A62F7">
        <w:rPr>
          <w:rFonts w:cs="Calibri"/>
        </w:rPr>
        <w:t>Całość dostarczonego sprzętu i oprogramowania musi być objęte minimum 2 letnim (24 miesiące) serwisem i gwarancją producenta od momentu podpisania protokołu odbioru.</w:t>
      </w:r>
    </w:p>
    <w:p w:rsidR="00591CF0" w:rsidRPr="005A62F7" w:rsidRDefault="00591CF0" w:rsidP="00591CF0">
      <w:pPr>
        <w:pStyle w:val="Akapitzlist"/>
        <w:numPr>
          <w:ilvl w:val="0"/>
          <w:numId w:val="19"/>
        </w:numPr>
        <w:jc w:val="both"/>
        <w:rPr>
          <w:rFonts w:cs="Calibri"/>
        </w:rPr>
      </w:pPr>
      <w:r w:rsidRPr="005A62F7">
        <w:rPr>
          <w:rFonts w:cs="Calibri"/>
        </w:rPr>
        <w:t>Zgłoszenia awarii następować będzie w godzina</w:t>
      </w:r>
      <w:r w:rsidR="00822903">
        <w:rPr>
          <w:rFonts w:cs="Calibri"/>
        </w:rPr>
        <w:t>ch</w:t>
      </w:r>
      <w:r w:rsidRPr="005A62F7">
        <w:rPr>
          <w:rFonts w:cs="Calibri"/>
        </w:rPr>
        <w:t xml:space="preserve"> pracy Zamawiającego tj. od 8:00 do 16:00 i musi być dokonywane w postaci: zgłoszenia telefonicznego, z wykorzystaniem serwisu internetowego lub za pomocą poczty elektronicznej. Wszystkie wymienione kanały komunikacji muszą być świadczone w języku polskim.</w:t>
      </w:r>
    </w:p>
    <w:p w:rsidR="00591CF0" w:rsidRPr="005A62F7" w:rsidRDefault="00591CF0" w:rsidP="00591CF0">
      <w:pPr>
        <w:pStyle w:val="Akapitzlist"/>
        <w:numPr>
          <w:ilvl w:val="0"/>
          <w:numId w:val="19"/>
        </w:numPr>
        <w:jc w:val="both"/>
        <w:rPr>
          <w:rFonts w:cs="Calibri"/>
        </w:rPr>
      </w:pPr>
      <w:r w:rsidRPr="005A62F7">
        <w:rPr>
          <w:rFonts w:cs="Calibri"/>
        </w:rPr>
        <w:lastRenderedPageBreak/>
        <w:t>Wykonawca zapewni zdalne wsparcie techniczne</w:t>
      </w:r>
      <w:r w:rsidR="00822903">
        <w:rPr>
          <w:rFonts w:cs="Calibri"/>
        </w:rPr>
        <w:t xml:space="preserve"> </w:t>
      </w:r>
      <w:r w:rsidRPr="005A62F7">
        <w:rPr>
          <w:rFonts w:cs="Calibri"/>
        </w:rPr>
        <w:t>Wykonawcy i producenta</w:t>
      </w:r>
      <w:r w:rsidR="00822903">
        <w:rPr>
          <w:rFonts w:cs="Calibri"/>
        </w:rPr>
        <w:t xml:space="preserve"> w ilości nie mniejszej niż 4 godziny</w:t>
      </w:r>
      <w:r w:rsidR="007252E1">
        <w:rPr>
          <w:rFonts w:cs="Calibri"/>
        </w:rPr>
        <w:t xml:space="preserve"> podczas okresu gwarancyjnego.</w:t>
      </w:r>
    </w:p>
    <w:p w:rsidR="00591CF0" w:rsidRPr="005A62F7" w:rsidRDefault="00591CF0" w:rsidP="00591CF0">
      <w:pPr>
        <w:pStyle w:val="Akapitzlist"/>
        <w:numPr>
          <w:ilvl w:val="0"/>
          <w:numId w:val="19"/>
        </w:numPr>
        <w:jc w:val="both"/>
        <w:rPr>
          <w:rFonts w:cs="Calibri"/>
        </w:rPr>
      </w:pPr>
      <w:r w:rsidRPr="005A62F7">
        <w:rPr>
          <w:rFonts w:cs="Calibri"/>
        </w:rPr>
        <w:t>Wykonawca jest zobowiązany do niezwłocznego potwierdzenia przyjęcia zgłoszenia na adres poczty elektronicznej podany przez Zamawiającego.</w:t>
      </w:r>
    </w:p>
    <w:p w:rsidR="00591CF0" w:rsidRPr="005A62F7" w:rsidRDefault="00591CF0" w:rsidP="00591CF0">
      <w:pPr>
        <w:pStyle w:val="Akapitzlist"/>
        <w:numPr>
          <w:ilvl w:val="0"/>
          <w:numId w:val="19"/>
        </w:numPr>
        <w:jc w:val="both"/>
        <w:rPr>
          <w:rFonts w:cs="Calibri"/>
        </w:rPr>
      </w:pPr>
      <w:r w:rsidRPr="005A62F7">
        <w:rPr>
          <w:rFonts w:cs="Calibri"/>
        </w:rPr>
        <w:t xml:space="preserve">Zamawiający musi mieć możliwość bezpośredniego zgłaszania awarii do producenta sprzętu oraz samodzielnej aktualizacji oprogramowania. </w:t>
      </w:r>
    </w:p>
    <w:p w:rsidR="00591CF0" w:rsidRPr="005A62F7" w:rsidRDefault="00591CF0" w:rsidP="00591CF0">
      <w:pPr>
        <w:pStyle w:val="Akapitzlist"/>
        <w:numPr>
          <w:ilvl w:val="0"/>
          <w:numId w:val="19"/>
        </w:numPr>
        <w:jc w:val="both"/>
        <w:rPr>
          <w:rFonts w:cs="Calibri"/>
        </w:rPr>
      </w:pPr>
      <w:r w:rsidRPr="005A62F7">
        <w:rPr>
          <w:rFonts w:cs="Calibri"/>
        </w:rPr>
        <w:t>Zamawiający musi mieć możliwość sprawdzenia statusu gwarancji poprzez stronę producenta podając unikatowy numer urządzenia.</w:t>
      </w:r>
    </w:p>
    <w:p w:rsidR="00591CF0" w:rsidRPr="005A62F7" w:rsidRDefault="00591CF0" w:rsidP="00591CF0">
      <w:pPr>
        <w:pStyle w:val="Akapitzlist"/>
        <w:numPr>
          <w:ilvl w:val="0"/>
          <w:numId w:val="19"/>
        </w:numPr>
        <w:jc w:val="both"/>
        <w:rPr>
          <w:rFonts w:cs="Calibri"/>
        </w:rPr>
      </w:pPr>
      <w:r w:rsidRPr="005A62F7">
        <w:rPr>
          <w:rFonts w:cs="Calibri"/>
        </w:rPr>
        <w:t>W okresie obowiązywania serwisu gwarancyjnego wymagane jest bezpłatne usuwanie awarii oraz dostęp do wszystkich nowszych wersji oprogramowania.</w:t>
      </w:r>
    </w:p>
    <w:p w:rsidR="00591CF0" w:rsidRPr="005A62F7" w:rsidRDefault="00591CF0" w:rsidP="00591CF0">
      <w:pPr>
        <w:pStyle w:val="Akapitzlist"/>
        <w:numPr>
          <w:ilvl w:val="0"/>
          <w:numId w:val="19"/>
        </w:numPr>
        <w:jc w:val="both"/>
        <w:rPr>
          <w:rFonts w:cs="Calibri"/>
        </w:rPr>
      </w:pPr>
      <w:r w:rsidRPr="005A62F7">
        <w:rPr>
          <w:rFonts w:cs="Calibri"/>
        </w:rPr>
        <w:t>Uszkodzone dyski podlegające gwarancji stanowią własność Zamawiającego i pozostają u Zamawiającego, nie podlegają zwrotowi w ramach usługi gwarancyjnej.</w:t>
      </w:r>
    </w:p>
    <w:p w:rsidR="00591CF0" w:rsidRPr="005A62F7" w:rsidRDefault="00591CF0" w:rsidP="00591CF0">
      <w:pPr>
        <w:pStyle w:val="Akapitzlist"/>
        <w:numPr>
          <w:ilvl w:val="0"/>
          <w:numId w:val="19"/>
        </w:numPr>
        <w:jc w:val="both"/>
        <w:rPr>
          <w:rFonts w:cs="Calibri"/>
        </w:rPr>
      </w:pPr>
      <w:r w:rsidRPr="005A62F7">
        <w:rPr>
          <w:rFonts w:cs="Calibri"/>
        </w:rPr>
        <w:t>Usługi gwarancyjne muszą być realizowane przez autoryzowany serwis producenta albo przez Wykonawcę na terenie Polski.</w:t>
      </w:r>
    </w:p>
    <w:p w:rsidR="00591CF0" w:rsidRDefault="00591CF0"/>
    <w:sectPr w:rsidR="00591CF0" w:rsidSect="00420824">
      <w:headerReference w:type="default" r:id="rId7"/>
      <w:pgSz w:w="11906" w:h="16838"/>
      <w:pgMar w:top="266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E1E" w:rsidRDefault="00762E1E" w:rsidP="004529B1">
      <w:pPr>
        <w:spacing w:after="0" w:line="240" w:lineRule="auto"/>
      </w:pPr>
      <w:r>
        <w:separator/>
      </w:r>
    </w:p>
  </w:endnote>
  <w:endnote w:type="continuationSeparator" w:id="0">
    <w:p w:rsidR="00762E1E" w:rsidRDefault="00762E1E" w:rsidP="00452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E1E" w:rsidRDefault="00762E1E" w:rsidP="004529B1">
      <w:pPr>
        <w:spacing w:after="0" w:line="240" w:lineRule="auto"/>
      </w:pPr>
      <w:r>
        <w:separator/>
      </w:r>
    </w:p>
  </w:footnote>
  <w:footnote w:type="continuationSeparator" w:id="0">
    <w:p w:rsidR="00762E1E" w:rsidRDefault="00762E1E" w:rsidP="004529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824" w:rsidRDefault="00420824">
    <w:pPr>
      <w:pStyle w:val="Nagwek"/>
    </w:pPr>
    <w:r w:rsidRPr="00432913">
      <w:rPr>
        <w:noProof/>
        <w:lang w:eastAsia="pl-PL"/>
      </w:rPr>
      <w:drawing>
        <wp:anchor distT="0" distB="0" distL="114300" distR="114300" simplePos="0" relativeHeight="251659264" behindDoc="0" locked="0" layoutInCell="1" allowOverlap="1">
          <wp:simplePos x="0" y="0"/>
          <wp:positionH relativeFrom="page">
            <wp:posOffset>687070</wp:posOffset>
          </wp:positionH>
          <wp:positionV relativeFrom="paragraph">
            <wp:posOffset>327660</wp:posOffset>
          </wp:positionV>
          <wp:extent cx="1809750" cy="753110"/>
          <wp:effectExtent l="0" t="0" r="0" b="8890"/>
          <wp:wrapSquare wrapText="bothSides"/>
          <wp:docPr id="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74701" name="Grafika 1">
                    <a:extLst>
                      <a:ext uri="{C183D7F6-B498-43B3-948B-1728B52AA6E4}">
                        <adec:decorativ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adec="http://schemas.microsoft.com/office/drawing/2017/decorative" xmlns:w="http://schemas.openxmlformats.org/wordprocessingml/2006/main" xmlns:w10="urn:schemas-microsoft-com:office:word" xmlns:v="urn:schemas-microsoft-com:vml" xmlns:o="urn:schemas-microsoft-com:office:office" val="1"/>
                      </a:ext>
                    </a:extLst>
                  </pic:cNvPr>
                  <pic:cNvPicPr/>
                </pic:nvPicPr>
                <pic:blipFill>
                  <a:blip r:embed="rId1" cstate="print">
                    <a:extLst/>
                  </a:blip>
                  <a:stretch>
                    <a:fillRect/>
                  </a:stretch>
                </pic:blipFill>
                <pic:spPr>
                  <a:xfrm>
                    <a:off x="0" y="0"/>
                    <a:ext cx="1809750" cy="753110"/>
                  </a:xfrm>
                  <a:prstGeom prst="rect">
                    <a:avLst/>
                  </a:prstGeom>
                </pic:spPr>
              </pic:pic>
            </a:graphicData>
          </a:graphic>
        </wp:anchor>
      </w:drawing>
    </w:r>
    <w:r>
      <w:rPr>
        <w:noProof/>
        <w:lang w:eastAsia="pl-PL"/>
      </w:rPr>
      <w:drawing>
        <wp:anchor distT="0" distB="0" distL="0" distR="0" simplePos="0" relativeHeight="251661312" behindDoc="1" locked="0" layoutInCell="1" allowOverlap="1">
          <wp:simplePos x="0" y="0"/>
          <wp:positionH relativeFrom="page">
            <wp:posOffset>833755</wp:posOffset>
          </wp:positionH>
          <wp:positionV relativeFrom="page">
            <wp:posOffset>238760</wp:posOffset>
          </wp:positionV>
          <wp:extent cx="5729605" cy="539115"/>
          <wp:effectExtent l="0" t="0" r="444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29605" cy="53911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25FCD"/>
    <w:multiLevelType w:val="hybridMultilevel"/>
    <w:tmpl w:val="0BF2A5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3C4A7F"/>
    <w:multiLevelType w:val="hybridMultilevel"/>
    <w:tmpl w:val="6F2C51A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14216D9C"/>
    <w:multiLevelType w:val="hybridMultilevel"/>
    <w:tmpl w:val="88BE4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130CF8"/>
    <w:multiLevelType w:val="hybridMultilevel"/>
    <w:tmpl w:val="81BC8386"/>
    <w:lvl w:ilvl="0" w:tplc="7840B6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FA2543"/>
    <w:multiLevelType w:val="hybridMultilevel"/>
    <w:tmpl w:val="FC027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C830AD"/>
    <w:multiLevelType w:val="hybridMultilevel"/>
    <w:tmpl w:val="1B84F1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BAD4419"/>
    <w:multiLevelType w:val="hybridMultilevel"/>
    <w:tmpl w:val="83F82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EED7103"/>
    <w:multiLevelType w:val="hybridMultilevel"/>
    <w:tmpl w:val="BF628C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CA255CA"/>
    <w:multiLevelType w:val="hybridMultilevel"/>
    <w:tmpl w:val="D76CC9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190775A"/>
    <w:multiLevelType w:val="hybridMultilevel"/>
    <w:tmpl w:val="3FFAA3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9D11BA7"/>
    <w:multiLevelType w:val="hybridMultilevel"/>
    <w:tmpl w:val="06D6A5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CAD418F"/>
    <w:multiLevelType w:val="hybridMultilevel"/>
    <w:tmpl w:val="9B9640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2DA45DC"/>
    <w:multiLevelType w:val="hybridMultilevel"/>
    <w:tmpl w:val="A8B47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8A27BE7"/>
    <w:multiLevelType w:val="hybridMultilevel"/>
    <w:tmpl w:val="44DC02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8A73F46"/>
    <w:multiLevelType w:val="hybridMultilevel"/>
    <w:tmpl w:val="383019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8F73D04"/>
    <w:multiLevelType w:val="hybridMultilevel"/>
    <w:tmpl w:val="18AE4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60807A9"/>
    <w:multiLevelType w:val="hybridMultilevel"/>
    <w:tmpl w:val="1EAE3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B3813E1"/>
    <w:multiLevelType w:val="multilevel"/>
    <w:tmpl w:val="1AA81B4E"/>
    <w:lvl w:ilvl="0">
      <w:start w:val="1"/>
      <w:numFmt w:val="decimal"/>
      <w:pStyle w:val="Nagwek1"/>
      <w:lvlText w:val="%1"/>
      <w:lvlJc w:val="left"/>
      <w:pPr>
        <w:ind w:left="432" w:hanging="432"/>
      </w:pPr>
    </w:lvl>
    <w:lvl w:ilvl="1">
      <w:start w:val="1"/>
      <w:numFmt w:val="decimal"/>
      <w:pStyle w:val="Nagwek2"/>
      <w:lvlText w:val="%1.%2"/>
      <w:lvlJc w:val="left"/>
      <w:pPr>
        <w:ind w:left="576" w:hanging="576"/>
      </w:pPr>
      <w:rPr>
        <w:rFonts w:hint="default"/>
        <w:b w:val="0"/>
        <w:bCs w:val="0"/>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
    <w:nsid w:val="6B74095E"/>
    <w:multiLevelType w:val="hybridMultilevel"/>
    <w:tmpl w:val="0CA21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AA4113"/>
    <w:multiLevelType w:val="hybridMultilevel"/>
    <w:tmpl w:val="505A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4BD4EB6"/>
    <w:multiLevelType w:val="hybridMultilevel"/>
    <w:tmpl w:val="A3964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
  </w:num>
  <w:num w:numId="3">
    <w:abstractNumId w:val="16"/>
  </w:num>
  <w:num w:numId="4">
    <w:abstractNumId w:val="15"/>
  </w:num>
  <w:num w:numId="5">
    <w:abstractNumId w:val="5"/>
  </w:num>
  <w:num w:numId="6">
    <w:abstractNumId w:val="11"/>
  </w:num>
  <w:num w:numId="7">
    <w:abstractNumId w:val="10"/>
  </w:num>
  <w:num w:numId="8">
    <w:abstractNumId w:val="14"/>
  </w:num>
  <w:num w:numId="9">
    <w:abstractNumId w:val="8"/>
  </w:num>
  <w:num w:numId="10">
    <w:abstractNumId w:val="19"/>
  </w:num>
  <w:num w:numId="11">
    <w:abstractNumId w:val="7"/>
  </w:num>
  <w:num w:numId="12">
    <w:abstractNumId w:val="4"/>
  </w:num>
  <w:num w:numId="13">
    <w:abstractNumId w:val="6"/>
  </w:num>
  <w:num w:numId="14">
    <w:abstractNumId w:val="0"/>
  </w:num>
  <w:num w:numId="15">
    <w:abstractNumId w:val="12"/>
  </w:num>
  <w:num w:numId="16">
    <w:abstractNumId w:val="20"/>
  </w:num>
  <w:num w:numId="17">
    <w:abstractNumId w:val="18"/>
  </w:num>
  <w:num w:numId="18">
    <w:abstractNumId w:val="3"/>
  </w:num>
  <w:num w:numId="19">
    <w:abstractNumId w:val="13"/>
  </w:num>
  <w:num w:numId="20">
    <w:abstractNumId w:val="1"/>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rsids>
    <w:rsidRoot w:val="0003445E"/>
    <w:rsid w:val="00020ED1"/>
    <w:rsid w:val="0003445E"/>
    <w:rsid w:val="00106117"/>
    <w:rsid w:val="00362C72"/>
    <w:rsid w:val="00420824"/>
    <w:rsid w:val="004529B1"/>
    <w:rsid w:val="005630FE"/>
    <w:rsid w:val="00591CF0"/>
    <w:rsid w:val="005976C2"/>
    <w:rsid w:val="007252E1"/>
    <w:rsid w:val="00762E1E"/>
    <w:rsid w:val="007D475F"/>
    <w:rsid w:val="00822903"/>
    <w:rsid w:val="00BA7B03"/>
    <w:rsid w:val="00C44386"/>
    <w:rsid w:val="00DA3F78"/>
    <w:rsid w:val="00DF78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445E"/>
    <w:pPr>
      <w:spacing w:after="160" w:line="278" w:lineRule="auto"/>
    </w:pPr>
    <w:rPr>
      <w:rFonts w:ascii="Calibri" w:hAnsi="Calibri"/>
      <w:kern w:val="2"/>
      <w:sz w:val="24"/>
      <w:szCs w:val="24"/>
    </w:rPr>
  </w:style>
  <w:style w:type="paragraph" w:styleId="Nagwek1">
    <w:name w:val="heading 1"/>
    <w:basedOn w:val="Normalny"/>
    <w:next w:val="Normalny"/>
    <w:link w:val="Nagwek1Znak"/>
    <w:uiPriority w:val="9"/>
    <w:qFormat/>
    <w:rsid w:val="0003445E"/>
    <w:pPr>
      <w:keepNext/>
      <w:keepLines/>
      <w:numPr>
        <w:numId w:val="1"/>
      </w:numPr>
      <w:tabs>
        <w:tab w:val="left" w:pos="426"/>
      </w:tabs>
      <w:spacing w:before="160"/>
      <w:outlineLvl w:val="0"/>
    </w:pPr>
    <w:rPr>
      <w:rFonts w:eastAsiaTheme="majorEastAsia" w:cstheme="majorBidi"/>
      <w:color w:val="365F91" w:themeColor="accent1" w:themeShade="BF"/>
      <w:sz w:val="28"/>
      <w:szCs w:val="40"/>
    </w:rPr>
  </w:style>
  <w:style w:type="paragraph" w:styleId="Nagwek2">
    <w:name w:val="heading 2"/>
    <w:basedOn w:val="Normalny"/>
    <w:next w:val="Normalny"/>
    <w:link w:val="Nagwek2Znak"/>
    <w:uiPriority w:val="9"/>
    <w:unhideWhenUsed/>
    <w:qFormat/>
    <w:rsid w:val="0003445E"/>
    <w:pPr>
      <w:keepNext/>
      <w:keepLines/>
      <w:numPr>
        <w:ilvl w:val="1"/>
        <w:numId w:val="1"/>
      </w:numPr>
      <w:spacing w:before="160"/>
      <w:outlineLvl w:val="1"/>
    </w:pPr>
    <w:rPr>
      <w:rFonts w:eastAsiaTheme="majorEastAsia" w:cs="Calibri"/>
      <w:color w:val="365F91" w:themeColor="accent1" w:themeShade="BF"/>
      <w:sz w:val="26"/>
      <w:szCs w:val="32"/>
    </w:rPr>
  </w:style>
  <w:style w:type="paragraph" w:styleId="Nagwek3">
    <w:name w:val="heading 3"/>
    <w:basedOn w:val="Normalny"/>
    <w:next w:val="Normalny"/>
    <w:link w:val="Nagwek3Znak"/>
    <w:uiPriority w:val="9"/>
    <w:unhideWhenUsed/>
    <w:qFormat/>
    <w:rsid w:val="0003445E"/>
    <w:pPr>
      <w:keepNext/>
      <w:keepLines/>
      <w:numPr>
        <w:ilvl w:val="2"/>
        <w:numId w:val="1"/>
      </w:numPr>
      <w:spacing w:before="160" w:after="80"/>
      <w:outlineLvl w:val="2"/>
    </w:pPr>
    <w:rPr>
      <w:rFonts w:eastAsiaTheme="majorEastAsia" w:cstheme="majorBidi"/>
      <w:color w:val="365F91" w:themeColor="accent1" w:themeShade="BF"/>
      <w:sz w:val="28"/>
      <w:szCs w:val="28"/>
    </w:rPr>
  </w:style>
  <w:style w:type="paragraph" w:styleId="Nagwek4">
    <w:name w:val="heading 4"/>
    <w:basedOn w:val="Normalny"/>
    <w:next w:val="Normalny"/>
    <w:link w:val="Nagwek4Znak"/>
    <w:uiPriority w:val="9"/>
    <w:semiHidden/>
    <w:unhideWhenUsed/>
    <w:qFormat/>
    <w:rsid w:val="0003445E"/>
    <w:pPr>
      <w:keepNext/>
      <w:keepLines/>
      <w:numPr>
        <w:ilvl w:val="3"/>
        <w:numId w:val="1"/>
      </w:numPr>
      <w:spacing w:before="80" w:after="40"/>
      <w:outlineLvl w:val="3"/>
    </w:pPr>
    <w:rPr>
      <w:rFonts w:eastAsiaTheme="majorEastAsia" w:cstheme="majorBidi"/>
      <w:i/>
      <w:iCs/>
      <w:color w:val="365F91" w:themeColor="accent1" w:themeShade="BF"/>
    </w:rPr>
  </w:style>
  <w:style w:type="paragraph" w:styleId="Nagwek5">
    <w:name w:val="heading 5"/>
    <w:basedOn w:val="Normalny"/>
    <w:next w:val="Normalny"/>
    <w:link w:val="Nagwek5Znak"/>
    <w:uiPriority w:val="9"/>
    <w:semiHidden/>
    <w:unhideWhenUsed/>
    <w:qFormat/>
    <w:rsid w:val="0003445E"/>
    <w:pPr>
      <w:keepNext/>
      <w:keepLines/>
      <w:numPr>
        <w:ilvl w:val="4"/>
        <w:numId w:val="1"/>
      </w:numPr>
      <w:spacing w:before="80" w:after="40"/>
      <w:outlineLvl w:val="4"/>
    </w:pPr>
    <w:rPr>
      <w:rFonts w:eastAsiaTheme="majorEastAsia" w:cstheme="majorBidi"/>
      <w:color w:val="365F91" w:themeColor="accent1" w:themeShade="BF"/>
    </w:rPr>
  </w:style>
  <w:style w:type="paragraph" w:styleId="Nagwek6">
    <w:name w:val="heading 6"/>
    <w:basedOn w:val="Normalny"/>
    <w:next w:val="Normalny"/>
    <w:link w:val="Nagwek6Znak"/>
    <w:uiPriority w:val="9"/>
    <w:semiHidden/>
    <w:unhideWhenUsed/>
    <w:qFormat/>
    <w:rsid w:val="0003445E"/>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445E"/>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445E"/>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445E"/>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445E"/>
    <w:rPr>
      <w:rFonts w:ascii="Calibri" w:eastAsiaTheme="majorEastAsia" w:hAnsi="Calibri" w:cstheme="majorBidi"/>
      <w:color w:val="365F91" w:themeColor="accent1" w:themeShade="BF"/>
      <w:kern w:val="2"/>
      <w:sz w:val="28"/>
      <w:szCs w:val="40"/>
    </w:rPr>
  </w:style>
  <w:style w:type="character" w:customStyle="1" w:styleId="Nagwek2Znak">
    <w:name w:val="Nagłówek 2 Znak"/>
    <w:basedOn w:val="Domylnaczcionkaakapitu"/>
    <w:link w:val="Nagwek2"/>
    <w:uiPriority w:val="9"/>
    <w:rsid w:val="0003445E"/>
    <w:rPr>
      <w:rFonts w:ascii="Calibri" w:eastAsiaTheme="majorEastAsia" w:hAnsi="Calibri" w:cs="Calibri"/>
      <w:color w:val="365F91" w:themeColor="accent1" w:themeShade="BF"/>
      <w:kern w:val="2"/>
      <w:sz w:val="26"/>
      <w:szCs w:val="32"/>
    </w:rPr>
  </w:style>
  <w:style w:type="character" w:customStyle="1" w:styleId="Nagwek3Znak">
    <w:name w:val="Nagłówek 3 Znak"/>
    <w:basedOn w:val="Domylnaczcionkaakapitu"/>
    <w:link w:val="Nagwek3"/>
    <w:uiPriority w:val="9"/>
    <w:rsid w:val="0003445E"/>
    <w:rPr>
      <w:rFonts w:ascii="Calibri" w:eastAsiaTheme="majorEastAsia" w:hAnsi="Calibri" w:cstheme="majorBidi"/>
      <w:color w:val="365F91" w:themeColor="accent1" w:themeShade="BF"/>
      <w:kern w:val="2"/>
      <w:sz w:val="28"/>
      <w:szCs w:val="28"/>
    </w:rPr>
  </w:style>
  <w:style w:type="character" w:customStyle="1" w:styleId="Nagwek4Znak">
    <w:name w:val="Nagłówek 4 Znak"/>
    <w:basedOn w:val="Domylnaczcionkaakapitu"/>
    <w:link w:val="Nagwek4"/>
    <w:uiPriority w:val="9"/>
    <w:semiHidden/>
    <w:rsid w:val="0003445E"/>
    <w:rPr>
      <w:rFonts w:ascii="Calibri" w:eastAsiaTheme="majorEastAsia" w:hAnsi="Calibri" w:cstheme="majorBidi"/>
      <w:i/>
      <w:iCs/>
      <w:color w:val="365F91" w:themeColor="accent1" w:themeShade="BF"/>
      <w:kern w:val="2"/>
      <w:sz w:val="24"/>
      <w:szCs w:val="24"/>
    </w:rPr>
  </w:style>
  <w:style w:type="character" w:customStyle="1" w:styleId="Nagwek5Znak">
    <w:name w:val="Nagłówek 5 Znak"/>
    <w:basedOn w:val="Domylnaczcionkaakapitu"/>
    <w:link w:val="Nagwek5"/>
    <w:uiPriority w:val="9"/>
    <w:semiHidden/>
    <w:rsid w:val="0003445E"/>
    <w:rPr>
      <w:rFonts w:ascii="Calibri" w:eastAsiaTheme="majorEastAsia" w:hAnsi="Calibri" w:cstheme="majorBidi"/>
      <w:color w:val="365F91" w:themeColor="accent1" w:themeShade="BF"/>
      <w:kern w:val="2"/>
      <w:sz w:val="24"/>
      <w:szCs w:val="24"/>
    </w:rPr>
  </w:style>
  <w:style w:type="character" w:customStyle="1" w:styleId="Nagwek6Znak">
    <w:name w:val="Nagłówek 6 Znak"/>
    <w:basedOn w:val="Domylnaczcionkaakapitu"/>
    <w:link w:val="Nagwek6"/>
    <w:uiPriority w:val="9"/>
    <w:semiHidden/>
    <w:rsid w:val="0003445E"/>
    <w:rPr>
      <w:rFonts w:ascii="Calibri" w:eastAsiaTheme="majorEastAsia" w:hAnsi="Calibri" w:cstheme="majorBidi"/>
      <w:i/>
      <w:iCs/>
      <w:color w:val="595959" w:themeColor="text1" w:themeTint="A6"/>
      <w:kern w:val="2"/>
      <w:sz w:val="24"/>
      <w:szCs w:val="24"/>
    </w:rPr>
  </w:style>
  <w:style w:type="character" w:customStyle="1" w:styleId="Nagwek7Znak">
    <w:name w:val="Nagłówek 7 Znak"/>
    <w:basedOn w:val="Domylnaczcionkaakapitu"/>
    <w:link w:val="Nagwek7"/>
    <w:uiPriority w:val="9"/>
    <w:semiHidden/>
    <w:rsid w:val="0003445E"/>
    <w:rPr>
      <w:rFonts w:ascii="Calibri" w:eastAsiaTheme="majorEastAsia" w:hAnsi="Calibri" w:cstheme="majorBidi"/>
      <w:color w:val="595959" w:themeColor="text1" w:themeTint="A6"/>
      <w:kern w:val="2"/>
      <w:sz w:val="24"/>
      <w:szCs w:val="24"/>
    </w:rPr>
  </w:style>
  <w:style w:type="character" w:customStyle="1" w:styleId="Nagwek8Znak">
    <w:name w:val="Nagłówek 8 Znak"/>
    <w:basedOn w:val="Domylnaczcionkaakapitu"/>
    <w:link w:val="Nagwek8"/>
    <w:uiPriority w:val="9"/>
    <w:semiHidden/>
    <w:rsid w:val="0003445E"/>
    <w:rPr>
      <w:rFonts w:ascii="Calibri" w:eastAsiaTheme="majorEastAsia" w:hAnsi="Calibri" w:cstheme="majorBidi"/>
      <w:i/>
      <w:iCs/>
      <w:color w:val="272727" w:themeColor="text1" w:themeTint="D8"/>
      <w:kern w:val="2"/>
      <w:sz w:val="24"/>
      <w:szCs w:val="24"/>
    </w:rPr>
  </w:style>
  <w:style w:type="character" w:customStyle="1" w:styleId="Nagwek9Znak">
    <w:name w:val="Nagłówek 9 Znak"/>
    <w:basedOn w:val="Domylnaczcionkaakapitu"/>
    <w:link w:val="Nagwek9"/>
    <w:uiPriority w:val="9"/>
    <w:semiHidden/>
    <w:rsid w:val="0003445E"/>
    <w:rPr>
      <w:rFonts w:ascii="Calibri" w:eastAsiaTheme="majorEastAsia" w:hAnsi="Calibri" w:cstheme="majorBidi"/>
      <w:color w:val="272727" w:themeColor="text1" w:themeTint="D8"/>
      <w:kern w:val="2"/>
      <w:sz w:val="24"/>
      <w:szCs w:val="24"/>
    </w:rPr>
  </w:style>
  <w:style w:type="paragraph" w:styleId="Akapitzlist">
    <w:name w:val="List Paragraph"/>
    <w:aliases w:val="Numerowanie,Akapit z listą BS,L1,sw tekst,Akapit z listą5,normalny tekst,Kolorowa lista — akcent 11,Średnia siatka 1 — akcent 21,CW_Lista,Colorful List - Accent 11,Akapit z listą4,A_wyliczenie,K-P_odwolanie,maz_wyliczenie,l"/>
    <w:basedOn w:val="Normalny"/>
    <w:link w:val="AkapitzlistZnak"/>
    <w:uiPriority w:val="34"/>
    <w:qFormat/>
    <w:rsid w:val="0003445E"/>
    <w:pPr>
      <w:ind w:left="720"/>
      <w:contextualSpacing/>
    </w:pPr>
  </w:style>
  <w:style w:type="character" w:customStyle="1" w:styleId="AkapitzlistZnak">
    <w:name w:val="Akapit z listą Znak"/>
    <w:aliases w:val="Numerowanie Znak,Akapit z listą BS Znak,L1 Znak,sw tekst Znak,Akapit z listą5 Znak,normalny tekst Znak,Kolorowa lista — akcent 11 Znak,Średnia siatka 1 — akcent 21 Znak,CW_Lista Znak,Colorful List - Accent 11 Znak,A_wyliczenie Znak"/>
    <w:link w:val="Akapitzlist"/>
    <w:uiPriority w:val="34"/>
    <w:qFormat/>
    <w:locked/>
    <w:rsid w:val="0003445E"/>
    <w:rPr>
      <w:rFonts w:ascii="Calibri" w:hAnsi="Calibri"/>
      <w:kern w:val="2"/>
      <w:sz w:val="24"/>
      <w:szCs w:val="24"/>
    </w:rPr>
  </w:style>
  <w:style w:type="paragraph" w:styleId="Nagwek">
    <w:name w:val="header"/>
    <w:basedOn w:val="Normalny"/>
    <w:link w:val="NagwekZnak"/>
    <w:uiPriority w:val="99"/>
    <w:unhideWhenUsed/>
    <w:rsid w:val="004529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29B1"/>
    <w:rPr>
      <w:rFonts w:ascii="Calibri" w:hAnsi="Calibri"/>
      <w:kern w:val="2"/>
      <w:sz w:val="24"/>
      <w:szCs w:val="24"/>
    </w:rPr>
  </w:style>
  <w:style w:type="paragraph" w:styleId="Stopka">
    <w:name w:val="footer"/>
    <w:basedOn w:val="Normalny"/>
    <w:link w:val="StopkaZnak"/>
    <w:uiPriority w:val="99"/>
    <w:unhideWhenUsed/>
    <w:rsid w:val="004529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9B1"/>
    <w:rPr>
      <w:rFonts w:ascii="Calibri" w:hAnsi="Calibri"/>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445E"/>
    <w:pPr>
      <w:spacing w:after="160" w:line="278" w:lineRule="auto"/>
    </w:pPr>
    <w:rPr>
      <w:rFonts w:ascii="Calibri" w:hAnsi="Calibri"/>
      <w:kern w:val="2"/>
      <w:sz w:val="24"/>
      <w:szCs w:val="24"/>
      <w14:ligatures w14:val="standardContextual"/>
    </w:rPr>
  </w:style>
  <w:style w:type="paragraph" w:styleId="Nagwek1">
    <w:name w:val="heading 1"/>
    <w:basedOn w:val="Normalny"/>
    <w:next w:val="Normalny"/>
    <w:link w:val="Nagwek1Znak"/>
    <w:uiPriority w:val="9"/>
    <w:qFormat/>
    <w:rsid w:val="0003445E"/>
    <w:pPr>
      <w:keepNext/>
      <w:keepLines/>
      <w:numPr>
        <w:numId w:val="1"/>
      </w:numPr>
      <w:tabs>
        <w:tab w:val="left" w:pos="426"/>
      </w:tabs>
      <w:spacing w:before="160"/>
      <w:outlineLvl w:val="0"/>
    </w:pPr>
    <w:rPr>
      <w:rFonts w:eastAsiaTheme="majorEastAsia" w:cstheme="majorBidi"/>
      <w:color w:val="365F91" w:themeColor="accent1" w:themeShade="BF"/>
      <w:sz w:val="28"/>
      <w:szCs w:val="40"/>
    </w:rPr>
  </w:style>
  <w:style w:type="paragraph" w:styleId="Nagwek2">
    <w:name w:val="heading 2"/>
    <w:basedOn w:val="Normalny"/>
    <w:next w:val="Normalny"/>
    <w:link w:val="Nagwek2Znak"/>
    <w:uiPriority w:val="9"/>
    <w:unhideWhenUsed/>
    <w:qFormat/>
    <w:rsid w:val="0003445E"/>
    <w:pPr>
      <w:keepNext/>
      <w:keepLines/>
      <w:numPr>
        <w:ilvl w:val="1"/>
        <w:numId w:val="1"/>
      </w:numPr>
      <w:spacing w:before="160"/>
      <w:outlineLvl w:val="1"/>
    </w:pPr>
    <w:rPr>
      <w:rFonts w:eastAsiaTheme="majorEastAsia" w:cs="Calibri"/>
      <w:color w:val="365F91" w:themeColor="accent1" w:themeShade="BF"/>
      <w:sz w:val="26"/>
      <w:szCs w:val="32"/>
    </w:rPr>
  </w:style>
  <w:style w:type="paragraph" w:styleId="Nagwek3">
    <w:name w:val="heading 3"/>
    <w:basedOn w:val="Normalny"/>
    <w:next w:val="Normalny"/>
    <w:link w:val="Nagwek3Znak"/>
    <w:uiPriority w:val="9"/>
    <w:unhideWhenUsed/>
    <w:qFormat/>
    <w:rsid w:val="0003445E"/>
    <w:pPr>
      <w:keepNext/>
      <w:keepLines/>
      <w:numPr>
        <w:ilvl w:val="2"/>
        <w:numId w:val="1"/>
      </w:numPr>
      <w:spacing w:before="160" w:after="80"/>
      <w:outlineLvl w:val="2"/>
    </w:pPr>
    <w:rPr>
      <w:rFonts w:eastAsiaTheme="majorEastAsia" w:cstheme="majorBidi"/>
      <w:color w:val="365F91" w:themeColor="accent1" w:themeShade="BF"/>
      <w:sz w:val="28"/>
      <w:szCs w:val="28"/>
    </w:rPr>
  </w:style>
  <w:style w:type="paragraph" w:styleId="Nagwek4">
    <w:name w:val="heading 4"/>
    <w:basedOn w:val="Normalny"/>
    <w:next w:val="Normalny"/>
    <w:link w:val="Nagwek4Znak"/>
    <w:uiPriority w:val="9"/>
    <w:semiHidden/>
    <w:unhideWhenUsed/>
    <w:qFormat/>
    <w:rsid w:val="0003445E"/>
    <w:pPr>
      <w:keepNext/>
      <w:keepLines/>
      <w:numPr>
        <w:ilvl w:val="3"/>
        <w:numId w:val="1"/>
      </w:numPr>
      <w:spacing w:before="80" w:after="40"/>
      <w:outlineLvl w:val="3"/>
    </w:pPr>
    <w:rPr>
      <w:rFonts w:eastAsiaTheme="majorEastAsia" w:cstheme="majorBidi"/>
      <w:i/>
      <w:iCs/>
      <w:color w:val="365F91" w:themeColor="accent1" w:themeShade="BF"/>
    </w:rPr>
  </w:style>
  <w:style w:type="paragraph" w:styleId="Nagwek5">
    <w:name w:val="heading 5"/>
    <w:basedOn w:val="Normalny"/>
    <w:next w:val="Normalny"/>
    <w:link w:val="Nagwek5Znak"/>
    <w:uiPriority w:val="9"/>
    <w:semiHidden/>
    <w:unhideWhenUsed/>
    <w:qFormat/>
    <w:rsid w:val="0003445E"/>
    <w:pPr>
      <w:keepNext/>
      <w:keepLines/>
      <w:numPr>
        <w:ilvl w:val="4"/>
        <w:numId w:val="1"/>
      </w:numPr>
      <w:spacing w:before="80" w:after="40"/>
      <w:outlineLvl w:val="4"/>
    </w:pPr>
    <w:rPr>
      <w:rFonts w:eastAsiaTheme="majorEastAsia" w:cstheme="majorBidi"/>
      <w:color w:val="365F91" w:themeColor="accent1" w:themeShade="BF"/>
    </w:rPr>
  </w:style>
  <w:style w:type="paragraph" w:styleId="Nagwek6">
    <w:name w:val="heading 6"/>
    <w:basedOn w:val="Normalny"/>
    <w:next w:val="Normalny"/>
    <w:link w:val="Nagwek6Znak"/>
    <w:uiPriority w:val="9"/>
    <w:semiHidden/>
    <w:unhideWhenUsed/>
    <w:qFormat/>
    <w:rsid w:val="0003445E"/>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445E"/>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445E"/>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445E"/>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445E"/>
    <w:rPr>
      <w:rFonts w:ascii="Calibri" w:eastAsiaTheme="majorEastAsia" w:hAnsi="Calibri" w:cstheme="majorBidi"/>
      <w:color w:val="365F91" w:themeColor="accent1" w:themeShade="BF"/>
      <w:kern w:val="2"/>
      <w:sz w:val="28"/>
      <w:szCs w:val="40"/>
      <w14:ligatures w14:val="standardContextual"/>
    </w:rPr>
  </w:style>
  <w:style w:type="character" w:customStyle="1" w:styleId="Nagwek2Znak">
    <w:name w:val="Nagłówek 2 Znak"/>
    <w:basedOn w:val="Domylnaczcionkaakapitu"/>
    <w:link w:val="Nagwek2"/>
    <w:uiPriority w:val="9"/>
    <w:rsid w:val="0003445E"/>
    <w:rPr>
      <w:rFonts w:ascii="Calibri" w:eastAsiaTheme="majorEastAsia" w:hAnsi="Calibri" w:cs="Calibri"/>
      <w:color w:val="365F91" w:themeColor="accent1" w:themeShade="BF"/>
      <w:kern w:val="2"/>
      <w:sz w:val="26"/>
      <w:szCs w:val="32"/>
      <w14:ligatures w14:val="standardContextual"/>
    </w:rPr>
  </w:style>
  <w:style w:type="character" w:customStyle="1" w:styleId="Nagwek3Znak">
    <w:name w:val="Nagłówek 3 Znak"/>
    <w:basedOn w:val="Domylnaczcionkaakapitu"/>
    <w:link w:val="Nagwek3"/>
    <w:uiPriority w:val="9"/>
    <w:rsid w:val="0003445E"/>
    <w:rPr>
      <w:rFonts w:ascii="Calibri" w:eastAsiaTheme="majorEastAsia" w:hAnsi="Calibri" w:cstheme="majorBidi"/>
      <w:color w:val="365F91"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03445E"/>
    <w:rPr>
      <w:rFonts w:ascii="Calibri" w:eastAsiaTheme="majorEastAsia" w:hAnsi="Calibri" w:cstheme="majorBidi"/>
      <w:i/>
      <w:iCs/>
      <w:color w:val="365F91" w:themeColor="accent1" w:themeShade="BF"/>
      <w:kern w:val="2"/>
      <w:sz w:val="24"/>
      <w:szCs w:val="24"/>
      <w14:ligatures w14:val="standardContextual"/>
    </w:rPr>
  </w:style>
  <w:style w:type="character" w:customStyle="1" w:styleId="Nagwek5Znak">
    <w:name w:val="Nagłówek 5 Znak"/>
    <w:basedOn w:val="Domylnaczcionkaakapitu"/>
    <w:link w:val="Nagwek5"/>
    <w:uiPriority w:val="9"/>
    <w:semiHidden/>
    <w:rsid w:val="0003445E"/>
    <w:rPr>
      <w:rFonts w:ascii="Calibri" w:eastAsiaTheme="majorEastAsia" w:hAnsi="Calibri" w:cstheme="majorBidi"/>
      <w:color w:val="365F91" w:themeColor="accent1" w:themeShade="BF"/>
      <w:kern w:val="2"/>
      <w:sz w:val="24"/>
      <w:szCs w:val="24"/>
      <w14:ligatures w14:val="standardContextual"/>
    </w:rPr>
  </w:style>
  <w:style w:type="character" w:customStyle="1" w:styleId="Nagwek6Znak">
    <w:name w:val="Nagłówek 6 Znak"/>
    <w:basedOn w:val="Domylnaczcionkaakapitu"/>
    <w:link w:val="Nagwek6"/>
    <w:uiPriority w:val="9"/>
    <w:semiHidden/>
    <w:rsid w:val="0003445E"/>
    <w:rPr>
      <w:rFonts w:ascii="Calibri" w:eastAsiaTheme="majorEastAsia" w:hAnsi="Calibri" w:cstheme="majorBidi"/>
      <w:i/>
      <w:iCs/>
      <w:color w:val="595959" w:themeColor="text1" w:themeTint="A6"/>
      <w:kern w:val="2"/>
      <w:sz w:val="24"/>
      <w:szCs w:val="24"/>
      <w14:ligatures w14:val="standardContextual"/>
    </w:rPr>
  </w:style>
  <w:style w:type="character" w:customStyle="1" w:styleId="Nagwek7Znak">
    <w:name w:val="Nagłówek 7 Znak"/>
    <w:basedOn w:val="Domylnaczcionkaakapitu"/>
    <w:link w:val="Nagwek7"/>
    <w:uiPriority w:val="9"/>
    <w:semiHidden/>
    <w:rsid w:val="0003445E"/>
    <w:rPr>
      <w:rFonts w:ascii="Calibri" w:eastAsiaTheme="majorEastAsia" w:hAnsi="Calibri" w:cstheme="majorBidi"/>
      <w:color w:val="595959" w:themeColor="text1" w:themeTint="A6"/>
      <w:kern w:val="2"/>
      <w:sz w:val="24"/>
      <w:szCs w:val="24"/>
      <w14:ligatures w14:val="standardContextual"/>
    </w:rPr>
  </w:style>
  <w:style w:type="character" w:customStyle="1" w:styleId="Nagwek8Znak">
    <w:name w:val="Nagłówek 8 Znak"/>
    <w:basedOn w:val="Domylnaczcionkaakapitu"/>
    <w:link w:val="Nagwek8"/>
    <w:uiPriority w:val="9"/>
    <w:semiHidden/>
    <w:rsid w:val="0003445E"/>
    <w:rPr>
      <w:rFonts w:ascii="Calibri" w:eastAsiaTheme="majorEastAsia" w:hAnsi="Calibri" w:cstheme="majorBidi"/>
      <w:i/>
      <w:iCs/>
      <w:color w:val="272727" w:themeColor="text1" w:themeTint="D8"/>
      <w:kern w:val="2"/>
      <w:sz w:val="24"/>
      <w:szCs w:val="24"/>
      <w14:ligatures w14:val="standardContextual"/>
    </w:rPr>
  </w:style>
  <w:style w:type="character" w:customStyle="1" w:styleId="Nagwek9Znak">
    <w:name w:val="Nagłówek 9 Znak"/>
    <w:basedOn w:val="Domylnaczcionkaakapitu"/>
    <w:link w:val="Nagwek9"/>
    <w:uiPriority w:val="9"/>
    <w:semiHidden/>
    <w:rsid w:val="0003445E"/>
    <w:rPr>
      <w:rFonts w:ascii="Calibri" w:eastAsiaTheme="majorEastAsia" w:hAnsi="Calibri" w:cstheme="majorBidi"/>
      <w:color w:val="272727" w:themeColor="text1" w:themeTint="D8"/>
      <w:kern w:val="2"/>
      <w:sz w:val="24"/>
      <w:szCs w:val="24"/>
      <w14:ligatures w14:val="standardContextual"/>
    </w:rPr>
  </w:style>
  <w:style w:type="paragraph" w:styleId="Akapitzlist">
    <w:name w:val="List Paragraph"/>
    <w:aliases w:val="Numerowanie,Akapit z listą BS,L1,sw tekst,Akapit z listą5,normalny tekst,Kolorowa lista — akcent 11,Średnia siatka 1 — akcent 21,CW_Lista,Colorful List - Accent 11,Akapit z listą4,A_wyliczenie,K-P_odwolanie,maz_wyliczenie,l"/>
    <w:basedOn w:val="Normalny"/>
    <w:link w:val="AkapitzlistZnak"/>
    <w:uiPriority w:val="34"/>
    <w:qFormat/>
    <w:rsid w:val="0003445E"/>
    <w:pPr>
      <w:ind w:left="720"/>
      <w:contextualSpacing/>
    </w:pPr>
  </w:style>
  <w:style w:type="character" w:customStyle="1" w:styleId="AkapitzlistZnak">
    <w:name w:val="Akapit z listą Znak"/>
    <w:aliases w:val="Numerowanie Znak,Akapit z listą BS Znak,L1 Znak,sw tekst Znak,Akapit z listą5 Znak,normalny tekst Znak,Kolorowa lista — akcent 11 Znak,Średnia siatka 1 — akcent 21 Znak,CW_Lista Znak,Colorful List - Accent 11 Znak,A_wyliczenie Znak"/>
    <w:link w:val="Akapitzlist"/>
    <w:uiPriority w:val="34"/>
    <w:qFormat/>
    <w:locked/>
    <w:rsid w:val="0003445E"/>
    <w:rPr>
      <w:rFonts w:ascii="Calibri" w:hAnsi="Calibri"/>
      <w:kern w:val="2"/>
      <w:sz w:val="24"/>
      <w:szCs w:val="24"/>
      <w14:ligatures w14:val="standardContextual"/>
    </w:rPr>
  </w:style>
  <w:style w:type="paragraph" w:styleId="Nagwek">
    <w:name w:val="header"/>
    <w:basedOn w:val="Normalny"/>
    <w:link w:val="NagwekZnak"/>
    <w:uiPriority w:val="99"/>
    <w:unhideWhenUsed/>
    <w:rsid w:val="004529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29B1"/>
    <w:rPr>
      <w:rFonts w:ascii="Calibri" w:hAnsi="Calibri"/>
      <w:kern w:val="2"/>
      <w:sz w:val="24"/>
      <w:szCs w:val="24"/>
      <w14:ligatures w14:val="standardContextual"/>
    </w:rPr>
  </w:style>
  <w:style w:type="paragraph" w:styleId="Stopka">
    <w:name w:val="footer"/>
    <w:basedOn w:val="Normalny"/>
    <w:link w:val="StopkaZnak"/>
    <w:uiPriority w:val="99"/>
    <w:unhideWhenUsed/>
    <w:rsid w:val="004529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9B1"/>
    <w:rPr>
      <w:rFonts w:ascii="Calibri" w:hAnsi="Calibri"/>
      <w:kern w:val="2"/>
      <w:sz w:val="24"/>
      <w:szCs w:val="24"/>
      <w14:ligatures w14:val="standardContextu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3353</Words>
  <Characters>20124</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UG</Company>
  <LinksUpToDate>false</LinksUpToDate>
  <CharactersWithSpaces>23431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Jaś Bonifacy</dc:creator>
  <cp:lastModifiedBy>Adam Gonczarów</cp:lastModifiedBy>
  <cp:revision>8</cp:revision>
  <dcterms:created xsi:type="dcterms:W3CDTF">2026-08-13T10:07:00Z</dcterms:created>
  <dcterms:modified xsi:type="dcterms:W3CDTF">2026-09-02T06:36:00Z</dcterms:modified>
</cp:coreProperties>
</file>